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0"/>
        <w:rPr>
          <w:rFonts w:eastAsia="黑体" w:cs="Times New Roman"/>
          <w:color w:val="000000" w:themeColor="text1"/>
          <w:sz w:val="44"/>
          <w:szCs w:val="44"/>
          <w14:textFill>
            <w14:solidFill>
              <w14:schemeClr w14:val="tx1"/>
            </w14:solidFill>
          </w14:textFill>
        </w:rPr>
      </w:pPr>
      <w:bookmarkStart w:id="0" w:name="_Toc290925136"/>
      <w:bookmarkStart w:id="1" w:name="_Toc257725492"/>
    </w:p>
    <w:p>
      <w:pPr>
        <w:ind w:firstLine="880"/>
        <w:rPr>
          <w:rFonts w:eastAsia="黑体" w:cs="Times New Roman"/>
          <w:color w:val="000000" w:themeColor="text1"/>
          <w:sz w:val="44"/>
          <w:szCs w:val="44"/>
          <w14:textFill>
            <w14:solidFill>
              <w14:schemeClr w14:val="tx1"/>
            </w14:solidFill>
          </w14:textFill>
        </w:rPr>
      </w:pPr>
    </w:p>
    <w:p>
      <w:pPr>
        <w:ind w:firstLine="880"/>
        <w:rPr>
          <w:rFonts w:eastAsia="黑体" w:cs="Times New Roman"/>
          <w:color w:val="000000" w:themeColor="text1"/>
          <w:sz w:val="44"/>
          <w:szCs w:val="44"/>
          <w14:textFill>
            <w14:solidFill>
              <w14:schemeClr w14:val="tx1"/>
            </w14:solidFill>
          </w14:textFill>
        </w:rPr>
      </w:pPr>
    </w:p>
    <w:p>
      <w:pPr>
        <w:ind w:firstLine="0" w:firstLineChars="0"/>
        <w:jc w:val="center"/>
        <w:rPr>
          <w:rFonts w:eastAsia="黑体" w:cs="Times New Roman"/>
          <w:b/>
          <w:bCs/>
          <w:color w:val="000000" w:themeColor="text1"/>
          <w:sz w:val="44"/>
          <w:szCs w:val="44"/>
          <w14:textFill>
            <w14:solidFill>
              <w14:schemeClr w14:val="tx1"/>
            </w14:solidFill>
          </w14:textFill>
        </w:rPr>
      </w:pPr>
      <w:bookmarkStart w:id="2" w:name="_Hlk47343509"/>
      <w:r>
        <w:rPr>
          <w:rFonts w:eastAsia="黑体" w:cs="Times New Roman"/>
          <w:b/>
          <w:bCs/>
          <w:color w:val="000000" w:themeColor="text1"/>
          <w:spacing w:val="1"/>
          <w:w w:val="96"/>
          <w:kern w:val="0"/>
          <w:sz w:val="44"/>
          <w:szCs w:val="44"/>
          <w:fitText w:val="8840" w:id="-1756729855"/>
          <w14:textFill>
            <w14:solidFill>
              <w14:schemeClr w14:val="tx1"/>
            </w14:solidFill>
          </w14:textFill>
        </w:rPr>
        <w:t>山西鑫达农牧有限公司1.5万头生猪产业化项</w:t>
      </w:r>
      <w:r>
        <w:rPr>
          <w:rFonts w:eastAsia="黑体" w:cs="Times New Roman"/>
          <w:b/>
          <w:bCs/>
          <w:color w:val="000000" w:themeColor="text1"/>
          <w:spacing w:val="111"/>
          <w:w w:val="96"/>
          <w:kern w:val="0"/>
          <w:sz w:val="44"/>
          <w:szCs w:val="44"/>
          <w:fitText w:val="8840" w:id="-1756729855"/>
          <w14:textFill>
            <w14:solidFill>
              <w14:schemeClr w14:val="tx1"/>
            </w14:solidFill>
          </w14:textFill>
        </w:rPr>
        <w:t>目</w:t>
      </w:r>
    </w:p>
    <w:p>
      <w:pPr>
        <w:ind w:firstLine="0" w:firstLineChars="0"/>
        <w:jc w:val="center"/>
        <w:rPr>
          <w:rFonts w:eastAsia="黑体" w:cs="Times New Roman"/>
          <w:color w:val="000000" w:themeColor="text1"/>
          <w:sz w:val="72"/>
          <w:szCs w:val="72"/>
          <w14:textFill>
            <w14:solidFill>
              <w14:schemeClr w14:val="tx1"/>
            </w14:solidFill>
          </w14:textFill>
        </w:rPr>
      </w:pPr>
      <w:r>
        <w:rPr>
          <w:rFonts w:eastAsia="黑体" w:cs="Times New Roman"/>
          <w:color w:val="000000" w:themeColor="text1"/>
          <w:sz w:val="72"/>
          <w:szCs w:val="72"/>
          <w14:textFill>
            <w14:solidFill>
              <w14:schemeClr w14:val="tx1"/>
            </w14:solidFill>
          </w14:textFill>
        </w:rPr>
        <w:t>环境影响报告书</w:t>
      </w:r>
    </w:p>
    <w:p>
      <w:pPr>
        <w:ind w:firstLine="720"/>
        <w:jc w:val="center"/>
        <w:rPr>
          <w:rFonts w:eastAsia="黑体" w:cs="Times New Roman"/>
          <w:color w:val="000000" w:themeColor="text1"/>
          <w:sz w:val="36"/>
          <w:szCs w:val="36"/>
          <w14:textFill>
            <w14:solidFill>
              <w14:schemeClr w14:val="tx1"/>
            </w14:solidFill>
          </w14:textFill>
        </w:rPr>
      </w:pPr>
      <w:r>
        <w:rPr>
          <w:rFonts w:eastAsia="黑体" w:cs="Times New Roman"/>
          <w:color w:val="000000" w:themeColor="text1"/>
          <w:sz w:val="36"/>
          <w:szCs w:val="36"/>
          <w14:textFill>
            <w14:solidFill>
              <w14:schemeClr w14:val="tx1"/>
            </w14:solidFill>
          </w14:textFill>
        </w:rPr>
        <w:t>（</w:t>
      </w:r>
      <w:r>
        <w:rPr>
          <w:rFonts w:hint="eastAsia" w:eastAsia="黑体" w:cs="Times New Roman"/>
          <w:color w:val="000000" w:themeColor="text1"/>
          <w:sz w:val="36"/>
          <w:szCs w:val="36"/>
          <w14:textFill>
            <w14:solidFill>
              <w14:schemeClr w14:val="tx1"/>
            </w14:solidFill>
          </w14:textFill>
        </w:rPr>
        <w:t>公示本</w:t>
      </w:r>
      <w:r>
        <w:rPr>
          <w:rFonts w:eastAsia="黑体" w:cs="Times New Roman"/>
          <w:color w:val="000000" w:themeColor="text1"/>
          <w:sz w:val="36"/>
          <w:szCs w:val="36"/>
          <w14:textFill>
            <w14:solidFill>
              <w14:schemeClr w14:val="tx1"/>
            </w14:solidFill>
          </w14:textFill>
        </w:rPr>
        <w:t>）</w:t>
      </w:r>
    </w:p>
    <w:bookmarkEnd w:id="2"/>
    <w:p>
      <w:pPr>
        <w:ind w:firstLine="880"/>
        <w:rPr>
          <w:rFonts w:eastAsia="黑体" w:cs="Times New Roman"/>
          <w:color w:val="000000" w:themeColor="text1"/>
          <w:sz w:val="44"/>
          <w:szCs w:val="44"/>
          <w14:textFill>
            <w14:solidFill>
              <w14:schemeClr w14:val="tx1"/>
            </w14:solidFill>
          </w14:textFill>
        </w:rPr>
      </w:pPr>
    </w:p>
    <w:p>
      <w:pPr>
        <w:ind w:firstLine="880"/>
        <w:rPr>
          <w:rFonts w:eastAsia="黑体" w:cs="Times New Roman"/>
          <w:color w:val="000000" w:themeColor="text1"/>
          <w:sz w:val="44"/>
          <w:szCs w:val="44"/>
          <w14:textFill>
            <w14:solidFill>
              <w14:schemeClr w14:val="tx1"/>
            </w14:solidFill>
          </w14:textFill>
        </w:rPr>
      </w:pPr>
    </w:p>
    <w:p>
      <w:pPr>
        <w:ind w:firstLine="880"/>
        <w:rPr>
          <w:rFonts w:eastAsia="黑体" w:cs="Times New Roman"/>
          <w:color w:val="000000" w:themeColor="text1"/>
          <w:sz w:val="44"/>
          <w:szCs w:val="44"/>
          <w14:textFill>
            <w14:solidFill>
              <w14:schemeClr w14:val="tx1"/>
            </w14:solidFill>
          </w14:textFill>
        </w:rPr>
      </w:pPr>
    </w:p>
    <w:p>
      <w:pPr>
        <w:ind w:firstLine="880"/>
        <w:rPr>
          <w:rFonts w:eastAsia="黑体" w:cs="Times New Roman"/>
          <w:color w:val="000000" w:themeColor="text1"/>
          <w:sz w:val="44"/>
          <w:szCs w:val="44"/>
          <w14:textFill>
            <w14:solidFill>
              <w14:schemeClr w14:val="tx1"/>
            </w14:solidFill>
          </w14:textFill>
        </w:rPr>
      </w:pPr>
    </w:p>
    <w:p>
      <w:pPr>
        <w:ind w:firstLine="880"/>
        <w:rPr>
          <w:rFonts w:eastAsia="黑体" w:cs="Times New Roman"/>
          <w:color w:val="000000" w:themeColor="text1"/>
          <w:sz w:val="44"/>
          <w:szCs w:val="44"/>
          <w14:textFill>
            <w14:solidFill>
              <w14:schemeClr w14:val="tx1"/>
            </w14:solidFill>
          </w14:textFill>
        </w:rPr>
      </w:pPr>
    </w:p>
    <w:p>
      <w:pPr>
        <w:ind w:firstLine="880"/>
        <w:rPr>
          <w:rFonts w:eastAsia="黑体" w:cs="Times New Roman"/>
          <w:color w:val="000000" w:themeColor="text1"/>
          <w:sz w:val="44"/>
          <w:szCs w:val="44"/>
          <w14:textFill>
            <w14:solidFill>
              <w14:schemeClr w14:val="tx1"/>
            </w14:solidFill>
          </w14:textFill>
        </w:rPr>
      </w:pPr>
    </w:p>
    <w:p>
      <w:pPr>
        <w:ind w:firstLine="880"/>
        <w:rPr>
          <w:rFonts w:eastAsia="黑体" w:cs="Times New Roman"/>
          <w:color w:val="000000" w:themeColor="text1"/>
          <w:sz w:val="44"/>
          <w:szCs w:val="44"/>
          <w14:textFill>
            <w14:solidFill>
              <w14:schemeClr w14:val="tx1"/>
            </w14:solidFill>
          </w14:textFill>
        </w:rPr>
      </w:pPr>
    </w:p>
    <w:p>
      <w:pPr>
        <w:ind w:firstLine="880"/>
        <w:rPr>
          <w:rFonts w:eastAsia="黑体" w:cs="Times New Roman"/>
          <w:color w:val="000000" w:themeColor="text1"/>
          <w:sz w:val="44"/>
          <w:szCs w:val="44"/>
          <w14:textFill>
            <w14:solidFill>
              <w14:schemeClr w14:val="tx1"/>
            </w14:solidFill>
          </w14:textFill>
        </w:rPr>
      </w:pPr>
    </w:p>
    <w:p>
      <w:pPr>
        <w:ind w:firstLine="0" w:firstLineChars="0"/>
        <w:jc w:val="center"/>
        <w:rPr>
          <w:rFonts w:eastAsia="黑体" w:cs="Times New Roman"/>
          <w:color w:val="000000" w:themeColor="text1"/>
          <w:sz w:val="36"/>
          <w:szCs w:val="36"/>
          <w14:textFill>
            <w14:solidFill>
              <w14:schemeClr w14:val="tx1"/>
            </w14:solidFill>
          </w14:textFill>
        </w:rPr>
      </w:pPr>
      <w:r>
        <w:rPr>
          <w:rFonts w:eastAsia="黑体" w:cs="Times New Roman"/>
          <w:color w:val="000000" w:themeColor="text1"/>
          <w:sz w:val="36"/>
          <w:szCs w:val="36"/>
          <w14:textFill>
            <w14:solidFill>
              <w14:schemeClr w14:val="tx1"/>
            </w14:solidFill>
          </w14:textFill>
        </w:rPr>
        <w:t>山西博清环境科技有限公司</w:t>
      </w:r>
    </w:p>
    <w:p>
      <w:pPr>
        <w:ind w:firstLine="0" w:firstLineChars="0"/>
        <w:jc w:val="center"/>
        <w:rPr>
          <w:rFonts w:eastAsia="黑体" w:cs="Times New Roman"/>
          <w:color w:val="000000" w:themeColor="text1"/>
          <w:sz w:val="36"/>
          <w:szCs w:val="36"/>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NumType w:fmt="upperRoman" w:start="1"/>
          <w:cols w:space="720" w:num="1"/>
          <w:titlePg/>
          <w:docGrid w:linePitch="326" w:charSpace="0"/>
        </w:sectPr>
      </w:pPr>
      <w:r>
        <w:rPr>
          <w:rFonts w:eastAsia="黑体" w:cs="Times New Roman"/>
          <w:color w:val="000000" w:themeColor="text1"/>
          <w:sz w:val="36"/>
          <w:szCs w:val="36"/>
          <w14:textFill>
            <w14:solidFill>
              <w14:schemeClr w14:val="tx1"/>
            </w14:solidFill>
          </w14:textFill>
        </w:rPr>
        <w:t>二〇二一年十二月</w:t>
      </w:r>
    </w:p>
    <w:p>
      <w:pPr>
        <w:pStyle w:val="299"/>
        <w:ind w:firstLine="482"/>
        <w:rPr>
          <w:rFonts w:cs="Times New Roman"/>
          <w:color w:val="000000" w:themeColor="text1"/>
          <w14:textFill>
            <w14:solidFill>
              <w14:schemeClr w14:val="tx1"/>
            </w14:solidFill>
          </w14:textFill>
        </w:rPr>
      </w:pPr>
      <w:r>
        <w:drawing>
          <wp:anchor distT="0" distB="0" distL="114300" distR="114300" simplePos="0" relativeHeight="251786240" behindDoc="0" locked="0" layoutInCell="1" allowOverlap="1">
            <wp:simplePos x="0" y="0"/>
            <wp:positionH relativeFrom="margin">
              <wp:align>center</wp:align>
            </wp:positionH>
            <wp:positionV relativeFrom="margin">
              <wp:align>center</wp:align>
            </wp:positionV>
            <wp:extent cx="7559040" cy="10692130"/>
            <wp:effectExtent l="0" t="0" r="3810" b="0"/>
            <wp:wrapSquare wrapText="bothSides"/>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noChangeArrowheads="true"/>
                    </pic:cNvPicPr>
                  </pic:nvPicPr>
                  <pic:blipFill>
                    <a:blip r:embed="rId16" cstate="print">
                      <a:extLst>
                        <a:ext uri="{28A0092B-C50C-407E-A947-70E740481C1C}">
                          <a14:useLocalDpi xmlns:a14="http://schemas.microsoft.com/office/drawing/2010/main" val="false"/>
                        </a:ext>
                      </a:extLst>
                    </a:blip>
                    <a:stretch>
                      <a:fillRect/>
                    </a:stretch>
                  </pic:blipFill>
                  <pic:spPr>
                    <a:xfrm>
                      <a:off x="0" y="0"/>
                      <a:ext cx="7559040" cy="10692130"/>
                    </a:xfrm>
                    <a:prstGeom prst="rect">
                      <a:avLst/>
                    </a:prstGeom>
                  </pic:spPr>
                </pic:pic>
              </a:graphicData>
            </a:graphic>
          </wp:anchor>
        </w:drawing>
      </w:r>
    </w:p>
    <w:p>
      <w:pPr>
        <w:pStyle w:val="299"/>
        <w:ind w:firstLine="48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anchor distT="0" distB="0" distL="114300" distR="114300" simplePos="0" relativeHeight="251788288" behindDoc="0" locked="0" layoutInCell="1" allowOverlap="1">
            <wp:simplePos x="0" y="0"/>
            <wp:positionH relativeFrom="margin">
              <wp:posOffset>-1022350</wp:posOffset>
            </wp:positionH>
            <wp:positionV relativeFrom="margin">
              <wp:posOffset>-1673225</wp:posOffset>
            </wp:positionV>
            <wp:extent cx="7560310" cy="10950575"/>
            <wp:effectExtent l="0" t="0" r="3175" b="3175"/>
            <wp:wrapSquare wrapText="bothSides"/>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7">
                      <a:extLst>
                        <a:ext uri="{28A0092B-C50C-407E-A947-70E740481C1C}">
                          <a14:useLocalDpi xmlns:a14="http://schemas.microsoft.com/office/drawing/2010/main" val="false"/>
                        </a:ext>
                      </a:extLst>
                    </a:blip>
                    <a:stretch>
                      <a:fillRect/>
                    </a:stretch>
                  </pic:blipFill>
                  <pic:spPr>
                    <a:xfrm>
                      <a:off x="0" y="0"/>
                      <a:ext cx="7560000" cy="10950882"/>
                    </a:xfrm>
                    <a:prstGeom prst="rect">
                      <a:avLst/>
                    </a:prstGeom>
                  </pic:spPr>
                </pic:pic>
              </a:graphicData>
            </a:graphic>
          </wp:anchor>
        </w:drawing>
      </w:r>
      <w:r>
        <w:rPr>
          <w:rFonts w:cs="Times New Roman"/>
          <w:color w:val="000000" w:themeColor="text1"/>
          <w14:textFill>
            <w14:solidFill>
              <w14:schemeClr w14:val="tx1"/>
            </w14:solidFill>
          </w14:textFill>
        </w:rPr>
        <w:br w:type="page"/>
      </w:r>
    </w:p>
    <w:p>
      <w:pPr>
        <w:pStyle w:val="299"/>
        <w:ind w:firstLine="490"/>
        <w:rPr>
          <w:rFonts w:cs="Times New Roman"/>
          <w:color w:val="000000" w:themeColor="text1"/>
          <w14:textFill>
            <w14:solidFill>
              <w14:schemeClr w14:val="tx1"/>
            </w14:solidFill>
          </w14:textFill>
        </w:rPr>
        <w:sectPr>
          <w:pgSz w:w="11906" w:h="16838"/>
          <w:pgMar w:top="1418" w:right="1418" w:bottom="1418" w:left="1418" w:header="851" w:footer="992" w:gutter="0"/>
          <w:pgNumType w:fmt="upperRoman" w:start="1"/>
          <w:cols w:space="720" w:num="1"/>
          <w:titlePg/>
          <w:docGrid w:linePitch="326" w:charSpace="0"/>
        </w:sectPr>
      </w:pPr>
      <w:r>
        <w:rPr>
          <w:rFonts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drawing>
          <wp:anchor distT="0" distB="0" distL="114300" distR="114300" simplePos="0" relativeHeight="251790336" behindDoc="0" locked="0" layoutInCell="1" allowOverlap="1">
            <wp:simplePos x="0" y="0"/>
            <wp:positionH relativeFrom="margin">
              <wp:align>center</wp:align>
            </wp:positionH>
            <wp:positionV relativeFrom="margin">
              <wp:align>center</wp:align>
            </wp:positionV>
            <wp:extent cx="7560310" cy="10694035"/>
            <wp:effectExtent l="0" t="0" r="3175" b="0"/>
            <wp:wrapSquare wrapText="bothSides"/>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18" cstate="print">
                      <a:extLst>
                        <a:ext uri="{28A0092B-C50C-407E-A947-70E740481C1C}">
                          <a14:useLocalDpi xmlns:a14="http://schemas.microsoft.com/office/drawing/2010/main" val="false"/>
                        </a:ext>
                      </a:extLst>
                    </a:blip>
                    <a:stretch>
                      <a:fillRect/>
                    </a:stretch>
                  </pic:blipFill>
                  <pic:spPr>
                    <a:xfrm>
                      <a:off x="0" y="0"/>
                      <a:ext cx="7560000" cy="10693823"/>
                    </a:xfrm>
                    <a:prstGeom prst="rect">
                      <a:avLst/>
                    </a:prstGeom>
                  </pic:spPr>
                </pic:pic>
              </a:graphicData>
            </a:graphic>
          </wp:anchor>
        </w:drawing>
      </w:r>
    </w:p>
    <w:p>
      <w:pPr>
        <w:ind w:firstLine="880"/>
        <w:jc w:val="center"/>
        <w:rPr>
          <w:rFonts w:eastAsia="黑体" w:cs="Times New Roman"/>
          <w:color w:val="000000" w:themeColor="text1"/>
          <w:sz w:val="44"/>
          <w:szCs w:val="44"/>
          <w14:textFill>
            <w14:solidFill>
              <w14:schemeClr w14:val="tx1"/>
            </w14:solidFill>
          </w14:textFill>
        </w:rPr>
      </w:pPr>
      <w:bookmarkStart w:id="3" w:name="_Toc47619094"/>
      <w:bookmarkStart w:id="4" w:name="_Toc486949239"/>
      <w:bookmarkStart w:id="5" w:name="_Toc45240499"/>
      <w:bookmarkStart w:id="6" w:name="_Toc47619756"/>
      <w:bookmarkStart w:id="7" w:name="_Toc47619942"/>
      <w:bookmarkStart w:id="8" w:name="_Toc47619339"/>
      <w:bookmarkStart w:id="9" w:name="_Toc47619445"/>
      <w:r>
        <w:rPr>
          <w:rFonts w:eastAsia="黑体" w:cs="Times New Roman"/>
          <w:color w:val="000000" w:themeColor="text1"/>
          <w:sz w:val="44"/>
          <w:szCs w:val="44"/>
          <w14:textFill>
            <w14:solidFill>
              <w14:schemeClr w14:val="tx1"/>
            </w14:solidFill>
          </w14:textFill>
        </w:rPr>
        <w:t>目  录</w:t>
      </w:r>
      <w:bookmarkEnd w:id="0"/>
      <w:bookmarkEnd w:id="1"/>
      <w:bookmarkEnd w:id="3"/>
      <w:bookmarkEnd w:id="4"/>
      <w:bookmarkEnd w:id="5"/>
      <w:bookmarkEnd w:id="6"/>
      <w:bookmarkEnd w:id="7"/>
      <w:bookmarkEnd w:id="8"/>
      <w:bookmarkEnd w:id="9"/>
    </w:p>
    <w:p>
      <w:pPr>
        <w:pStyle w:val="34"/>
        <w:tabs>
          <w:tab w:val="right" w:leader="dot" w:pos="9060"/>
        </w:tabs>
        <w:ind w:firstLine="0" w:firstLineChars="0"/>
        <w:rPr>
          <w:rFonts w:ascii="Times New Roman" w:cs="Times New Roman" w:eastAsiaTheme="minorEastAsia"/>
          <w:b w:val="0"/>
          <w:bCs w:val="0"/>
          <w:caps w:val="0"/>
          <w:color w:val="000000" w:themeColor="text1"/>
          <w:sz w:val="21"/>
          <w:szCs w:val="22"/>
          <w14:textFill>
            <w14:solidFill>
              <w14:schemeClr w14:val="tx1"/>
            </w14:solidFill>
          </w14:textFill>
        </w:rPr>
      </w:pPr>
      <w:r>
        <w:rPr>
          <w:rFonts w:ascii="Times New Roman" w:cs="Times New Roman"/>
          <w:b w:val="0"/>
          <w:bCs w:val="0"/>
          <w:caps w:val="0"/>
          <w:color w:val="000000" w:themeColor="text1"/>
          <w:sz w:val="21"/>
          <w:szCs w:val="21"/>
          <w14:textFill>
            <w14:solidFill>
              <w14:schemeClr w14:val="tx1"/>
            </w14:solidFill>
          </w14:textFill>
        </w:rPr>
        <w:fldChar w:fldCharType="begin"/>
      </w:r>
      <w:r>
        <w:rPr>
          <w:rFonts w:ascii="Times New Roman" w:cs="Times New Roman"/>
          <w:b w:val="0"/>
          <w:bCs w:val="0"/>
          <w:caps w:val="0"/>
          <w:color w:val="000000" w:themeColor="text1"/>
          <w:sz w:val="21"/>
          <w:szCs w:val="21"/>
          <w14:textFill>
            <w14:solidFill>
              <w14:schemeClr w14:val="tx1"/>
            </w14:solidFill>
          </w14:textFill>
        </w:rPr>
        <w:instrText xml:space="preserve"> TOC \o "1-3" \h \z \u </w:instrText>
      </w:r>
      <w:r>
        <w:rPr>
          <w:rFonts w:ascii="Times New Roman" w:cs="Times New Roman"/>
          <w:b w:val="0"/>
          <w:bCs w:val="0"/>
          <w:caps w:val="0"/>
          <w:color w:val="000000" w:themeColor="text1"/>
          <w:sz w:val="21"/>
          <w:szCs w:val="21"/>
          <w14:textFill>
            <w14:solidFill>
              <w14:schemeClr w14:val="tx1"/>
            </w14:solidFill>
          </w14:textFill>
        </w:rPr>
        <w:fldChar w:fldCharType="separate"/>
      </w:r>
      <w:r>
        <w:fldChar w:fldCharType="begin"/>
      </w:r>
      <w:r>
        <w:instrText xml:space="preserve"> HYPERLINK \l "_Toc91163812" </w:instrText>
      </w:r>
      <w:r>
        <w:fldChar w:fldCharType="separate"/>
      </w:r>
      <w:r>
        <w:rPr>
          <w:rStyle w:val="61"/>
          <w:rFonts w:cs="Times New Roman"/>
          <w:color w:val="000000" w:themeColor="text1"/>
          <w14:textFill>
            <w14:solidFill>
              <w14:schemeClr w14:val="tx1"/>
            </w14:solidFill>
          </w14:textFill>
        </w:rPr>
        <w:t>第一章 概述</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_Toc91163812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- 1 -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"_Toc91163813" </w:instrText>
      </w:r>
      <w:r>
        <w:fldChar w:fldCharType="separate"/>
      </w:r>
      <w:r>
        <w:rPr>
          <w:rStyle w:val="61"/>
          <w:rFonts w:cs="Times New Roman"/>
          <w:color w:val="000000" w:themeColor="text1"/>
          <w14:textFill>
            <w14:solidFill>
              <w14:schemeClr w14:val="tx1"/>
            </w14:solidFill>
          </w14:textFill>
        </w:rPr>
        <w:t>1.1  建设项目的背景</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_Toc91163813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- 1 -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"_Toc91163814" </w:instrText>
      </w:r>
      <w:r>
        <w:fldChar w:fldCharType="separate"/>
      </w:r>
      <w:r>
        <w:rPr>
          <w:rStyle w:val="61"/>
          <w:rFonts w:cs="Times New Roman"/>
          <w:color w:val="000000" w:themeColor="text1"/>
          <w14:textFill>
            <w14:solidFill>
              <w14:schemeClr w14:val="tx1"/>
            </w14:solidFill>
          </w14:textFill>
        </w:rPr>
        <w:t>1.2  环境影响评价的工作过程</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_Toc91163814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"_Toc91163815" </w:instrText>
      </w:r>
      <w:r>
        <w:fldChar w:fldCharType="separate"/>
      </w:r>
      <w:r>
        <w:rPr>
          <w:rStyle w:val="61"/>
          <w:rFonts w:cs="Times New Roman"/>
          <w:color w:val="000000" w:themeColor="text1"/>
          <w14:textFill>
            <w14:solidFill>
              <w14:schemeClr w14:val="tx1"/>
            </w14:solidFill>
          </w14:textFill>
        </w:rPr>
        <w:t>1.3  项目可行性判定</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_Toc91163815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"_Toc91163816" </w:instrText>
      </w:r>
      <w:r>
        <w:fldChar w:fldCharType="separate"/>
      </w:r>
      <w:r>
        <w:rPr>
          <w:rStyle w:val="61"/>
          <w:rFonts w:cs="Times New Roman"/>
          <w:i w:val="0"/>
          <w:iCs w:val="0"/>
          <w:color w:val="000000" w:themeColor="text1"/>
          <w14:textFill>
            <w14:solidFill>
              <w14:schemeClr w14:val="tx1"/>
            </w14:solidFill>
          </w14:textFill>
        </w:rPr>
        <w:t>1.3.1 产业政策符合性分析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_Toc91163816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"_Toc91163817" </w:instrText>
      </w:r>
      <w:r>
        <w:fldChar w:fldCharType="separate"/>
      </w:r>
      <w:r>
        <w:rPr>
          <w:rStyle w:val="61"/>
          <w:rFonts w:cs="Times New Roman"/>
          <w:i w:val="0"/>
          <w:iCs w:val="0"/>
          <w:color w:val="000000" w:themeColor="text1"/>
          <w14:textFill>
            <w14:solidFill>
              <w14:schemeClr w14:val="tx1"/>
            </w14:solidFill>
          </w14:textFill>
        </w:rPr>
        <w:t>1.3.2 选址可行性分析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_Toc91163817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"_Toc91163818" </w:instrText>
      </w:r>
      <w:r>
        <w:fldChar w:fldCharType="separate"/>
      </w:r>
      <w:r>
        <w:rPr>
          <w:rStyle w:val="61"/>
          <w:rFonts w:cs="Times New Roman"/>
          <w:i w:val="0"/>
          <w:iCs w:val="0"/>
          <w:color w:val="000000" w:themeColor="text1"/>
          <w14:textFill>
            <w14:solidFill>
              <w14:schemeClr w14:val="tx1"/>
            </w14:solidFill>
          </w14:textFill>
        </w:rPr>
        <w:t>1.3.3 “三线一单”符合性分析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_Toc91163818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- 12 -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"_Toc91163819" </w:instrText>
      </w:r>
      <w:r>
        <w:fldChar w:fldCharType="separate"/>
      </w:r>
      <w:r>
        <w:rPr>
          <w:rStyle w:val="61"/>
          <w:rFonts w:cs="Times New Roman"/>
          <w:i w:val="0"/>
          <w:iCs w:val="0"/>
          <w:color w:val="000000" w:themeColor="text1"/>
          <w14:textFill>
            <w14:solidFill>
              <w14:schemeClr w14:val="tx1"/>
            </w14:solidFill>
          </w14:textFill>
        </w:rPr>
        <w:t>1.3.4 屯留区畜禽养殖禁养区划定方案</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_Toc91163819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"_Toc91163820" </w:instrText>
      </w:r>
      <w:r>
        <w:fldChar w:fldCharType="separate"/>
      </w:r>
      <w:r>
        <w:rPr>
          <w:rStyle w:val="61"/>
          <w:rFonts w:cs="Times New Roman"/>
          <w:i w:val="0"/>
          <w:iCs w:val="0"/>
          <w:color w:val="000000" w:themeColor="text1"/>
          <w14:textFill>
            <w14:solidFill>
              <w14:schemeClr w14:val="tx1"/>
            </w14:solidFill>
          </w14:textFill>
        </w:rPr>
        <w:t>1.3.5 环境敏感因素分析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_Toc91163820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- 17 -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"_Toc91163821" </w:instrText>
      </w:r>
      <w:r>
        <w:fldChar w:fldCharType="separate"/>
      </w:r>
      <w:r>
        <w:rPr>
          <w:rStyle w:val="61"/>
          <w:rFonts w:cs="Times New Roman"/>
          <w:i w:val="0"/>
          <w:iCs w:val="0"/>
          <w:color w:val="000000" w:themeColor="text1"/>
          <w14:textFill>
            <w14:solidFill>
              <w14:schemeClr w14:val="tx1"/>
            </w14:solidFill>
          </w14:textFill>
        </w:rPr>
        <w:t xml:space="preserve">1.3.6 </w:t>
      </w:r>
      <w:r>
        <w:rPr>
          <w:rStyle w:val="61"/>
          <w:rFonts w:cs="Times New Roman"/>
          <w:i w:val="0"/>
          <w:iCs w:val="0"/>
          <w:color w:val="000000" w:themeColor="text1"/>
          <w:lang w:bidi="en-US"/>
          <w14:textFill>
            <w14:solidFill>
              <w14:schemeClr w14:val="tx1"/>
            </w14:solidFill>
          </w14:textFill>
        </w:rPr>
        <w:t>与其他法律法规、</w:t>
      </w:r>
      <w:r>
        <w:rPr>
          <w:rStyle w:val="61"/>
          <w:rFonts w:cs="Times New Roman"/>
          <w:i w:val="0"/>
          <w:iCs w:val="0"/>
          <w:color w:val="000000" w:themeColor="text1"/>
          <w14:textFill>
            <w14:solidFill>
              <w14:schemeClr w14:val="tx1"/>
            </w14:solidFill>
          </w14:textFill>
        </w:rPr>
        <w:t>相关政策及技术规范符合性分析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_Toc91163821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- 22 -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"_Toc91163822" </w:instrText>
      </w:r>
      <w:r>
        <w:fldChar w:fldCharType="separate"/>
      </w:r>
      <w:r>
        <w:rPr>
          <w:rStyle w:val="61"/>
          <w:rFonts w:cs="Times New Roman"/>
          <w:color w:val="000000" w:themeColor="text1"/>
          <w14:textFill>
            <w14:solidFill>
              <w14:schemeClr w14:val="tx1"/>
            </w14:solidFill>
          </w14:textFill>
        </w:rPr>
        <w:t>1.4  关注的主要环境问题及环境影响</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_Toc91163822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- 35 -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"_Toc91163823" </w:instrText>
      </w:r>
      <w:r>
        <w:fldChar w:fldCharType="separate"/>
      </w:r>
      <w:r>
        <w:rPr>
          <w:rStyle w:val="61"/>
          <w:rFonts w:cs="Times New Roman"/>
          <w:color w:val="000000" w:themeColor="text1"/>
          <w14:textFill>
            <w14:solidFill>
              <w14:schemeClr w14:val="tx1"/>
            </w14:solidFill>
          </w14:textFill>
        </w:rPr>
        <w:t>1.5  环境影响评价的主要结论</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_Toc91163823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- 36 -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34"/>
        <w:tabs>
          <w:tab w:val="right" w:leader="dot" w:pos="9060"/>
        </w:tabs>
        <w:ind w:firstLine="0" w:firstLineChars="0"/>
        <w:rPr>
          <w:rStyle w:val="61"/>
          <w:color w:val="000000" w:themeColor="text1"/>
          <w14:textFill>
            <w14:solidFill>
              <w14:schemeClr w14:val="tx1"/>
            </w14:solidFill>
          </w14:textFill>
        </w:rPr>
      </w:pPr>
      <w:r>
        <w:fldChar w:fldCharType="begin"/>
      </w:r>
      <w:r>
        <w:instrText xml:space="preserve"> HYPERLINK \l "_Toc91163824" </w:instrText>
      </w:r>
      <w:r>
        <w:fldChar w:fldCharType="separate"/>
      </w:r>
      <w:r>
        <w:rPr>
          <w:rStyle w:val="61"/>
          <w:rFonts w:cs="Times New Roman"/>
          <w:color w:val="000000" w:themeColor="text1"/>
          <w14:textFill>
            <w14:solidFill>
              <w14:schemeClr w14:val="tx1"/>
            </w14:solidFill>
          </w14:textFill>
        </w:rPr>
        <w:t>第二章 总则</w:t>
      </w:r>
      <w:r>
        <w:rPr>
          <w:rStyle w:val="61"/>
          <w:color w:val="000000" w:themeColor="text1"/>
          <w14:textFill>
            <w14:solidFill>
              <w14:schemeClr w14:val="tx1"/>
            </w14:solidFill>
          </w14:textFill>
        </w:rPr>
        <w:tab/>
      </w:r>
      <w:r>
        <w:rPr>
          <w:rStyle w:val="61"/>
          <w:color w:val="000000" w:themeColor="text1"/>
          <w14:textFill>
            <w14:solidFill>
              <w14:schemeClr w14:val="tx1"/>
            </w14:solidFill>
          </w14:textFill>
        </w:rPr>
        <w:fldChar w:fldCharType="begin"/>
      </w:r>
      <w:r>
        <w:rPr>
          <w:rStyle w:val="61"/>
          <w:color w:val="000000" w:themeColor="text1"/>
          <w14:textFill>
            <w14:solidFill>
              <w14:schemeClr w14:val="tx1"/>
            </w14:solidFill>
          </w14:textFill>
        </w:rPr>
        <w:instrText xml:space="preserve"> PAGEREF _Toc91163824 \h </w:instrText>
      </w:r>
      <w:r>
        <w:rPr>
          <w:rStyle w:val="61"/>
          <w:color w:val="000000" w:themeColor="text1"/>
          <w14:textFill>
            <w14:solidFill>
              <w14:schemeClr w14:val="tx1"/>
            </w14:solidFill>
          </w14:textFill>
        </w:rPr>
        <w:fldChar w:fldCharType="separate"/>
      </w:r>
      <w:r>
        <w:rPr>
          <w:rStyle w:val="61"/>
          <w:color w:val="000000" w:themeColor="text1"/>
          <w14:textFill>
            <w14:solidFill>
              <w14:schemeClr w14:val="tx1"/>
            </w14:solidFill>
          </w14:textFill>
        </w:rPr>
        <w:t>- 37 -</w:t>
      </w:r>
      <w:r>
        <w:rPr>
          <w:rStyle w:val="61"/>
          <w:color w:val="000000" w:themeColor="text1"/>
          <w14:textFill>
            <w14:solidFill>
              <w14:schemeClr w14:val="tx1"/>
            </w14:solidFill>
          </w14:textFill>
        </w:rPr>
        <w:fldChar w:fldCharType="end"/>
      </w:r>
      <w:r>
        <w:rPr>
          <w:rStyle w:val="61"/>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"_Toc91163825" </w:instrText>
      </w:r>
      <w:r>
        <w:fldChar w:fldCharType="separate"/>
      </w:r>
      <w:r>
        <w:rPr>
          <w:rStyle w:val="61"/>
          <w:rFonts w:cs="Times New Roman"/>
          <w:color w:val="000000" w:themeColor="text1"/>
          <w14:textFill>
            <w14:solidFill>
              <w14:schemeClr w14:val="tx1"/>
            </w14:solidFill>
          </w14:textFill>
        </w:rPr>
        <w:t>2.1  编制依据</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_Toc91163825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- 37 -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"_Toc91163826" </w:instrText>
      </w:r>
      <w:r>
        <w:fldChar w:fldCharType="separate"/>
      </w:r>
      <w:r>
        <w:rPr>
          <w:rStyle w:val="61"/>
          <w:rFonts w:cs="Times New Roman"/>
          <w:i w:val="0"/>
          <w:iCs w:val="0"/>
          <w:color w:val="000000" w:themeColor="text1"/>
          <w14:textFill>
            <w14:solidFill>
              <w14:schemeClr w14:val="tx1"/>
            </w14:solidFill>
          </w14:textFill>
        </w:rPr>
        <w:t>2.1.1 任务依据</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_Toc91163826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- 37 -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"_Toc91163827" </w:instrText>
      </w:r>
      <w:r>
        <w:fldChar w:fldCharType="separate"/>
      </w:r>
      <w:r>
        <w:rPr>
          <w:rStyle w:val="61"/>
          <w:rFonts w:cs="Times New Roman"/>
          <w:i w:val="0"/>
          <w:iCs w:val="0"/>
          <w:color w:val="000000" w:themeColor="text1"/>
          <w14:textFill>
            <w14:solidFill>
              <w14:schemeClr w14:val="tx1"/>
            </w14:solidFill>
          </w14:textFill>
        </w:rPr>
        <w:t>2.1.2 法律法规</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_Toc91163827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- 37 -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"_Toc91163828" </w:instrText>
      </w:r>
      <w:r>
        <w:fldChar w:fldCharType="separate"/>
      </w:r>
      <w:r>
        <w:rPr>
          <w:rStyle w:val="61"/>
          <w:rFonts w:cs="Times New Roman"/>
          <w:i w:val="0"/>
          <w:iCs w:val="0"/>
          <w:color w:val="000000" w:themeColor="text1"/>
          <w14:textFill>
            <w14:solidFill>
              <w14:schemeClr w14:val="tx1"/>
            </w14:solidFill>
          </w14:textFill>
        </w:rPr>
        <w:t>2.1.3 规章及规范性文件</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_Toc91163828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- 38 -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"_Toc91163829" </w:instrText>
      </w:r>
      <w:r>
        <w:fldChar w:fldCharType="separate"/>
      </w:r>
      <w:r>
        <w:rPr>
          <w:rStyle w:val="61"/>
          <w:rFonts w:cs="Times New Roman"/>
          <w:i w:val="0"/>
          <w:iCs w:val="0"/>
          <w:color w:val="000000" w:themeColor="text1"/>
          <w14:textFill>
            <w14:solidFill>
              <w14:schemeClr w14:val="tx1"/>
            </w14:solidFill>
          </w14:textFill>
        </w:rPr>
        <w:t>2.1.4 技术规范</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_Toc91163829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- 39 -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"_Toc91163830" </w:instrText>
      </w:r>
      <w:r>
        <w:fldChar w:fldCharType="separate"/>
      </w:r>
      <w:r>
        <w:rPr>
          <w:rStyle w:val="61"/>
          <w:rFonts w:cs="Times New Roman"/>
          <w:i w:val="0"/>
          <w:iCs w:val="0"/>
          <w:color w:val="000000" w:themeColor="text1"/>
          <w14:textFill>
            <w14:solidFill>
              <w14:schemeClr w14:val="tx1"/>
            </w14:solidFill>
          </w14:textFill>
        </w:rPr>
        <w:t>2.1.5 相关规划及区划</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_Toc91163830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- 40 -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"_Toc91163831" </w:instrText>
      </w:r>
      <w:r>
        <w:fldChar w:fldCharType="separate"/>
      </w:r>
      <w:r>
        <w:rPr>
          <w:rStyle w:val="61"/>
          <w:rFonts w:cs="Times New Roman"/>
          <w:color w:val="000000" w:themeColor="text1"/>
          <w14:textFill>
            <w14:solidFill>
              <w14:schemeClr w14:val="tx1"/>
            </w14:solidFill>
          </w14:textFill>
        </w:rPr>
        <w:t>2.2  环境影响识别与评价因子筛选</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_Toc91163831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- 40 -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"_Toc91163832" </w:instrText>
      </w:r>
      <w:r>
        <w:fldChar w:fldCharType="separate"/>
      </w:r>
      <w:r>
        <w:rPr>
          <w:rStyle w:val="61"/>
          <w:rFonts w:cs="Times New Roman"/>
          <w:i w:val="0"/>
          <w:iCs w:val="0"/>
          <w:color w:val="000000" w:themeColor="text1"/>
          <w14:textFill>
            <w14:solidFill>
              <w14:schemeClr w14:val="tx1"/>
            </w14:solidFill>
          </w14:textFill>
        </w:rPr>
        <w:t>2.2.1 环境影响因素识别</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_Toc91163832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- 40 -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"_Toc91163833" </w:instrText>
      </w:r>
      <w:r>
        <w:fldChar w:fldCharType="separate"/>
      </w:r>
      <w:r>
        <w:rPr>
          <w:rStyle w:val="61"/>
          <w:rFonts w:cs="Times New Roman"/>
          <w:i w:val="0"/>
          <w:iCs w:val="0"/>
          <w:color w:val="000000" w:themeColor="text1"/>
          <w14:textFill>
            <w14:solidFill>
              <w14:schemeClr w14:val="tx1"/>
            </w14:solidFill>
          </w14:textFill>
        </w:rPr>
        <w:t>2.3.2 评价因子筛选</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_Toc91163833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- 45 -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"_Toc91163834" </w:instrText>
      </w:r>
      <w:r>
        <w:fldChar w:fldCharType="separate"/>
      </w:r>
      <w:r>
        <w:rPr>
          <w:rStyle w:val="61"/>
          <w:rFonts w:cs="Times New Roman"/>
          <w:color w:val="000000" w:themeColor="text1"/>
          <w14:textFill>
            <w14:solidFill>
              <w14:schemeClr w14:val="tx1"/>
            </w14:solidFill>
          </w14:textFill>
        </w:rPr>
        <w:t>2.3  评价标准</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_Toc91163834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- 46 -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"_Toc91163835" </w:instrText>
      </w:r>
      <w:r>
        <w:fldChar w:fldCharType="separate"/>
      </w:r>
      <w:r>
        <w:rPr>
          <w:rStyle w:val="61"/>
          <w:rFonts w:cs="Times New Roman"/>
          <w:i w:val="0"/>
          <w:iCs w:val="0"/>
          <w:color w:val="000000" w:themeColor="text1"/>
          <w14:textFill>
            <w14:solidFill>
              <w14:schemeClr w14:val="tx1"/>
            </w14:solidFill>
          </w14:textFill>
        </w:rPr>
        <w:t>2.3.1 环境质量标准</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_Toc91163835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- 46 -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"_Toc91163836" </w:instrText>
      </w:r>
      <w:r>
        <w:fldChar w:fldCharType="separate"/>
      </w:r>
      <w:r>
        <w:rPr>
          <w:rStyle w:val="61"/>
          <w:rFonts w:cs="Times New Roman"/>
          <w:i w:val="0"/>
          <w:iCs w:val="0"/>
          <w:color w:val="000000" w:themeColor="text1"/>
          <w14:textFill>
            <w14:solidFill>
              <w14:schemeClr w14:val="tx1"/>
            </w14:solidFill>
          </w14:textFill>
        </w:rPr>
        <w:t>2.3.2 污染物排放标准</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_Toc91163836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- 48 -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"_Toc91163837" </w:instrText>
      </w:r>
      <w:r>
        <w:fldChar w:fldCharType="separate"/>
      </w:r>
      <w:r>
        <w:rPr>
          <w:rStyle w:val="61"/>
          <w:rFonts w:cs="Times New Roman"/>
          <w:color w:val="000000" w:themeColor="text1"/>
          <w14:textFill>
            <w14:solidFill>
              <w14:schemeClr w14:val="tx1"/>
            </w14:solidFill>
          </w14:textFill>
        </w:rPr>
        <w:t>2.4  评价等级</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_Toc91163837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- 51 -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"_Toc91163838" </w:instrText>
      </w:r>
      <w:r>
        <w:fldChar w:fldCharType="separate"/>
      </w:r>
      <w:r>
        <w:rPr>
          <w:rStyle w:val="61"/>
          <w:rFonts w:cs="Times New Roman"/>
          <w:i w:val="0"/>
          <w:iCs w:val="0"/>
          <w:color w:val="000000" w:themeColor="text1"/>
          <w14:textFill>
            <w14:solidFill>
              <w14:schemeClr w14:val="tx1"/>
            </w14:solidFill>
          </w14:textFill>
        </w:rPr>
        <w:t>2.4.1 大气环境</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_Toc91163838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- 51 -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"_Toc91163839" </w:instrText>
      </w:r>
      <w:r>
        <w:fldChar w:fldCharType="separate"/>
      </w:r>
      <w:r>
        <w:rPr>
          <w:rStyle w:val="61"/>
          <w:rFonts w:cs="Times New Roman"/>
          <w:i w:val="0"/>
          <w:iCs w:val="0"/>
          <w:color w:val="000000" w:themeColor="text1"/>
          <w14:textFill>
            <w14:solidFill>
              <w14:schemeClr w14:val="tx1"/>
            </w14:solidFill>
          </w14:textFill>
        </w:rPr>
        <w:t>2.4.2 地表水环境</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_Toc91163839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"_Toc91163840" </w:instrText>
      </w:r>
      <w:r>
        <w:fldChar w:fldCharType="separate"/>
      </w:r>
      <w:r>
        <w:rPr>
          <w:rStyle w:val="61"/>
          <w:rFonts w:cs="Times New Roman"/>
          <w:i w:val="0"/>
          <w:iCs w:val="0"/>
          <w:color w:val="000000" w:themeColor="text1"/>
          <w14:textFill>
            <w14:solidFill>
              <w14:schemeClr w14:val="tx1"/>
            </w14:solidFill>
          </w14:textFill>
        </w:rPr>
        <w:t>2.4.3 地下水环境</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_Toc91163840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- 54 -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"_Toc91163841" </w:instrText>
      </w:r>
      <w:r>
        <w:fldChar w:fldCharType="separate"/>
      </w:r>
      <w:r>
        <w:rPr>
          <w:rStyle w:val="61"/>
          <w:rFonts w:cs="Times New Roman"/>
          <w:i w:val="0"/>
          <w:iCs w:val="0"/>
          <w:color w:val="000000" w:themeColor="text1"/>
          <w14:textFill>
            <w14:solidFill>
              <w14:schemeClr w14:val="tx1"/>
            </w14:solidFill>
          </w14:textFill>
        </w:rPr>
        <w:t>2.4.4 声环境</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_Toc91163841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"_Toc91163842" </w:instrText>
      </w:r>
      <w:r>
        <w:fldChar w:fldCharType="separate"/>
      </w:r>
      <w:r>
        <w:rPr>
          <w:rStyle w:val="61"/>
          <w:rFonts w:cs="Times New Roman"/>
          <w:i w:val="0"/>
          <w:iCs w:val="0"/>
          <w:color w:val="000000" w:themeColor="text1"/>
          <w14:textFill>
            <w14:solidFill>
              <w14:schemeClr w14:val="tx1"/>
            </w14:solidFill>
          </w14:textFill>
        </w:rPr>
        <w:t>2.4.5 土壤环境</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_Toc91163842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"_Toc91163843" </w:instrText>
      </w:r>
      <w:r>
        <w:fldChar w:fldCharType="separate"/>
      </w:r>
      <w:r>
        <w:rPr>
          <w:rStyle w:val="61"/>
          <w:rFonts w:cs="Times New Roman"/>
          <w:i w:val="0"/>
          <w:iCs w:val="0"/>
          <w:color w:val="000000" w:themeColor="text1"/>
          <w14:textFill>
            <w14:solidFill>
              <w14:schemeClr w14:val="tx1"/>
            </w14:solidFill>
          </w14:textFill>
        </w:rPr>
        <w:t>2.4.6 生态环境</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_Toc91163843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- 57 -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"_Toc91163844" </w:instrText>
      </w:r>
      <w:r>
        <w:fldChar w:fldCharType="separate"/>
      </w:r>
      <w:r>
        <w:rPr>
          <w:rStyle w:val="61"/>
          <w:rFonts w:cs="Times New Roman"/>
          <w:i w:val="0"/>
          <w:iCs w:val="0"/>
          <w:color w:val="000000" w:themeColor="text1"/>
          <w14:textFill>
            <w14:solidFill>
              <w14:schemeClr w14:val="tx1"/>
            </w14:solidFill>
          </w14:textFill>
        </w:rPr>
        <w:t>2.4.7 环境风险</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_Toc91163844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- 57 -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"_Toc91163845" </w:instrText>
      </w:r>
      <w:r>
        <w:fldChar w:fldCharType="separate"/>
      </w:r>
      <w:r>
        <w:rPr>
          <w:rStyle w:val="61"/>
          <w:rFonts w:cs="Times New Roman"/>
          <w:color w:val="000000" w:themeColor="text1"/>
          <w14:textFill>
            <w14:solidFill>
              <w14:schemeClr w14:val="tx1"/>
            </w14:solidFill>
          </w14:textFill>
        </w:rPr>
        <w:t>2.5  评价范围</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_Toc91163845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- 58 -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"_Toc91163846" </w:instrText>
      </w:r>
      <w:r>
        <w:fldChar w:fldCharType="separate"/>
      </w:r>
      <w:r>
        <w:rPr>
          <w:rStyle w:val="61"/>
          <w:rFonts w:cs="Times New Roman"/>
          <w:i w:val="0"/>
          <w:iCs w:val="0"/>
          <w:color w:val="000000" w:themeColor="text1"/>
          <w14:textFill>
            <w14:solidFill>
              <w14:schemeClr w14:val="tx1"/>
            </w14:solidFill>
          </w14:textFill>
        </w:rPr>
        <w:t>2.5.1 大气评价范围</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_Toc91163846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- 58 -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"_Toc91163847" </w:instrText>
      </w:r>
      <w:r>
        <w:fldChar w:fldCharType="separate"/>
      </w:r>
      <w:r>
        <w:rPr>
          <w:rStyle w:val="61"/>
          <w:rFonts w:cs="Times New Roman"/>
          <w:i w:val="0"/>
          <w:iCs w:val="0"/>
          <w:color w:val="000000" w:themeColor="text1"/>
          <w14:textFill>
            <w14:solidFill>
              <w14:schemeClr w14:val="tx1"/>
            </w14:solidFill>
          </w14:textFill>
        </w:rPr>
        <w:t>2.5.2 地表水评价范围</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_Toc91163847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- 58 -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"_Toc91163848" </w:instrText>
      </w:r>
      <w:r>
        <w:fldChar w:fldCharType="separate"/>
      </w:r>
      <w:r>
        <w:rPr>
          <w:rStyle w:val="61"/>
          <w:rFonts w:cs="Times New Roman"/>
          <w:i w:val="0"/>
          <w:iCs w:val="0"/>
          <w:color w:val="000000" w:themeColor="text1"/>
          <w14:textFill>
            <w14:solidFill>
              <w14:schemeClr w14:val="tx1"/>
            </w14:solidFill>
          </w14:textFill>
        </w:rPr>
        <w:t>2.5.3 地下水评价范围</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_Toc91163848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- 58 -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"_Toc91163849" </w:instrText>
      </w:r>
      <w:r>
        <w:fldChar w:fldCharType="separate"/>
      </w:r>
      <w:r>
        <w:rPr>
          <w:rStyle w:val="61"/>
          <w:rFonts w:cs="Times New Roman"/>
          <w:i w:val="0"/>
          <w:iCs w:val="0"/>
          <w:color w:val="000000" w:themeColor="text1"/>
          <w14:textFill>
            <w14:solidFill>
              <w14:schemeClr w14:val="tx1"/>
            </w14:solidFill>
          </w14:textFill>
        </w:rPr>
        <w:t>2.5.4 声环境评价范围</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_Toc91163849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- 58 -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"_Toc91163850" </w:instrText>
      </w:r>
      <w:r>
        <w:fldChar w:fldCharType="separate"/>
      </w:r>
      <w:r>
        <w:rPr>
          <w:rStyle w:val="61"/>
          <w:rFonts w:cs="Times New Roman"/>
          <w:i w:val="0"/>
          <w:iCs w:val="0"/>
          <w:color w:val="000000" w:themeColor="text1"/>
          <w14:textFill>
            <w14:solidFill>
              <w14:schemeClr w14:val="tx1"/>
            </w14:solidFill>
          </w14:textFill>
        </w:rPr>
        <w:t>2.5.5 土壤环境评价范围</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_Toc91163850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"_Toc91163851" </w:instrText>
      </w:r>
      <w:r>
        <w:fldChar w:fldCharType="separate"/>
      </w:r>
      <w:r>
        <w:rPr>
          <w:rStyle w:val="61"/>
          <w:rFonts w:cs="Times New Roman"/>
          <w:i w:val="0"/>
          <w:iCs w:val="0"/>
          <w:color w:val="000000" w:themeColor="text1"/>
          <w14:textFill>
            <w14:solidFill>
              <w14:schemeClr w14:val="tx1"/>
            </w14:solidFill>
          </w14:textFill>
        </w:rPr>
        <w:t>2.5.6 生态环境评价范围</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_Toc91163851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"_Toc91163852" </w:instrText>
      </w:r>
      <w:r>
        <w:fldChar w:fldCharType="separate"/>
      </w:r>
      <w:r>
        <w:rPr>
          <w:rStyle w:val="61"/>
          <w:rFonts w:cs="Times New Roman"/>
          <w:i w:val="0"/>
          <w:iCs w:val="0"/>
          <w:color w:val="000000" w:themeColor="text1"/>
          <w14:textFill>
            <w14:solidFill>
              <w14:schemeClr w14:val="tx1"/>
            </w14:solidFill>
          </w14:textFill>
        </w:rPr>
        <w:t xml:space="preserve">2.5.7 </w:t>
      </w:r>
      <w:r>
        <w:rPr>
          <w:rStyle w:val="61"/>
          <w:rFonts w:cs="Times New Roman"/>
          <w:i w:val="0"/>
          <w:iCs w:val="0"/>
          <w:color w:val="000000" w:themeColor="text1"/>
          <w:kern w:val="0"/>
          <w14:textFill>
            <w14:solidFill>
              <w14:schemeClr w14:val="tx1"/>
            </w14:solidFill>
          </w14:textFill>
        </w:rPr>
        <w:t>环境风险评价范围</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_Toc91163852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"_Toc91163853" </w:instrText>
      </w:r>
      <w:r>
        <w:fldChar w:fldCharType="separate"/>
      </w:r>
      <w:r>
        <w:rPr>
          <w:rStyle w:val="61"/>
          <w:rFonts w:cs="Times New Roman"/>
          <w:color w:val="000000" w:themeColor="text1"/>
          <w14:textFill>
            <w14:solidFill>
              <w14:schemeClr w14:val="tx1"/>
            </w14:solidFill>
          </w14:textFill>
        </w:rPr>
        <w:t>2.6 环境功能区划</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_Toc91163853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- 59 -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"_Toc91163854" </w:instrText>
      </w:r>
      <w:r>
        <w:fldChar w:fldCharType="separate"/>
      </w:r>
      <w:r>
        <w:rPr>
          <w:rStyle w:val="61"/>
          <w:rFonts w:cs="Times New Roman"/>
          <w:i w:val="0"/>
          <w:iCs w:val="0"/>
          <w:color w:val="000000" w:themeColor="text1"/>
          <w14:textFill>
            <w14:solidFill>
              <w14:schemeClr w14:val="tx1"/>
            </w14:solidFill>
          </w14:textFill>
        </w:rPr>
        <w:t>2.6.1 环境空气</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_Toc91163854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"_Toc91163855" </w:instrText>
      </w:r>
      <w:r>
        <w:fldChar w:fldCharType="separate"/>
      </w:r>
      <w:r>
        <w:rPr>
          <w:rStyle w:val="61"/>
          <w:rFonts w:cs="Times New Roman"/>
          <w:i w:val="0"/>
          <w:iCs w:val="0"/>
          <w:color w:val="000000" w:themeColor="text1"/>
          <w14:textFill>
            <w14:solidFill>
              <w14:schemeClr w14:val="tx1"/>
            </w14:solidFill>
          </w14:textFill>
        </w:rPr>
        <w:t>2.6.2 地表水</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_Toc91163855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"_Toc91163856" </w:instrText>
      </w:r>
      <w:r>
        <w:fldChar w:fldCharType="separate"/>
      </w:r>
      <w:r>
        <w:rPr>
          <w:rStyle w:val="61"/>
          <w:rFonts w:cs="Times New Roman"/>
          <w:i w:val="0"/>
          <w:iCs w:val="0"/>
          <w:color w:val="000000" w:themeColor="text1"/>
          <w14:textFill>
            <w14:solidFill>
              <w14:schemeClr w14:val="tx1"/>
            </w14:solidFill>
          </w14:textFill>
        </w:rPr>
        <w:t>2.6.3 地下水</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_Toc91163856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"_Toc91163857" </w:instrText>
      </w:r>
      <w:r>
        <w:fldChar w:fldCharType="separate"/>
      </w:r>
      <w:r>
        <w:rPr>
          <w:rStyle w:val="61"/>
          <w:rFonts w:cs="Times New Roman"/>
          <w:i w:val="0"/>
          <w:iCs w:val="0"/>
          <w:color w:val="000000" w:themeColor="text1"/>
          <w14:textFill>
            <w14:solidFill>
              <w14:schemeClr w14:val="tx1"/>
            </w14:solidFill>
          </w14:textFill>
        </w:rPr>
        <w:t>2.6.4 声环境</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_Toc91163857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- 59 -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"_Toc91163858" </w:instrText>
      </w:r>
      <w:r>
        <w:fldChar w:fldCharType="separate"/>
      </w:r>
      <w:r>
        <w:rPr>
          <w:rStyle w:val="61"/>
          <w:rFonts w:cs="Times New Roman"/>
          <w:color w:val="000000" w:themeColor="text1"/>
          <w14:textFill>
            <w14:solidFill>
              <w14:schemeClr w14:val="tx1"/>
            </w14:solidFill>
          </w14:textFill>
        </w:rPr>
        <w:t>2.7 主要环境保护目标</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_Toc91163858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- 60 -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34"/>
        <w:tabs>
          <w:tab w:val="right" w:leader="dot" w:pos="9060"/>
        </w:tabs>
        <w:ind w:firstLine="0" w:firstLineChars="0"/>
        <w:rPr>
          <w:rStyle w:val="61"/>
          <w:color w:val="000000" w:themeColor="text1"/>
          <w14:textFill>
            <w14:solidFill>
              <w14:schemeClr w14:val="tx1"/>
            </w14:solidFill>
          </w14:textFill>
        </w:rPr>
      </w:pPr>
      <w:r>
        <w:fldChar w:fldCharType="begin"/>
      </w:r>
      <w:r>
        <w:instrText xml:space="preserve"> HYPERLINK \l "_Toc91163859" </w:instrText>
      </w:r>
      <w:r>
        <w:fldChar w:fldCharType="separate"/>
      </w:r>
      <w:r>
        <w:rPr>
          <w:rStyle w:val="61"/>
          <w:rFonts w:cs="Times New Roman"/>
          <w:color w:val="000000" w:themeColor="text1"/>
          <w14:textFill>
            <w14:solidFill>
              <w14:schemeClr w14:val="tx1"/>
            </w14:solidFill>
          </w14:textFill>
        </w:rPr>
        <w:t>第三章 工程概况及工程分析</w:t>
      </w:r>
      <w:r>
        <w:rPr>
          <w:rStyle w:val="61"/>
          <w:color w:val="000000" w:themeColor="text1"/>
          <w14:textFill>
            <w14:solidFill>
              <w14:schemeClr w14:val="tx1"/>
            </w14:solidFill>
          </w14:textFill>
        </w:rPr>
        <w:tab/>
      </w:r>
      <w:r>
        <w:rPr>
          <w:rStyle w:val="61"/>
          <w:color w:val="000000" w:themeColor="text1"/>
          <w14:textFill>
            <w14:solidFill>
              <w14:schemeClr w14:val="tx1"/>
            </w14:solidFill>
          </w14:textFill>
        </w:rPr>
        <w:fldChar w:fldCharType="begin"/>
      </w:r>
      <w:r>
        <w:rPr>
          <w:rStyle w:val="61"/>
          <w:color w:val="000000" w:themeColor="text1"/>
          <w14:textFill>
            <w14:solidFill>
              <w14:schemeClr w14:val="tx1"/>
            </w14:solidFill>
          </w14:textFill>
        </w:rPr>
        <w:instrText xml:space="preserve"> PAGEREF _Toc91163859 \h </w:instrText>
      </w:r>
      <w:r>
        <w:rPr>
          <w:rStyle w:val="61"/>
          <w:color w:val="000000" w:themeColor="text1"/>
          <w14:textFill>
            <w14:solidFill>
              <w14:schemeClr w14:val="tx1"/>
            </w14:solidFill>
          </w14:textFill>
        </w:rPr>
        <w:fldChar w:fldCharType="separate"/>
      </w:r>
      <w:r>
        <w:rPr>
          <w:rStyle w:val="61"/>
          <w:color w:val="000000" w:themeColor="text1"/>
          <w14:textFill>
            <w14:solidFill>
              <w14:schemeClr w14:val="tx1"/>
            </w14:solidFill>
          </w14:textFill>
        </w:rPr>
        <w:t>- 63 -</w:t>
      </w:r>
      <w:r>
        <w:rPr>
          <w:rStyle w:val="61"/>
          <w:color w:val="000000" w:themeColor="text1"/>
          <w14:textFill>
            <w14:solidFill>
              <w14:schemeClr w14:val="tx1"/>
            </w14:solidFill>
          </w14:textFill>
        </w:rPr>
        <w:fldChar w:fldCharType="end"/>
      </w:r>
      <w:r>
        <w:rPr>
          <w:rStyle w:val="61"/>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"_Toc91163860" </w:instrText>
      </w:r>
      <w:r>
        <w:fldChar w:fldCharType="separate"/>
      </w:r>
      <w:r>
        <w:rPr>
          <w:rStyle w:val="61"/>
          <w:rFonts w:cs="Times New Roman"/>
          <w:color w:val="000000" w:themeColor="text1"/>
          <w14:textFill>
            <w14:solidFill>
              <w14:schemeClr w14:val="tx1"/>
            </w14:solidFill>
          </w14:textFill>
        </w:rPr>
        <w:t>3.1  工程概况</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_Toc91163860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- 63 -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"_Toc91163861" </w:instrText>
      </w:r>
      <w:r>
        <w:fldChar w:fldCharType="separate"/>
      </w:r>
      <w:r>
        <w:rPr>
          <w:rStyle w:val="61"/>
          <w:rFonts w:cs="Times New Roman"/>
          <w:i w:val="0"/>
          <w:iCs w:val="0"/>
          <w:color w:val="000000" w:themeColor="text1"/>
          <w14:textFill>
            <w14:solidFill>
              <w14:schemeClr w14:val="tx1"/>
            </w14:solidFill>
          </w14:textFill>
        </w:rPr>
        <w:t>3.1.1 项目基本情况</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_Toc91163861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- 63 -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"_Toc91163862" </w:instrText>
      </w:r>
      <w:r>
        <w:fldChar w:fldCharType="separate"/>
      </w:r>
      <w:r>
        <w:rPr>
          <w:rStyle w:val="61"/>
          <w:rFonts w:cs="Times New Roman"/>
          <w:i w:val="0"/>
          <w:iCs w:val="0"/>
          <w:color w:val="000000" w:themeColor="text1"/>
          <w14:textFill>
            <w14:solidFill>
              <w14:schemeClr w14:val="tx1"/>
            </w14:solidFill>
          </w14:textFill>
        </w:rPr>
        <w:t>3.1.2 建设内容及建设规模</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_Toc91163862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- 63 -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"_Toc91163863" </w:instrText>
      </w:r>
      <w:r>
        <w:fldChar w:fldCharType="separate"/>
      </w:r>
      <w:r>
        <w:rPr>
          <w:rStyle w:val="61"/>
          <w:rFonts w:cs="Times New Roman"/>
          <w:i w:val="0"/>
          <w:iCs w:val="0"/>
          <w:color w:val="000000" w:themeColor="text1"/>
          <w14:textFill>
            <w14:solidFill>
              <w14:schemeClr w14:val="tx1"/>
            </w14:solidFill>
          </w14:textFill>
        </w:rPr>
        <w:t>3.1.3 平面布置</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_Toc91163863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- 66 -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"_Toc91163864" </w:instrText>
      </w:r>
      <w:r>
        <w:fldChar w:fldCharType="separate"/>
      </w:r>
      <w:r>
        <w:rPr>
          <w:rStyle w:val="61"/>
          <w:rFonts w:cs="Times New Roman"/>
          <w:i w:val="0"/>
          <w:iCs w:val="0"/>
          <w:color w:val="000000" w:themeColor="text1"/>
          <w14:textFill>
            <w14:solidFill>
              <w14:schemeClr w14:val="tx1"/>
            </w14:solidFill>
          </w14:textFill>
        </w:rPr>
        <w:t>3.1.4 产品方案</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_Toc91163864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- 66 -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"_Toc91163865" </w:instrText>
      </w:r>
      <w:r>
        <w:fldChar w:fldCharType="separate"/>
      </w:r>
      <w:r>
        <w:rPr>
          <w:rStyle w:val="61"/>
          <w:rFonts w:cs="Times New Roman"/>
          <w:i w:val="0"/>
          <w:iCs w:val="0"/>
          <w:color w:val="000000" w:themeColor="text1"/>
          <w14:textFill>
            <w14:solidFill>
              <w14:schemeClr w14:val="tx1"/>
            </w14:solidFill>
          </w14:textFill>
        </w:rPr>
        <w:t>3.1.5 生产设备</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_Toc91163865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- 69 -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"_Toc91163866" </w:instrText>
      </w:r>
      <w:r>
        <w:fldChar w:fldCharType="separate"/>
      </w:r>
      <w:r>
        <w:rPr>
          <w:rStyle w:val="61"/>
          <w:rFonts w:cs="Times New Roman"/>
          <w:i w:val="0"/>
          <w:iCs w:val="0"/>
          <w:color w:val="000000" w:themeColor="text1"/>
          <w14:textFill>
            <w14:solidFill>
              <w14:schemeClr w14:val="tx1"/>
            </w14:solidFill>
          </w14:textFill>
        </w:rPr>
        <w:t>3.1.6 原辅材料消耗</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_Toc91163866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- 69 -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"_Toc91163867" </w:instrText>
      </w:r>
      <w:r>
        <w:fldChar w:fldCharType="separate"/>
      </w:r>
      <w:r>
        <w:rPr>
          <w:rStyle w:val="61"/>
          <w:rFonts w:cs="Times New Roman"/>
          <w:i w:val="0"/>
          <w:iCs w:val="0"/>
          <w:color w:val="000000" w:themeColor="text1"/>
          <w14:textFill>
            <w14:solidFill>
              <w14:schemeClr w14:val="tx1"/>
            </w14:solidFill>
          </w14:textFill>
        </w:rPr>
        <w:t>3.1.7 经济技术指标</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_Toc91163867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- 71 -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"_Toc91163868" </w:instrText>
      </w:r>
      <w:r>
        <w:fldChar w:fldCharType="separate"/>
      </w:r>
      <w:r>
        <w:rPr>
          <w:rStyle w:val="61"/>
          <w:rFonts w:cs="Times New Roman"/>
          <w:color w:val="000000" w:themeColor="text1"/>
          <w14:textFill>
            <w14:solidFill>
              <w14:schemeClr w14:val="tx1"/>
            </w14:solidFill>
          </w14:textFill>
        </w:rPr>
        <w:t>3.2  公用工程</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_Toc91163868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- 72 -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"_Toc91163869" </w:instrText>
      </w:r>
      <w:r>
        <w:fldChar w:fldCharType="separate"/>
      </w:r>
      <w:r>
        <w:rPr>
          <w:rStyle w:val="61"/>
          <w:rFonts w:cs="Times New Roman"/>
          <w:i w:val="0"/>
          <w:iCs w:val="0"/>
          <w:color w:val="000000" w:themeColor="text1"/>
          <w14:textFill>
            <w14:solidFill>
              <w14:schemeClr w14:val="tx1"/>
            </w14:solidFill>
          </w14:textFill>
        </w:rPr>
        <w:t>3.2.1 给排水</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_Toc91163869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- 72 -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"_Toc91163870" </w:instrText>
      </w:r>
      <w:r>
        <w:fldChar w:fldCharType="separate"/>
      </w:r>
      <w:r>
        <w:rPr>
          <w:rStyle w:val="61"/>
          <w:rFonts w:cs="Times New Roman"/>
          <w:i w:val="0"/>
          <w:iCs w:val="0"/>
          <w:color w:val="000000" w:themeColor="text1"/>
          <w14:textFill>
            <w14:solidFill>
              <w14:schemeClr w14:val="tx1"/>
            </w14:solidFill>
          </w14:textFill>
        </w:rPr>
        <w:t>3.2.2 供电</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_Toc91163870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- 79 -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"_Toc91163871" </w:instrText>
      </w:r>
      <w:r>
        <w:fldChar w:fldCharType="separate"/>
      </w:r>
      <w:r>
        <w:rPr>
          <w:rStyle w:val="61"/>
          <w:rFonts w:cs="Times New Roman"/>
          <w:i w:val="0"/>
          <w:iCs w:val="0"/>
          <w:color w:val="000000" w:themeColor="text1"/>
          <w14:textFill>
            <w14:solidFill>
              <w14:schemeClr w14:val="tx1"/>
            </w14:solidFill>
          </w14:textFill>
        </w:rPr>
        <w:t>3.2.3 供暖、制冷</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_Toc91163871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- 79 -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"_Toc91163872" </w:instrText>
      </w:r>
      <w:r>
        <w:fldChar w:fldCharType="separate"/>
      </w:r>
      <w:r>
        <w:rPr>
          <w:rStyle w:val="61"/>
          <w:rFonts w:cs="Times New Roman"/>
          <w:i w:val="0"/>
          <w:iCs w:val="0"/>
          <w:color w:val="000000" w:themeColor="text1"/>
          <w14:textFill>
            <w14:solidFill>
              <w14:schemeClr w14:val="tx1"/>
            </w14:solidFill>
          </w14:textFill>
        </w:rPr>
        <w:t>3.2.4 通风</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_Toc91163872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- 81 -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"_Toc91163873" </w:instrText>
      </w:r>
      <w:r>
        <w:fldChar w:fldCharType="separate"/>
      </w:r>
      <w:r>
        <w:rPr>
          <w:rStyle w:val="61"/>
          <w:rFonts w:cs="Times New Roman"/>
          <w:color w:val="000000" w:themeColor="text1"/>
          <w14:textFill>
            <w14:solidFill>
              <w14:schemeClr w14:val="tx1"/>
            </w14:solidFill>
          </w14:textFill>
        </w:rPr>
        <w:t>3.3  工程分析</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_Toc91163873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- 81 -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"_Toc91163874" </w:instrText>
      </w:r>
      <w:r>
        <w:fldChar w:fldCharType="separate"/>
      </w:r>
      <w:r>
        <w:rPr>
          <w:rStyle w:val="61"/>
          <w:rFonts w:cs="Times New Roman"/>
          <w:i w:val="0"/>
          <w:iCs w:val="0"/>
          <w:color w:val="000000" w:themeColor="text1"/>
          <w14:textFill>
            <w14:solidFill>
              <w14:schemeClr w14:val="tx1"/>
            </w14:solidFill>
          </w14:textFill>
        </w:rPr>
        <w:t>3.3.1 养殖工艺</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_Toc91163874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- 81 -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"_Toc91163875" </w:instrText>
      </w:r>
      <w:r>
        <w:fldChar w:fldCharType="separate"/>
      </w:r>
      <w:r>
        <w:rPr>
          <w:rStyle w:val="61"/>
          <w:rFonts w:cs="Times New Roman"/>
          <w:i w:val="0"/>
          <w:iCs w:val="0"/>
          <w:color w:val="000000" w:themeColor="text1"/>
          <w14:textFill>
            <w14:solidFill>
              <w14:schemeClr w14:val="tx1"/>
            </w14:solidFill>
          </w14:textFill>
        </w:rPr>
        <w:t>3.3.2 养殖其他工艺说明</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_Toc91163875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- 83 -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"_Toc91163876" </w:instrText>
      </w:r>
      <w:r>
        <w:fldChar w:fldCharType="separate"/>
      </w:r>
      <w:r>
        <w:rPr>
          <w:rStyle w:val="61"/>
          <w:rFonts w:cs="Times New Roman"/>
          <w:i w:val="0"/>
          <w:iCs w:val="0"/>
          <w:color w:val="000000" w:themeColor="text1"/>
          <w14:textFill>
            <w14:solidFill>
              <w14:schemeClr w14:val="tx1"/>
            </w14:solidFill>
          </w14:textFill>
        </w:rPr>
        <w:t>3.3.3 干清粪工艺</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_Toc91163876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- 84 -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"_Toc91163877" </w:instrText>
      </w:r>
      <w:r>
        <w:fldChar w:fldCharType="separate"/>
      </w:r>
      <w:r>
        <w:rPr>
          <w:rStyle w:val="61"/>
          <w:rFonts w:cs="Times New Roman"/>
          <w:i w:val="0"/>
          <w:iCs w:val="0"/>
          <w:color w:val="000000" w:themeColor="text1"/>
          <w14:textFill>
            <w14:solidFill>
              <w14:schemeClr w14:val="tx1"/>
            </w14:solidFill>
          </w14:textFill>
        </w:rPr>
        <w:t>3.3.4 废水处理工艺</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_Toc91163877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- 85 -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"_Toc91163878" </w:instrText>
      </w:r>
      <w:r>
        <w:fldChar w:fldCharType="separate"/>
      </w:r>
      <w:r>
        <w:rPr>
          <w:rStyle w:val="61"/>
          <w:rFonts w:cs="Times New Roman"/>
          <w:i w:val="0"/>
          <w:iCs w:val="0"/>
          <w:color w:val="000000" w:themeColor="text1"/>
          <w14:textFill>
            <w14:solidFill>
              <w14:schemeClr w14:val="tx1"/>
            </w14:solidFill>
          </w14:textFill>
        </w:rPr>
        <w:t>3.3.5 堆肥工艺</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_Toc91163878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- 96 -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"_Toc91163879" </w:instrText>
      </w:r>
      <w:r>
        <w:fldChar w:fldCharType="separate"/>
      </w:r>
      <w:r>
        <w:rPr>
          <w:rStyle w:val="61"/>
          <w:rFonts w:cs="Times New Roman"/>
          <w:i w:val="0"/>
          <w:iCs w:val="0"/>
          <w:color w:val="000000" w:themeColor="text1"/>
          <w14:textFill>
            <w14:solidFill>
              <w14:schemeClr w14:val="tx1"/>
            </w14:solidFill>
          </w14:textFill>
        </w:rPr>
        <w:t>3.3.6 病死猪无害化处理</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_Toc91163879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- 99 -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"_Toc91163880" </w:instrText>
      </w:r>
      <w:r>
        <w:fldChar w:fldCharType="separate"/>
      </w:r>
      <w:r>
        <w:rPr>
          <w:rStyle w:val="61"/>
          <w:rFonts w:cs="Times New Roman"/>
          <w:i w:val="0"/>
          <w:iCs w:val="0"/>
          <w:color w:val="000000" w:themeColor="text1"/>
          <w14:textFill>
            <w14:solidFill>
              <w14:schemeClr w14:val="tx1"/>
            </w14:solidFill>
          </w14:textFill>
        </w:rPr>
        <w:t>3.3.7 消毒防疫</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_Toc91163880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- 101 -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"_Toc91163881" </w:instrText>
      </w:r>
      <w:r>
        <w:fldChar w:fldCharType="separate"/>
      </w:r>
      <w:r>
        <w:rPr>
          <w:rStyle w:val="61"/>
          <w:rFonts w:cs="Times New Roman"/>
          <w:color w:val="000000" w:themeColor="text1"/>
          <w14:textFill>
            <w14:solidFill>
              <w14:schemeClr w14:val="tx1"/>
            </w14:solidFill>
          </w14:textFill>
        </w:rPr>
        <w:t>3.4  产污环节</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_Toc91163881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- 102 -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"_Toc91163882" </w:instrText>
      </w:r>
      <w:r>
        <w:fldChar w:fldCharType="separate"/>
      </w:r>
      <w:r>
        <w:rPr>
          <w:rStyle w:val="61"/>
          <w:rFonts w:cs="Times New Roman"/>
          <w:i w:val="0"/>
          <w:iCs w:val="0"/>
          <w:color w:val="000000" w:themeColor="text1"/>
          <w14:textFill>
            <w14:solidFill>
              <w14:schemeClr w14:val="tx1"/>
            </w14:solidFill>
          </w14:textFill>
        </w:rPr>
        <w:t>3.4.1 施工期</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_Toc91163882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- 102 -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"_Toc91163883" </w:instrText>
      </w:r>
      <w:r>
        <w:fldChar w:fldCharType="separate"/>
      </w:r>
      <w:r>
        <w:rPr>
          <w:rStyle w:val="61"/>
          <w:rFonts w:cs="Times New Roman"/>
          <w:i w:val="0"/>
          <w:iCs w:val="0"/>
          <w:color w:val="000000" w:themeColor="text1"/>
          <w14:textFill>
            <w14:solidFill>
              <w14:schemeClr w14:val="tx1"/>
            </w14:solidFill>
          </w14:textFill>
        </w:rPr>
        <w:t>3.4.2 运营期</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_Toc91163883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- 102 -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"_Toc91163884" </w:instrText>
      </w:r>
      <w:r>
        <w:fldChar w:fldCharType="separate"/>
      </w:r>
      <w:r>
        <w:rPr>
          <w:rStyle w:val="61"/>
          <w:rFonts w:cs="Times New Roman"/>
          <w:color w:val="000000" w:themeColor="text1"/>
          <w14:textFill>
            <w14:solidFill>
              <w14:schemeClr w14:val="tx1"/>
            </w14:solidFill>
          </w14:textFill>
        </w:rPr>
        <w:t>3.5  污染因素分析及治理措施</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_Toc91163884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- 106 -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"_Toc91163885" </w:instrText>
      </w:r>
      <w:r>
        <w:fldChar w:fldCharType="separate"/>
      </w:r>
      <w:r>
        <w:rPr>
          <w:rStyle w:val="61"/>
          <w:rFonts w:cs="Times New Roman"/>
          <w:i w:val="0"/>
          <w:iCs w:val="0"/>
          <w:color w:val="000000" w:themeColor="text1"/>
          <w14:textFill>
            <w14:solidFill>
              <w14:schemeClr w14:val="tx1"/>
            </w14:solidFill>
          </w14:textFill>
        </w:rPr>
        <w:t>3.5.1 施工期环境影响分析及治理措施</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_Toc91163885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- 106 -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"_Toc91163886" </w:instrText>
      </w:r>
      <w:r>
        <w:fldChar w:fldCharType="separate"/>
      </w:r>
      <w:r>
        <w:rPr>
          <w:rStyle w:val="61"/>
          <w:rFonts w:cs="Times New Roman"/>
          <w:i w:val="0"/>
          <w:iCs w:val="0"/>
          <w:color w:val="000000" w:themeColor="text1"/>
          <w14:textFill>
            <w14:solidFill>
              <w14:schemeClr w14:val="tx1"/>
            </w14:solidFill>
          </w14:textFill>
        </w:rPr>
        <w:t>3.5.2 运营期环境影响分析及治理措施</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_Toc91163886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- 110 -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"_Toc91163887" </w:instrText>
      </w:r>
      <w:r>
        <w:fldChar w:fldCharType="separate"/>
      </w:r>
      <w:r>
        <w:rPr>
          <w:rStyle w:val="61"/>
          <w:rFonts w:cs="Times New Roman"/>
          <w:color w:val="000000" w:themeColor="text1"/>
          <w14:textFill>
            <w14:solidFill>
              <w14:schemeClr w14:val="tx1"/>
            </w14:solidFill>
          </w14:textFill>
        </w:rPr>
        <w:t>3.6  污染源强核算</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_Toc91163887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- 122 -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"_Toc91163888" </w:instrText>
      </w:r>
      <w:r>
        <w:fldChar w:fldCharType="separate"/>
      </w:r>
      <w:r>
        <w:rPr>
          <w:rStyle w:val="61"/>
          <w:rFonts w:cs="Times New Roman"/>
          <w:i w:val="0"/>
          <w:iCs w:val="0"/>
          <w:color w:val="000000" w:themeColor="text1"/>
          <w14:textFill>
            <w14:solidFill>
              <w14:schemeClr w14:val="tx1"/>
            </w14:solidFill>
          </w14:textFill>
        </w:rPr>
        <w:t>3.6.1 废气污染物排放量</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_Toc91163888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- 122 -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"_Toc91163889" </w:instrText>
      </w:r>
      <w:r>
        <w:fldChar w:fldCharType="separate"/>
      </w:r>
      <w:r>
        <w:rPr>
          <w:rStyle w:val="61"/>
          <w:rFonts w:cs="Times New Roman"/>
          <w:i w:val="0"/>
          <w:iCs w:val="0"/>
          <w:color w:val="000000" w:themeColor="text1"/>
          <w14:textFill>
            <w14:solidFill>
              <w14:schemeClr w14:val="tx1"/>
            </w14:solidFill>
          </w14:textFill>
        </w:rPr>
        <w:t>3.6.2 废物污染物排放量</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_Toc91163889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- 122 -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"_Toc91163890" </w:instrText>
      </w:r>
      <w:r>
        <w:fldChar w:fldCharType="separate"/>
      </w:r>
      <w:r>
        <w:rPr>
          <w:rStyle w:val="61"/>
          <w:rFonts w:cs="Times New Roman"/>
          <w:i w:val="0"/>
          <w:iCs w:val="0"/>
          <w:color w:val="000000" w:themeColor="text1"/>
          <w14:textFill>
            <w14:solidFill>
              <w14:schemeClr w14:val="tx1"/>
            </w14:solidFill>
          </w14:textFill>
        </w:rPr>
        <w:t>3.6.3 固体废物排放量</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_Toc91163890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- 122 -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"_Toc91163891" </w:instrText>
      </w:r>
      <w:r>
        <w:fldChar w:fldCharType="separate"/>
      </w:r>
      <w:r>
        <w:rPr>
          <w:rStyle w:val="61"/>
          <w:rFonts w:cs="Times New Roman"/>
          <w:color w:val="000000" w:themeColor="text1"/>
          <w14:textFill>
            <w14:solidFill>
              <w14:schemeClr w14:val="tx1"/>
            </w14:solidFill>
          </w14:textFill>
        </w:rPr>
        <w:t>3.7  总量控制</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_Toc91163891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- 122 -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34"/>
        <w:tabs>
          <w:tab w:val="right" w:leader="dot" w:pos="9060"/>
        </w:tabs>
        <w:ind w:firstLine="0" w:firstLineChars="0"/>
        <w:rPr>
          <w:rStyle w:val="61"/>
          <w:color w:val="000000" w:themeColor="text1"/>
          <w14:textFill>
            <w14:solidFill>
              <w14:schemeClr w14:val="tx1"/>
            </w14:solidFill>
          </w14:textFill>
        </w:rPr>
      </w:pPr>
      <w:r>
        <w:fldChar w:fldCharType="begin"/>
      </w:r>
      <w:r>
        <w:instrText xml:space="preserve"> HYPERLINK \l "_Toc91163892" </w:instrText>
      </w:r>
      <w:r>
        <w:fldChar w:fldCharType="separate"/>
      </w:r>
      <w:r>
        <w:rPr>
          <w:rStyle w:val="61"/>
          <w:rFonts w:cs="Times New Roman"/>
          <w:color w:val="000000" w:themeColor="text1"/>
          <w14:textFill>
            <w14:solidFill>
              <w14:schemeClr w14:val="tx1"/>
            </w14:solidFill>
          </w14:textFill>
        </w:rPr>
        <w:t>第四章 环境现状调查与评价</w:t>
      </w:r>
      <w:r>
        <w:rPr>
          <w:rStyle w:val="61"/>
          <w:color w:val="000000" w:themeColor="text1"/>
          <w14:textFill>
            <w14:solidFill>
              <w14:schemeClr w14:val="tx1"/>
            </w14:solidFill>
          </w14:textFill>
        </w:rPr>
        <w:tab/>
      </w:r>
      <w:r>
        <w:rPr>
          <w:rStyle w:val="61"/>
          <w:color w:val="000000" w:themeColor="text1"/>
          <w14:textFill>
            <w14:solidFill>
              <w14:schemeClr w14:val="tx1"/>
            </w14:solidFill>
          </w14:textFill>
        </w:rPr>
        <w:fldChar w:fldCharType="begin"/>
      </w:r>
      <w:r>
        <w:rPr>
          <w:rStyle w:val="61"/>
          <w:color w:val="000000" w:themeColor="text1"/>
          <w14:textFill>
            <w14:solidFill>
              <w14:schemeClr w14:val="tx1"/>
            </w14:solidFill>
          </w14:textFill>
        </w:rPr>
        <w:instrText xml:space="preserve"> PAGEREF _Toc91163892 \h </w:instrText>
      </w:r>
      <w:r>
        <w:rPr>
          <w:rStyle w:val="61"/>
          <w:color w:val="000000" w:themeColor="text1"/>
          <w14:textFill>
            <w14:solidFill>
              <w14:schemeClr w14:val="tx1"/>
            </w14:solidFill>
          </w14:textFill>
        </w:rPr>
        <w:fldChar w:fldCharType="separate"/>
      </w:r>
      <w:r>
        <w:rPr>
          <w:rStyle w:val="61"/>
          <w:color w:val="000000" w:themeColor="text1"/>
          <w14:textFill>
            <w14:solidFill>
              <w14:schemeClr w14:val="tx1"/>
            </w14:solidFill>
          </w14:textFill>
        </w:rPr>
        <w:t>125</w:t>
      </w:r>
      <w:r>
        <w:rPr>
          <w:rStyle w:val="61"/>
          <w:color w:val="000000" w:themeColor="text1"/>
          <w14:textFill>
            <w14:solidFill>
              <w14:schemeClr w14:val="tx1"/>
            </w14:solidFill>
          </w14:textFill>
        </w:rPr>
        <w:fldChar w:fldCharType="end"/>
      </w:r>
      <w:r>
        <w:rPr>
          <w:rStyle w:val="61"/>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"_Toc91163893" </w:instrText>
      </w:r>
      <w:r>
        <w:fldChar w:fldCharType="separate"/>
      </w:r>
      <w:r>
        <w:rPr>
          <w:rStyle w:val="61"/>
          <w:rFonts w:cs="Times New Roman"/>
          <w:color w:val="000000" w:themeColor="text1"/>
          <w14:textFill>
            <w14:solidFill>
              <w14:schemeClr w14:val="tx1"/>
            </w14:solidFill>
          </w14:textFill>
        </w:rPr>
        <w:t>4.1  区域环境概况</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_Toc91163893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125</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"_Toc91163894" </w:instrText>
      </w:r>
      <w:r>
        <w:fldChar w:fldCharType="separate"/>
      </w:r>
      <w:r>
        <w:rPr>
          <w:rStyle w:val="61"/>
          <w:rFonts w:cs="Times New Roman"/>
          <w:i w:val="0"/>
          <w:iCs w:val="0"/>
          <w:color w:val="000000" w:themeColor="text1"/>
          <w14:textFill>
            <w14:solidFill>
              <w14:schemeClr w14:val="tx1"/>
            </w14:solidFill>
          </w14:textFill>
        </w:rPr>
        <w:t>4.1.1 地理位置</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_Toc91163894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125</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"_Toc91163895" </w:instrText>
      </w:r>
      <w:r>
        <w:fldChar w:fldCharType="separate"/>
      </w:r>
      <w:r>
        <w:rPr>
          <w:rStyle w:val="61"/>
          <w:rFonts w:cs="Times New Roman"/>
          <w:i w:val="0"/>
          <w:iCs w:val="0"/>
          <w:color w:val="000000" w:themeColor="text1"/>
          <w14:textFill>
            <w14:solidFill>
              <w14:schemeClr w14:val="tx1"/>
            </w14:solidFill>
          </w14:textFill>
        </w:rPr>
        <w:t>4.1.2 气象特征</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_Toc91163895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125</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"_Toc91163896" </w:instrText>
      </w:r>
      <w:r>
        <w:fldChar w:fldCharType="separate"/>
      </w:r>
      <w:r>
        <w:rPr>
          <w:rStyle w:val="61"/>
          <w:rFonts w:cs="Times New Roman"/>
          <w:i w:val="0"/>
          <w:iCs w:val="0"/>
          <w:color w:val="000000" w:themeColor="text1"/>
          <w14:textFill>
            <w14:solidFill>
              <w14:schemeClr w14:val="tx1"/>
            </w14:solidFill>
          </w14:textFill>
        </w:rPr>
        <w:t>4.1.3 地表水</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_Toc91163896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125</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"_Toc91163897" </w:instrText>
      </w:r>
      <w:r>
        <w:fldChar w:fldCharType="separate"/>
      </w:r>
      <w:r>
        <w:rPr>
          <w:rStyle w:val="61"/>
          <w:rFonts w:cs="Times New Roman"/>
          <w:i w:val="0"/>
          <w:iCs w:val="0"/>
          <w:color w:val="000000" w:themeColor="text1"/>
          <w14:textFill>
            <w14:solidFill>
              <w14:schemeClr w14:val="tx1"/>
            </w14:solidFill>
          </w14:textFill>
        </w:rPr>
        <w:t>4.1.4 地形地貌</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_Toc91163897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126</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"_Toc91163898" </w:instrText>
      </w:r>
      <w:r>
        <w:fldChar w:fldCharType="separate"/>
      </w:r>
      <w:r>
        <w:rPr>
          <w:rStyle w:val="61"/>
          <w:rFonts w:cs="Times New Roman"/>
          <w:i w:val="0"/>
          <w:iCs w:val="0"/>
          <w:color w:val="000000" w:themeColor="text1"/>
          <w14:textFill>
            <w14:solidFill>
              <w14:schemeClr w14:val="tx1"/>
            </w14:solidFill>
          </w14:textFill>
        </w:rPr>
        <w:t>4.1.5 地质</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_Toc91163898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127</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"_Toc91163899" </w:instrText>
      </w:r>
      <w:r>
        <w:fldChar w:fldCharType="separate"/>
      </w:r>
      <w:r>
        <w:rPr>
          <w:rStyle w:val="61"/>
          <w:rFonts w:cs="Times New Roman"/>
          <w:i w:val="0"/>
          <w:iCs w:val="0"/>
          <w:color w:val="000000" w:themeColor="text1"/>
          <w14:textFill>
            <w14:solidFill>
              <w14:schemeClr w14:val="tx1"/>
            </w14:solidFill>
          </w14:textFill>
        </w:rPr>
        <w:t>4.1.6 水文地质条件</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_Toc91163899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135</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"_Toc91163900" </w:instrText>
      </w:r>
      <w:r>
        <w:fldChar w:fldCharType="separate"/>
      </w:r>
      <w:r>
        <w:rPr>
          <w:rStyle w:val="61"/>
          <w:rFonts w:cs="Times New Roman"/>
          <w:i w:val="0"/>
          <w:iCs w:val="0"/>
          <w:color w:val="000000" w:themeColor="text1"/>
          <w14:textFill>
            <w14:solidFill>
              <w14:schemeClr w14:val="tx1"/>
            </w14:solidFill>
          </w14:textFill>
        </w:rPr>
        <w:t>4.1.7 水源地</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_Toc91163900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139</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"_Toc91163901" </w:instrText>
      </w:r>
      <w:r>
        <w:fldChar w:fldCharType="separate"/>
      </w:r>
      <w:r>
        <w:rPr>
          <w:rStyle w:val="61"/>
          <w:rFonts w:cs="Times New Roman"/>
          <w:i w:val="0"/>
          <w:iCs w:val="0"/>
          <w:color w:val="000000" w:themeColor="text1"/>
          <w14:textFill>
            <w14:solidFill>
              <w14:schemeClr w14:val="tx1"/>
            </w14:solidFill>
          </w14:textFill>
        </w:rPr>
        <w:t>4.1.8 辛安泉域</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_Toc91163901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141</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"_Toc91163902" </w:instrText>
      </w:r>
      <w:r>
        <w:fldChar w:fldCharType="separate"/>
      </w:r>
      <w:r>
        <w:rPr>
          <w:rStyle w:val="61"/>
          <w:rFonts w:cs="Times New Roman"/>
          <w:i w:val="0"/>
          <w:iCs w:val="0"/>
          <w:color w:val="000000" w:themeColor="text1"/>
          <w14:textFill>
            <w14:solidFill>
              <w14:schemeClr w14:val="tx1"/>
            </w14:solidFill>
          </w14:textFill>
        </w:rPr>
        <w:t>4.1.9 自然资源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_Toc91163902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142</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"_Toc91163903" </w:instrText>
      </w:r>
      <w:r>
        <w:fldChar w:fldCharType="separate"/>
      </w:r>
      <w:r>
        <w:rPr>
          <w:rStyle w:val="61"/>
          <w:rFonts w:cs="Times New Roman"/>
          <w:color w:val="000000" w:themeColor="text1"/>
          <w14:textFill>
            <w14:solidFill>
              <w14:schemeClr w14:val="tx1"/>
            </w14:solidFill>
          </w14:textFill>
        </w:rPr>
        <w:t>4.2  环境质量现状调查与评价</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_Toc91163903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145</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"_Toc91163904" </w:instrText>
      </w:r>
      <w:r>
        <w:fldChar w:fldCharType="separate"/>
      </w:r>
      <w:r>
        <w:rPr>
          <w:rStyle w:val="61"/>
          <w:rFonts w:cs="Times New Roman"/>
          <w:i w:val="0"/>
          <w:iCs w:val="0"/>
          <w:color w:val="000000" w:themeColor="text1"/>
          <w14:textFill>
            <w14:solidFill>
              <w14:schemeClr w14:val="tx1"/>
            </w14:solidFill>
          </w14:textFill>
        </w:rPr>
        <w:t>4.2.1 环境空气质量现状调查与评价</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_Toc91163904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145</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"_Toc91163905" </w:instrText>
      </w:r>
      <w:r>
        <w:fldChar w:fldCharType="separate"/>
      </w:r>
      <w:r>
        <w:rPr>
          <w:rStyle w:val="61"/>
          <w:rFonts w:cs="Times New Roman"/>
          <w:i w:val="0"/>
          <w:iCs w:val="0"/>
          <w:color w:val="000000" w:themeColor="text1"/>
          <w14:textFill>
            <w14:solidFill>
              <w14:schemeClr w14:val="tx1"/>
            </w14:solidFill>
          </w14:textFill>
        </w:rPr>
        <w:t>4.2.2 地表水环境质量现状调查与评价</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_Toc91163905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147</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"_Toc91163906" </w:instrText>
      </w:r>
      <w:r>
        <w:fldChar w:fldCharType="separate"/>
      </w:r>
      <w:r>
        <w:rPr>
          <w:rStyle w:val="61"/>
          <w:rFonts w:cs="Times New Roman"/>
          <w:i w:val="0"/>
          <w:iCs w:val="0"/>
          <w:color w:val="000000" w:themeColor="text1"/>
          <w14:textFill>
            <w14:solidFill>
              <w14:schemeClr w14:val="tx1"/>
            </w14:solidFill>
          </w14:textFill>
        </w:rPr>
        <w:t>4.2.3 地下水环境质量现状调查与评价</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_Toc91163906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148</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"_Toc91163907" </w:instrText>
      </w:r>
      <w:r>
        <w:fldChar w:fldCharType="separate"/>
      </w:r>
      <w:r>
        <w:rPr>
          <w:rStyle w:val="61"/>
          <w:rFonts w:cs="Times New Roman"/>
          <w:i w:val="0"/>
          <w:iCs w:val="0"/>
          <w:color w:val="000000" w:themeColor="text1"/>
          <w14:textFill>
            <w14:solidFill>
              <w14:schemeClr w14:val="tx1"/>
            </w14:solidFill>
          </w14:textFill>
        </w:rPr>
        <w:t>4.2.4 声环境质量现状调查与评价</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_Toc91163907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- 153 -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"_Toc91163908" </w:instrText>
      </w:r>
      <w:r>
        <w:fldChar w:fldCharType="separate"/>
      </w:r>
      <w:r>
        <w:rPr>
          <w:rStyle w:val="61"/>
          <w:rFonts w:cs="Times New Roman"/>
          <w:i w:val="0"/>
          <w:iCs w:val="0"/>
          <w:color w:val="000000" w:themeColor="text1"/>
          <w14:textFill>
            <w14:solidFill>
              <w14:schemeClr w14:val="tx1"/>
            </w14:solidFill>
          </w14:textFill>
        </w:rPr>
        <w:t>4.2.5 土壤环境质量现状调查与评价</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_Toc91163908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- 154 -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"_Toc91163909" </w:instrText>
      </w:r>
      <w:r>
        <w:fldChar w:fldCharType="separate"/>
      </w:r>
      <w:r>
        <w:rPr>
          <w:rStyle w:val="61"/>
          <w:rFonts w:cs="Times New Roman"/>
          <w:color w:val="000000" w:themeColor="text1"/>
          <w14:textFill>
            <w14:solidFill>
              <w14:schemeClr w14:val="tx1"/>
            </w14:solidFill>
          </w14:textFill>
        </w:rPr>
        <w:t>4.3  环境保护目标调查</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_Toc91163909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- 157 -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34"/>
        <w:tabs>
          <w:tab w:val="right" w:leader="dot" w:pos="9060"/>
        </w:tabs>
        <w:ind w:firstLine="0" w:firstLineChars="0"/>
        <w:rPr>
          <w:rStyle w:val="61"/>
          <w:color w:val="000000" w:themeColor="text1"/>
          <w14:textFill>
            <w14:solidFill>
              <w14:schemeClr w14:val="tx1"/>
            </w14:solidFill>
          </w14:textFill>
        </w:rPr>
      </w:pPr>
      <w:r>
        <w:fldChar w:fldCharType="begin"/>
      </w:r>
      <w:r>
        <w:instrText xml:space="preserve"> HYPERLINK \l "_Toc91163910" </w:instrText>
      </w:r>
      <w:r>
        <w:fldChar w:fldCharType="separate"/>
      </w:r>
      <w:r>
        <w:rPr>
          <w:rStyle w:val="61"/>
          <w:rFonts w:cs="Times New Roman"/>
          <w:color w:val="000000" w:themeColor="text1"/>
          <w14:textFill>
            <w14:solidFill>
              <w14:schemeClr w14:val="tx1"/>
            </w14:solidFill>
          </w14:textFill>
        </w:rPr>
        <w:t>第五章 环境影响预测与评价</w:t>
      </w:r>
      <w:r>
        <w:rPr>
          <w:rStyle w:val="61"/>
          <w:color w:val="000000" w:themeColor="text1"/>
          <w14:textFill>
            <w14:solidFill>
              <w14:schemeClr w14:val="tx1"/>
            </w14:solidFill>
          </w14:textFill>
        </w:rPr>
        <w:tab/>
      </w:r>
      <w:r>
        <w:rPr>
          <w:rStyle w:val="61"/>
          <w:color w:val="000000" w:themeColor="text1"/>
          <w14:textFill>
            <w14:solidFill>
              <w14:schemeClr w14:val="tx1"/>
            </w14:solidFill>
          </w14:textFill>
        </w:rPr>
        <w:fldChar w:fldCharType="begin"/>
      </w:r>
      <w:r>
        <w:rPr>
          <w:rStyle w:val="61"/>
          <w:color w:val="000000" w:themeColor="text1"/>
          <w14:textFill>
            <w14:solidFill>
              <w14:schemeClr w14:val="tx1"/>
            </w14:solidFill>
          </w14:textFill>
        </w:rPr>
        <w:instrText xml:space="preserve"> PAGEREF _Toc91163910 \h </w:instrText>
      </w:r>
      <w:r>
        <w:rPr>
          <w:rStyle w:val="61"/>
          <w:color w:val="000000" w:themeColor="text1"/>
          <w14:textFill>
            <w14:solidFill>
              <w14:schemeClr w14:val="tx1"/>
            </w14:solidFill>
          </w14:textFill>
        </w:rPr>
        <w:fldChar w:fldCharType="separate"/>
      </w:r>
      <w:r>
        <w:rPr>
          <w:rStyle w:val="61"/>
          <w:color w:val="000000" w:themeColor="text1"/>
          <w14:textFill>
            <w14:solidFill>
              <w14:schemeClr w14:val="tx1"/>
            </w14:solidFill>
          </w14:textFill>
        </w:rPr>
        <w:t>- 159 -</w:t>
      </w:r>
      <w:r>
        <w:rPr>
          <w:rStyle w:val="61"/>
          <w:color w:val="000000" w:themeColor="text1"/>
          <w14:textFill>
            <w14:solidFill>
              <w14:schemeClr w14:val="tx1"/>
            </w14:solidFill>
          </w14:textFill>
        </w:rPr>
        <w:fldChar w:fldCharType="end"/>
      </w:r>
      <w:r>
        <w:rPr>
          <w:rStyle w:val="61"/>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"_Toc91163911" </w:instrText>
      </w:r>
      <w:r>
        <w:fldChar w:fldCharType="separate"/>
      </w:r>
      <w:r>
        <w:rPr>
          <w:rStyle w:val="61"/>
          <w:rFonts w:cs="Times New Roman"/>
          <w:color w:val="000000" w:themeColor="text1"/>
          <w14:textFill>
            <w14:solidFill>
              <w14:schemeClr w14:val="tx1"/>
            </w14:solidFill>
          </w14:textFill>
        </w:rPr>
        <w:t>5.1  施工期环境影响分析</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_Toc91163911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- 159 -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"_Toc91163912" </w:instrText>
      </w:r>
      <w:r>
        <w:fldChar w:fldCharType="separate"/>
      </w:r>
      <w:r>
        <w:rPr>
          <w:rStyle w:val="61"/>
          <w:rFonts w:cs="Times New Roman"/>
          <w:i w:val="0"/>
          <w:iCs w:val="0"/>
          <w:color w:val="000000" w:themeColor="text1"/>
          <w14:textFill>
            <w14:solidFill>
              <w14:schemeClr w14:val="tx1"/>
            </w14:solidFill>
          </w14:textFill>
        </w:rPr>
        <w:t>5.1.1 大气环境影响分析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_Toc91163912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- 159 -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"_Toc91163913" </w:instrText>
      </w:r>
      <w:r>
        <w:fldChar w:fldCharType="separate"/>
      </w:r>
      <w:r>
        <w:rPr>
          <w:rStyle w:val="61"/>
          <w:rFonts w:cs="Times New Roman"/>
          <w:i w:val="0"/>
          <w:iCs w:val="0"/>
          <w:color w:val="000000" w:themeColor="text1"/>
          <w14:textFill>
            <w14:solidFill>
              <w14:schemeClr w14:val="tx1"/>
            </w14:solidFill>
          </w14:textFill>
        </w:rPr>
        <w:t>5.1.2 水环境影响分析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_Toc91163913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- 161 -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"_Toc91163914" </w:instrText>
      </w:r>
      <w:r>
        <w:fldChar w:fldCharType="separate"/>
      </w:r>
      <w:r>
        <w:rPr>
          <w:rStyle w:val="61"/>
          <w:rFonts w:cs="Times New Roman"/>
          <w:i w:val="0"/>
          <w:iCs w:val="0"/>
          <w:color w:val="000000" w:themeColor="text1"/>
          <w14:textFill>
            <w14:solidFill>
              <w14:schemeClr w14:val="tx1"/>
            </w14:solidFill>
          </w14:textFill>
        </w:rPr>
        <w:t>5.1.3 声环境影响分析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_Toc91163914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- 161 -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"_Toc91163915" </w:instrText>
      </w:r>
      <w:r>
        <w:fldChar w:fldCharType="separate"/>
      </w:r>
      <w:r>
        <w:rPr>
          <w:rStyle w:val="61"/>
          <w:rFonts w:cs="Times New Roman"/>
          <w:i w:val="0"/>
          <w:iCs w:val="0"/>
          <w:color w:val="000000" w:themeColor="text1"/>
          <w14:textFill>
            <w14:solidFill>
              <w14:schemeClr w14:val="tx1"/>
            </w14:solidFill>
          </w14:textFill>
        </w:rPr>
        <w:t>5.1.4 固体废物影响分析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_Toc91163915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- 164 -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"_Toc91163916" </w:instrText>
      </w:r>
      <w:r>
        <w:fldChar w:fldCharType="separate"/>
      </w:r>
      <w:r>
        <w:rPr>
          <w:rStyle w:val="61"/>
          <w:rFonts w:cs="Times New Roman"/>
          <w:i w:val="0"/>
          <w:iCs w:val="0"/>
          <w:color w:val="000000" w:themeColor="text1"/>
          <w14:textFill>
            <w14:solidFill>
              <w14:schemeClr w14:val="tx1"/>
            </w14:solidFill>
          </w14:textFill>
        </w:rPr>
        <w:t>5.1.5 生态环境影响分析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_Toc91163916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- 165 -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"_Toc91163917" </w:instrText>
      </w:r>
      <w:r>
        <w:fldChar w:fldCharType="separate"/>
      </w:r>
      <w:r>
        <w:rPr>
          <w:rStyle w:val="61"/>
          <w:rFonts w:cs="Times New Roman"/>
          <w:color w:val="000000" w:themeColor="text1"/>
          <w14:textFill>
            <w14:solidFill>
              <w14:schemeClr w14:val="tx1"/>
            </w14:solidFill>
          </w14:textFill>
        </w:rPr>
        <w:t>5.2  运营期大气环境影响预测与评价</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_Toc91163917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- 166 -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"_Toc91163918" </w:instrText>
      </w:r>
      <w:r>
        <w:fldChar w:fldCharType="separate"/>
      </w:r>
      <w:r>
        <w:rPr>
          <w:rStyle w:val="61"/>
          <w:rFonts w:cs="Times New Roman"/>
          <w:i w:val="0"/>
          <w:iCs w:val="0"/>
          <w:color w:val="000000" w:themeColor="text1"/>
          <w14:textFill>
            <w14:solidFill>
              <w14:schemeClr w14:val="tx1"/>
            </w14:solidFill>
          </w14:textFill>
        </w:rPr>
        <w:t>5.2.1 大气污染源调查</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_Toc91163918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- 167 -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"_Toc91163919" </w:instrText>
      </w:r>
      <w:r>
        <w:fldChar w:fldCharType="separate"/>
      </w:r>
      <w:r>
        <w:rPr>
          <w:rStyle w:val="61"/>
          <w:rFonts w:cs="Times New Roman"/>
          <w:i w:val="0"/>
          <w:iCs w:val="0"/>
          <w:color w:val="000000" w:themeColor="text1"/>
          <w14:textFill>
            <w14:solidFill>
              <w14:schemeClr w14:val="tx1"/>
            </w14:solidFill>
          </w14:textFill>
        </w:rPr>
        <w:t>5.2.2估算结果</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_Toc91163919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- 167 -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"_Toc91163920" </w:instrText>
      </w:r>
      <w:r>
        <w:fldChar w:fldCharType="separate"/>
      </w:r>
      <w:r>
        <w:rPr>
          <w:rStyle w:val="61"/>
          <w:rFonts w:cs="Times New Roman"/>
          <w:i w:val="0"/>
          <w:iCs w:val="0"/>
          <w:color w:val="000000" w:themeColor="text1"/>
          <w14:textFill>
            <w14:solidFill>
              <w14:schemeClr w14:val="tx1"/>
            </w14:solidFill>
          </w14:textFill>
        </w:rPr>
        <w:t>5.2.3污染物排放量核算</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_Toc91163920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- 173 -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"_Toc91163921" </w:instrText>
      </w:r>
      <w:r>
        <w:fldChar w:fldCharType="separate"/>
      </w:r>
      <w:r>
        <w:rPr>
          <w:rStyle w:val="61"/>
          <w:rFonts w:cs="Times New Roman"/>
          <w:i w:val="0"/>
          <w:iCs w:val="0"/>
          <w:color w:val="000000" w:themeColor="text1"/>
          <w14:textFill>
            <w14:solidFill>
              <w14:schemeClr w14:val="tx1"/>
            </w14:solidFill>
          </w14:textFill>
        </w:rPr>
        <w:t>5.2.4环境空气影响评价结论</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_Toc91163921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- 175 -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"_Toc91163922" </w:instrText>
      </w:r>
      <w:r>
        <w:fldChar w:fldCharType="separate"/>
      </w:r>
      <w:r>
        <w:rPr>
          <w:rStyle w:val="61"/>
          <w:rFonts w:cs="Times New Roman"/>
          <w:color w:val="000000" w:themeColor="text1"/>
          <w14:textFill>
            <w14:solidFill>
              <w14:schemeClr w14:val="tx1"/>
            </w14:solidFill>
          </w14:textFill>
        </w:rPr>
        <w:t>5.3  运营期地表水环境影响评价</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_Toc91163922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- 177 -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"_Toc91163923" </w:instrText>
      </w:r>
      <w:r>
        <w:fldChar w:fldCharType="separate"/>
      </w:r>
      <w:r>
        <w:rPr>
          <w:rStyle w:val="61"/>
          <w:rFonts w:cs="Times New Roman"/>
          <w:i w:val="0"/>
          <w:iCs w:val="0"/>
          <w:color w:val="000000" w:themeColor="text1"/>
          <w14:textFill>
            <w14:solidFill>
              <w14:schemeClr w14:val="tx1"/>
            </w14:solidFill>
          </w14:textFill>
        </w:rPr>
        <w:t>5.3.1 评价等级判定</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_Toc91163923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- 177 -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"_Toc91163924" </w:instrText>
      </w:r>
      <w:r>
        <w:fldChar w:fldCharType="separate"/>
      </w:r>
      <w:r>
        <w:rPr>
          <w:rStyle w:val="61"/>
          <w:rFonts w:cs="Times New Roman"/>
          <w:i w:val="0"/>
          <w:iCs w:val="0"/>
          <w:color w:val="000000" w:themeColor="text1"/>
          <w14:textFill>
            <w14:solidFill>
              <w14:schemeClr w14:val="tx1"/>
            </w14:solidFill>
          </w14:textFill>
        </w:rPr>
        <w:t>5.3.2 废水不外排保证性</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_Toc91163924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- 177 -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"_Toc91163925" </w:instrText>
      </w:r>
      <w:r>
        <w:fldChar w:fldCharType="separate"/>
      </w:r>
      <w:r>
        <w:rPr>
          <w:rStyle w:val="61"/>
          <w:rFonts w:cs="Times New Roman"/>
          <w:i w:val="0"/>
          <w:iCs w:val="0"/>
          <w:color w:val="000000" w:themeColor="text1"/>
          <w14:textFill>
            <w14:solidFill>
              <w14:schemeClr w14:val="tx1"/>
            </w14:solidFill>
          </w14:textFill>
        </w:rPr>
        <w:t>5.3.3 评价结论</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_Toc91163925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- 178 -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"_Toc91163926" </w:instrText>
      </w:r>
      <w:r>
        <w:fldChar w:fldCharType="separate"/>
      </w:r>
      <w:r>
        <w:rPr>
          <w:rStyle w:val="61"/>
          <w:rFonts w:cs="Times New Roman"/>
          <w:color w:val="000000" w:themeColor="text1"/>
          <w14:textFill>
            <w14:solidFill>
              <w14:schemeClr w14:val="tx1"/>
            </w14:solidFill>
          </w14:textFill>
        </w:rPr>
        <w:t>5.4  运营期地下水环境影响预测与评价</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_Toc91163926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- 181 -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"_Toc91163927" </w:instrText>
      </w:r>
      <w:r>
        <w:fldChar w:fldCharType="separate"/>
      </w:r>
      <w:r>
        <w:rPr>
          <w:rStyle w:val="61"/>
          <w:rFonts w:cs="Times New Roman"/>
          <w:i w:val="0"/>
          <w:iCs w:val="0"/>
          <w:color w:val="000000" w:themeColor="text1"/>
          <w14:textFill>
            <w14:solidFill>
              <w14:schemeClr w14:val="tx1"/>
            </w14:solidFill>
          </w14:textFill>
        </w:rPr>
        <w:t>5.4.1 水文地质条件</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_Toc91163927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- 181 -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"_Toc91163928" </w:instrText>
      </w:r>
      <w:r>
        <w:fldChar w:fldCharType="separate"/>
      </w:r>
      <w:r>
        <w:rPr>
          <w:rStyle w:val="61"/>
          <w:rFonts w:cs="Times New Roman"/>
          <w:i w:val="0"/>
          <w:iCs w:val="0"/>
          <w:color w:val="000000" w:themeColor="text1"/>
          <w14:textFill>
            <w14:solidFill>
              <w14:schemeClr w14:val="tx1"/>
            </w14:solidFill>
          </w14:textFill>
        </w:rPr>
        <w:t>5.4.2 地下水环境影响分析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_Toc91163928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- 183 -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"_Toc91163929" </w:instrText>
      </w:r>
      <w:r>
        <w:fldChar w:fldCharType="separate"/>
      </w:r>
      <w:r>
        <w:rPr>
          <w:rStyle w:val="61"/>
          <w:rFonts w:cs="Times New Roman"/>
          <w:i w:val="0"/>
          <w:iCs w:val="0"/>
          <w:color w:val="000000" w:themeColor="text1"/>
          <w14:textFill>
            <w14:solidFill>
              <w14:schemeClr w14:val="tx1"/>
            </w14:solidFill>
          </w14:textFill>
        </w:rPr>
        <w:t>5.4.3 地下水污染防治措施</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_Toc91163929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- 186 -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"_Toc91163930" </w:instrText>
      </w:r>
      <w:r>
        <w:fldChar w:fldCharType="separate"/>
      </w:r>
      <w:r>
        <w:rPr>
          <w:rStyle w:val="61"/>
          <w:rFonts w:cs="Times New Roman"/>
          <w:i w:val="0"/>
          <w:iCs w:val="0"/>
          <w:color w:val="000000" w:themeColor="text1"/>
          <w14:textFill>
            <w14:solidFill>
              <w14:schemeClr w14:val="tx1"/>
            </w14:solidFill>
          </w14:textFill>
        </w:rPr>
        <w:t>5.4.5 评价结论</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_Toc91163930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- 189 -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"_Toc91163931" </w:instrText>
      </w:r>
      <w:r>
        <w:fldChar w:fldCharType="separate"/>
      </w:r>
      <w:r>
        <w:rPr>
          <w:rStyle w:val="61"/>
          <w:rFonts w:cs="Times New Roman"/>
          <w:color w:val="000000" w:themeColor="text1"/>
          <w14:textFill>
            <w14:solidFill>
              <w14:schemeClr w14:val="tx1"/>
            </w14:solidFill>
          </w14:textFill>
        </w:rPr>
        <w:t>5.5  运营期声环境影响预测与评价</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_Toc91163931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- 190 -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"_Toc91163932" </w:instrText>
      </w:r>
      <w:r>
        <w:fldChar w:fldCharType="separate"/>
      </w:r>
      <w:r>
        <w:rPr>
          <w:rStyle w:val="61"/>
          <w:rFonts w:cs="Times New Roman"/>
          <w:i w:val="0"/>
          <w:iCs w:val="0"/>
          <w:color w:val="000000" w:themeColor="text1"/>
          <w14:textFill>
            <w14:solidFill>
              <w14:schemeClr w14:val="tx1"/>
            </w14:solidFill>
          </w14:textFill>
        </w:rPr>
        <w:t>5.5.1 预测范围及噪声预测点</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_Toc91163932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- 190 -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"_Toc91163933" </w:instrText>
      </w:r>
      <w:r>
        <w:fldChar w:fldCharType="separate"/>
      </w:r>
      <w:r>
        <w:rPr>
          <w:rStyle w:val="61"/>
          <w:rFonts w:cs="Times New Roman"/>
          <w:i w:val="0"/>
          <w:iCs w:val="0"/>
          <w:color w:val="000000" w:themeColor="text1"/>
          <w14:textFill>
            <w14:solidFill>
              <w14:schemeClr w14:val="tx1"/>
            </w14:solidFill>
          </w14:textFill>
        </w:rPr>
        <w:t>5.5.2 噪声源强及声源分布</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_Toc91163933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- 190 -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"_Toc91163934" </w:instrText>
      </w:r>
      <w:r>
        <w:fldChar w:fldCharType="separate"/>
      </w:r>
      <w:r>
        <w:rPr>
          <w:rStyle w:val="61"/>
          <w:rFonts w:cs="Times New Roman"/>
          <w:i w:val="0"/>
          <w:iCs w:val="0"/>
          <w:color w:val="000000" w:themeColor="text1"/>
          <w14:textFill>
            <w14:solidFill>
              <w14:schemeClr w14:val="tx1"/>
            </w14:solidFill>
          </w14:textFill>
        </w:rPr>
        <w:t>5.5.3 噪声影响预测</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_Toc91163934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- 190 -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"_Toc91163935" </w:instrText>
      </w:r>
      <w:r>
        <w:fldChar w:fldCharType="separate"/>
      </w:r>
      <w:r>
        <w:rPr>
          <w:rStyle w:val="61"/>
          <w:rFonts w:cs="Times New Roman"/>
          <w:i w:val="0"/>
          <w:iCs w:val="0"/>
          <w:color w:val="000000" w:themeColor="text1"/>
          <w14:textFill>
            <w14:solidFill>
              <w14:schemeClr w14:val="tx1"/>
            </w14:solidFill>
          </w14:textFill>
        </w:rPr>
        <w:t>5.5.4 治理措施</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_Toc91163935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- 193 -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"_Toc91163936" </w:instrText>
      </w:r>
      <w:r>
        <w:fldChar w:fldCharType="separate"/>
      </w:r>
      <w:r>
        <w:rPr>
          <w:rStyle w:val="61"/>
          <w:rFonts w:cs="Times New Roman"/>
          <w:i w:val="0"/>
          <w:iCs w:val="0"/>
          <w:color w:val="000000" w:themeColor="text1"/>
          <w14:textFill>
            <w14:solidFill>
              <w14:schemeClr w14:val="tx1"/>
            </w14:solidFill>
          </w14:textFill>
        </w:rPr>
        <w:t>5.5.5 评价结论</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_Toc91163936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- 193 -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"_Toc91163937" </w:instrText>
      </w:r>
      <w:r>
        <w:fldChar w:fldCharType="separate"/>
      </w:r>
      <w:r>
        <w:rPr>
          <w:rStyle w:val="61"/>
          <w:rFonts w:cs="Times New Roman"/>
          <w:color w:val="000000" w:themeColor="text1"/>
          <w14:textFill>
            <w14:solidFill>
              <w14:schemeClr w14:val="tx1"/>
            </w14:solidFill>
          </w14:textFill>
        </w:rPr>
        <w:t>5.6  运营期固体废物环境影响分析</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_Toc91163937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- 194 -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"_Toc91163938" </w:instrText>
      </w:r>
      <w:r>
        <w:fldChar w:fldCharType="separate"/>
      </w:r>
      <w:r>
        <w:rPr>
          <w:rStyle w:val="61"/>
          <w:rFonts w:cs="Times New Roman"/>
          <w:i w:val="0"/>
          <w:iCs w:val="0"/>
          <w:color w:val="000000" w:themeColor="text1"/>
          <w14:textFill>
            <w14:solidFill>
              <w14:schemeClr w14:val="tx1"/>
            </w14:solidFill>
          </w14:textFill>
        </w:rPr>
        <w:t>5.6.1 固体废物排放情况</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_Toc91163938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- 194 -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"_Toc91163939" </w:instrText>
      </w:r>
      <w:r>
        <w:fldChar w:fldCharType="separate"/>
      </w:r>
      <w:r>
        <w:rPr>
          <w:rStyle w:val="61"/>
          <w:rFonts w:cs="Times New Roman"/>
          <w:i w:val="0"/>
          <w:iCs w:val="0"/>
          <w:color w:val="000000" w:themeColor="text1"/>
          <w14:textFill>
            <w14:solidFill>
              <w14:schemeClr w14:val="tx1"/>
            </w14:solidFill>
          </w14:textFill>
        </w:rPr>
        <w:t>5.6.2 固体废物污染途径</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_Toc91163939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- 194 -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"_Toc91163940" </w:instrText>
      </w:r>
      <w:r>
        <w:fldChar w:fldCharType="separate"/>
      </w:r>
      <w:r>
        <w:rPr>
          <w:rStyle w:val="61"/>
          <w:rFonts w:cs="Times New Roman"/>
          <w:i w:val="0"/>
          <w:iCs w:val="0"/>
          <w:color w:val="000000" w:themeColor="text1"/>
          <w14:textFill>
            <w14:solidFill>
              <w14:schemeClr w14:val="tx1"/>
            </w14:solidFill>
          </w14:textFill>
        </w:rPr>
        <w:t>5.6.3 固体废物影响分析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_Toc91163940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- 195 -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"_Toc91163941" </w:instrText>
      </w:r>
      <w:r>
        <w:fldChar w:fldCharType="separate"/>
      </w:r>
      <w:r>
        <w:rPr>
          <w:rStyle w:val="61"/>
          <w:rFonts w:cs="Times New Roman"/>
          <w:i w:val="0"/>
          <w:iCs w:val="0"/>
          <w:color w:val="000000" w:themeColor="text1"/>
          <w14:textFill>
            <w14:solidFill>
              <w14:schemeClr w14:val="tx1"/>
            </w14:solidFill>
          </w14:textFill>
        </w:rPr>
        <w:t>5.6.4 评价结论</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_Toc91163941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- 198 -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"_Toc91163942" </w:instrText>
      </w:r>
      <w:r>
        <w:fldChar w:fldCharType="separate"/>
      </w:r>
      <w:r>
        <w:rPr>
          <w:rStyle w:val="61"/>
          <w:rFonts w:cs="Times New Roman"/>
          <w:color w:val="000000" w:themeColor="text1"/>
          <w14:textFill>
            <w14:solidFill>
              <w14:schemeClr w14:val="tx1"/>
            </w14:solidFill>
          </w14:textFill>
        </w:rPr>
        <w:t>5.7  运营期土壤环境影响评价</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_Toc91163942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- 199 -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"_Toc91163943" </w:instrText>
      </w:r>
      <w:r>
        <w:fldChar w:fldCharType="separate"/>
      </w:r>
      <w:r>
        <w:rPr>
          <w:rStyle w:val="61"/>
          <w:rFonts w:cs="Times New Roman"/>
          <w:i w:val="0"/>
          <w:iCs w:val="0"/>
          <w:color w:val="000000" w:themeColor="text1"/>
          <w14:textFill>
            <w14:solidFill>
              <w14:schemeClr w14:val="tx1"/>
            </w14:solidFill>
          </w14:textFill>
        </w:rPr>
        <w:t>5.7.1 土壤环境影响类型与影响途径识别</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_Toc91163943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- 199 -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"_Toc91163944" </w:instrText>
      </w:r>
      <w:r>
        <w:fldChar w:fldCharType="separate"/>
      </w:r>
      <w:r>
        <w:rPr>
          <w:rStyle w:val="61"/>
          <w:rFonts w:cs="Times New Roman"/>
          <w:i w:val="0"/>
          <w:iCs w:val="0"/>
          <w:color w:val="000000" w:themeColor="text1"/>
          <w14:textFill>
            <w14:solidFill>
              <w14:schemeClr w14:val="tx1"/>
            </w14:solidFill>
          </w14:textFill>
        </w:rPr>
        <w:t>5.7.2 区域</w:t>
      </w:r>
      <w:r>
        <w:rPr>
          <w:rStyle w:val="61"/>
          <w:rFonts w:cs="Times New Roman"/>
          <w:i w:val="0"/>
          <w:iCs w:val="0"/>
          <w:color w:val="000000" w:themeColor="text1"/>
          <w:kern w:val="0"/>
          <w14:textFill>
            <w14:solidFill>
              <w14:schemeClr w14:val="tx1"/>
            </w14:solidFill>
          </w14:textFill>
        </w:rPr>
        <w:t>土地利用现状</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_Toc91163944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- 199 -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"_Toc91163945" </w:instrText>
      </w:r>
      <w:r>
        <w:fldChar w:fldCharType="separate"/>
      </w:r>
      <w:r>
        <w:rPr>
          <w:rStyle w:val="61"/>
          <w:rFonts w:cs="Times New Roman"/>
          <w:i w:val="0"/>
          <w:iCs w:val="0"/>
          <w:color w:val="000000" w:themeColor="text1"/>
          <w14:textFill>
            <w14:solidFill>
              <w14:schemeClr w14:val="tx1"/>
            </w14:solidFill>
          </w14:textFill>
        </w:rPr>
        <w:t>5.7.3 土壤环境影响分析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_Toc91163945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- 199 -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"_Toc91163946" </w:instrText>
      </w:r>
      <w:r>
        <w:fldChar w:fldCharType="separate"/>
      </w:r>
      <w:r>
        <w:rPr>
          <w:rStyle w:val="61"/>
          <w:rFonts w:cs="Times New Roman"/>
          <w:i w:val="0"/>
          <w:iCs w:val="0"/>
          <w:color w:val="000000" w:themeColor="text1"/>
          <w14:textFill>
            <w14:solidFill>
              <w14:schemeClr w14:val="tx1"/>
            </w14:solidFill>
          </w14:textFill>
        </w:rPr>
        <w:t>5.7.4 土壤环境保护措施</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_Toc91163946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- 200 -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"_Toc91163947" </w:instrText>
      </w:r>
      <w:r>
        <w:fldChar w:fldCharType="separate"/>
      </w:r>
      <w:r>
        <w:rPr>
          <w:rStyle w:val="61"/>
          <w:rFonts w:cs="Times New Roman"/>
          <w:i w:val="0"/>
          <w:iCs w:val="0"/>
          <w:color w:val="000000" w:themeColor="text1"/>
          <w14:textFill>
            <w14:solidFill>
              <w14:schemeClr w14:val="tx1"/>
            </w14:solidFill>
          </w14:textFill>
        </w:rPr>
        <w:t>5.7.5 评价结论</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_Toc91163947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- 202 -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"_Toc91163948" </w:instrText>
      </w:r>
      <w:r>
        <w:fldChar w:fldCharType="separate"/>
      </w:r>
      <w:r>
        <w:rPr>
          <w:rStyle w:val="61"/>
          <w:rFonts w:cs="Times New Roman"/>
          <w:color w:val="000000" w:themeColor="text1"/>
          <w14:textFill>
            <w14:solidFill>
              <w14:schemeClr w14:val="tx1"/>
            </w14:solidFill>
          </w14:textFill>
        </w:rPr>
        <w:t>5.8  运营期生态影响分析</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_Toc91163948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- 203 -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"_Toc91163949" </w:instrText>
      </w:r>
      <w:r>
        <w:fldChar w:fldCharType="separate"/>
      </w:r>
      <w:r>
        <w:rPr>
          <w:rStyle w:val="61"/>
          <w:rFonts w:cs="Times New Roman"/>
          <w:i w:val="0"/>
          <w:iCs w:val="0"/>
          <w:color w:val="000000" w:themeColor="text1"/>
          <w14:textFill>
            <w14:solidFill>
              <w14:schemeClr w14:val="tx1"/>
            </w14:solidFill>
          </w14:textFill>
        </w:rPr>
        <w:t>5.8.1 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_Toc91163949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- 203 -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"_Toc91163950" </w:instrText>
      </w:r>
      <w:r>
        <w:fldChar w:fldCharType="separate"/>
      </w:r>
      <w:r>
        <w:rPr>
          <w:rStyle w:val="61"/>
          <w:rFonts w:cs="Times New Roman"/>
          <w:i w:val="0"/>
          <w:iCs w:val="0"/>
          <w:color w:val="000000" w:themeColor="text1"/>
          <w14:textFill>
            <w14:solidFill>
              <w14:schemeClr w14:val="tx1"/>
            </w14:solidFill>
          </w14:textFill>
        </w:rPr>
        <w:t>5.8.2 防护措施</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_Toc91163950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- 205 -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"_Toc91163951" </w:instrText>
      </w:r>
      <w:r>
        <w:fldChar w:fldCharType="separate"/>
      </w:r>
      <w:r>
        <w:rPr>
          <w:rStyle w:val="61"/>
          <w:rFonts w:cs="Times New Roman"/>
          <w:i w:val="0"/>
          <w:iCs w:val="0"/>
          <w:color w:val="000000" w:themeColor="text1"/>
          <w14:textFill>
            <w14:solidFill>
              <w14:schemeClr w14:val="tx1"/>
            </w14:solidFill>
          </w14:textFill>
        </w:rPr>
        <w:t>5.8.3 生态环境恢复</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_Toc91163951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- 205 -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"_Toc91163952" </w:instrText>
      </w:r>
      <w:r>
        <w:fldChar w:fldCharType="separate"/>
      </w:r>
      <w:r>
        <w:rPr>
          <w:rStyle w:val="61"/>
          <w:rFonts w:cs="Times New Roman"/>
          <w:i w:val="0"/>
          <w:iCs w:val="0"/>
          <w:color w:val="000000" w:themeColor="text1"/>
          <w14:textFill>
            <w14:solidFill>
              <w14:schemeClr w14:val="tx1"/>
            </w14:solidFill>
          </w14:textFill>
        </w:rPr>
        <w:t>5.8.4 评价结论</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_Toc91163952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- 206 -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"_Toc91163953" </w:instrText>
      </w:r>
      <w:r>
        <w:fldChar w:fldCharType="separate"/>
      </w:r>
      <w:r>
        <w:rPr>
          <w:rStyle w:val="61"/>
          <w:rFonts w:cs="Times New Roman"/>
          <w:color w:val="000000" w:themeColor="text1"/>
          <w14:textFill>
            <w14:solidFill>
              <w14:schemeClr w14:val="tx1"/>
            </w14:solidFill>
          </w14:textFill>
        </w:rPr>
        <w:t>5.9  运营期环境风险预测与评价</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_Toc91163953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- 206 -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"_Toc91163954" </w:instrText>
      </w:r>
      <w:r>
        <w:fldChar w:fldCharType="separate"/>
      </w:r>
      <w:r>
        <w:rPr>
          <w:rStyle w:val="61"/>
          <w:rFonts w:cs="Times New Roman"/>
          <w:i w:val="0"/>
          <w:iCs w:val="0"/>
          <w:color w:val="000000" w:themeColor="text1"/>
          <w14:textFill>
            <w14:solidFill>
              <w14:schemeClr w14:val="tx1"/>
            </w14:solidFill>
          </w14:textFill>
        </w:rPr>
        <w:t>5.9.1 风险调查</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_Toc91163954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- 206 -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"_Toc91163955" </w:instrText>
      </w:r>
      <w:r>
        <w:fldChar w:fldCharType="separate"/>
      </w:r>
      <w:r>
        <w:rPr>
          <w:rStyle w:val="61"/>
          <w:rFonts w:cs="Times New Roman"/>
          <w:i w:val="0"/>
          <w:iCs w:val="0"/>
          <w:color w:val="000000" w:themeColor="text1"/>
          <w14:textFill>
            <w14:solidFill>
              <w14:schemeClr w14:val="tx1"/>
            </w14:solidFill>
          </w14:textFill>
        </w:rPr>
        <w:t>5.9.2 风险潜势初判</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_Toc91163955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- 207 -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"_Toc91163956" </w:instrText>
      </w:r>
      <w:r>
        <w:fldChar w:fldCharType="separate"/>
      </w:r>
      <w:r>
        <w:rPr>
          <w:rStyle w:val="61"/>
          <w:rFonts w:cs="Times New Roman"/>
          <w:i w:val="0"/>
          <w:iCs w:val="0"/>
          <w:color w:val="000000" w:themeColor="text1"/>
          <w14:textFill>
            <w14:solidFill>
              <w14:schemeClr w14:val="tx1"/>
            </w14:solidFill>
          </w14:textFill>
        </w:rPr>
        <w:t>5.9.3评价等级</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_Toc91163956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- 209 -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"_Toc91163957" </w:instrText>
      </w:r>
      <w:r>
        <w:fldChar w:fldCharType="separate"/>
      </w:r>
      <w:r>
        <w:rPr>
          <w:rStyle w:val="61"/>
          <w:rFonts w:cs="Times New Roman"/>
          <w:i w:val="0"/>
          <w:iCs w:val="0"/>
          <w:color w:val="000000" w:themeColor="text1"/>
          <w14:textFill>
            <w14:solidFill>
              <w14:schemeClr w14:val="tx1"/>
            </w14:solidFill>
          </w14:textFill>
        </w:rPr>
        <w:t>5.9.4 风险识别</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_Toc91163957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- 209 -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"_Toc91163958" </w:instrText>
      </w:r>
      <w:r>
        <w:fldChar w:fldCharType="separate"/>
      </w:r>
      <w:r>
        <w:rPr>
          <w:rStyle w:val="61"/>
          <w:rFonts w:cs="Times New Roman"/>
          <w:i w:val="0"/>
          <w:iCs w:val="0"/>
          <w:color w:val="000000" w:themeColor="text1"/>
          <w:lang w:bidi="en-US"/>
          <w14:textFill>
            <w14:solidFill>
              <w14:schemeClr w14:val="tx1"/>
            </w14:solidFill>
          </w14:textFill>
        </w:rPr>
        <w:t>5.9.5 风险事故情形设定</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_Toc91163958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- 213 -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"_Toc91163959" </w:instrText>
      </w:r>
      <w:r>
        <w:fldChar w:fldCharType="separate"/>
      </w:r>
      <w:r>
        <w:rPr>
          <w:rStyle w:val="61"/>
          <w:rFonts w:cs="Times New Roman"/>
          <w:i w:val="0"/>
          <w:iCs w:val="0"/>
          <w:color w:val="000000" w:themeColor="text1"/>
          <w14:textFill>
            <w14:solidFill>
              <w14:schemeClr w14:val="tx1"/>
            </w14:solidFill>
          </w14:textFill>
        </w:rPr>
        <w:t>5.9.6 环境风险分析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_Toc91163959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- 213 -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"_Toc91163960" </w:instrText>
      </w:r>
      <w:r>
        <w:fldChar w:fldCharType="separate"/>
      </w:r>
      <w:r>
        <w:rPr>
          <w:rStyle w:val="61"/>
          <w:rFonts w:cs="Times New Roman"/>
          <w:i w:val="0"/>
          <w:iCs w:val="0"/>
          <w:color w:val="000000" w:themeColor="text1"/>
          <w14:textFill>
            <w14:solidFill>
              <w14:schemeClr w14:val="tx1"/>
            </w14:solidFill>
          </w14:textFill>
        </w:rPr>
        <w:t>5.9.7 环境风险防范措施及应急措施</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_Toc91163960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- 214 -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"_Toc91163961" </w:instrText>
      </w:r>
      <w:r>
        <w:fldChar w:fldCharType="separate"/>
      </w:r>
      <w:r>
        <w:rPr>
          <w:rStyle w:val="61"/>
          <w:rFonts w:cs="Times New Roman"/>
          <w:i w:val="0"/>
          <w:iCs w:val="0"/>
          <w:color w:val="000000" w:themeColor="text1"/>
          <w14:textFill>
            <w14:solidFill>
              <w14:schemeClr w14:val="tx1"/>
            </w14:solidFill>
          </w14:textFill>
        </w:rPr>
        <w:t>5.9.8 风险评价结论</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_Toc91163961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- 221 -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34"/>
        <w:tabs>
          <w:tab w:val="right" w:leader="dot" w:pos="9060"/>
        </w:tabs>
        <w:ind w:firstLine="0" w:firstLineChars="0"/>
        <w:rPr>
          <w:rStyle w:val="61"/>
          <w:color w:val="000000" w:themeColor="text1"/>
          <w14:textFill>
            <w14:solidFill>
              <w14:schemeClr w14:val="tx1"/>
            </w14:solidFill>
          </w14:textFill>
        </w:rPr>
      </w:pPr>
      <w:r>
        <w:fldChar w:fldCharType="begin"/>
      </w:r>
      <w:r>
        <w:instrText xml:space="preserve"> HYPERLINK \l "_Toc91163962" </w:instrText>
      </w:r>
      <w:r>
        <w:fldChar w:fldCharType="separate"/>
      </w:r>
      <w:r>
        <w:rPr>
          <w:rStyle w:val="61"/>
          <w:rFonts w:cs="Times New Roman"/>
          <w:color w:val="000000" w:themeColor="text1"/>
          <w14:textFill>
            <w14:solidFill>
              <w14:schemeClr w14:val="tx1"/>
            </w14:solidFill>
          </w14:textFill>
        </w:rPr>
        <w:t>第六章 环境保护措施及其可行性论证</w:t>
      </w:r>
      <w:r>
        <w:rPr>
          <w:rStyle w:val="61"/>
          <w:color w:val="000000" w:themeColor="text1"/>
          <w14:textFill>
            <w14:solidFill>
              <w14:schemeClr w14:val="tx1"/>
            </w14:solidFill>
          </w14:textFill>
        </w:rPr>
        <w:tab/>
      </w:r>
      <w:r>
        <w:rPr>
          <w:rStyle w:val="61"/>
          <w:color w:val="000000" w:themeColor="text1"/>
          <w14:textFill>
            <w14:solidFill>
              <w14:schemeClr w14:val="tx1"/>
            </w14:solidFill>
          </w14:textFill>
        </w:rPr>
        <w:fldChar w:fldCharType="begin"/>
      </w:r>
      <w:r>
        <w:rPr>
          <w:rStyle w:val="61"/>
          <w:color w:val="000000" w:themeColor="text1"/>
          <w14:textFill>
            <w14:solidFill>
              <w14:schemeClr w14:val="tx1"/>
            </w14:solidFill>
          </w14:textFill>
        </w:rPr>
        <w:instrText xml:space="preserve"> PAGEREF _Toc91163962 \h </w:instrText>
      </w:r>
      <w:r>
        <w:rPr>
          <w:rStyle w:val="61"/>
          <w:color w:val="000000" w:themeColor="text1"/>
          <w14:textFill>
            <w14:solidFill>
              <w14:schemeClr w14:val="tx1"/>
            </w14:solidFill>
          </w14:textFill>
        </w:rPr>
        <w:fldChar w:fldCharType="separate"/>
      </w:r>
      <w:r>
        <w:rPr>
          <w:rStyle w:val="61"/>
          <w:color w:val="000000" w:themeColor="text1"/>
          <w14:textFill>
            <w14:solidFill>
              <w14:schemeClr w14:val="tx1"/>
            </w14:solidFill>
          </w14:textFill>
        </w:rPr>
        <w:t>- 224 -</w:t>
      </w:r>
      <w:r>
        <w:rPr>
          <w:rStyle w:val="61"/>
          <w:color w:val="000000" w:themeColor="text1"/>
          <w14:textFill>
            <w14:solidFill>
              <w14:schemeClr w14:val="tx1"/>
            </w14:solidFill>
          </w14:textFill>
        </w:rPr>
        <w:fldChar w:fldCharType="end"/>
      </w:r>
      <w:r>
        <w:rPr>
          <w:rStyle w:val="61"/>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"_Toc91163963" </w:instrText>
      </w:r>
      <w:r>
        <w:fldChar w:fldCharType="separate"/>
      </w:r>
      <w:r>
        <w:rPr>
          <w:rStyle w:val="61"/>
          <w:rFonts w:cs="Times New Roman"/>
          <w:color w:val="000000" w:themeColor="text1"/>
          <w14:textFill>
            <w14:solidFill>
              <w14:schemeClr w14:val="tx1"/>
            </w14:solidFill>
          </w14:textFill>
        </w:rPr>
        <w:t>6.1  施工期污染防治措施</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_Toc91163963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- 224 -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"_Toc91163964" </w:instrText>
      </w:r>
      <w:r>
        <w:fldChar w:fldCharType="separate"/>
      </w:r>
      <w:r>
        <w:rPr>
          <w:rStyle w:val="61"/>
          <w:rFonts w:cs="Times New Roman"/>
          <w:i w:val="0"/>
          <w:iCs w:val="0"/>
          <w:color w:val="000000" w:themeColor="text1"/>
          <w14:textFill>
            <w14:solidFill>
              <w14:schemeClr w14:val="tx1"/>
            </w14:solidFill>
          </w14:textFill>
        </w:rPr>
        <w:t>6.1.1 大气污染防治措施</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_Toc91163964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- 224 -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"_Toc91163965" </w:instrText>
      </w:r>
      <w:r>
        <w:fldChar w:fldCharType="separate"/>
      </w:r>
      <w:r>
        <w:rPr>
          <w:rStyle w:val="61"/>
          <w:rFonts w:cs="Times New Roman"/>
          <w:i w:val="0"/>
          <w:iCs w:val="0"/>
          <w:color w:val="000000" w:themeColor="text1"/>
          <w14:textFill>
            <w14:solidFill>
              <w14:schemeClr w14:val="tx1"/>
            </w14:solidFill>
          </w14:textFill>
        </w:rPr>
        <w:t>6.1.2 水污染防治措施</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_Toc91163965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- 225 -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"_Toc91163966" </w:instrText>
      </w:r>
      <w:r>
        <w:fldChar w:fldCharType="separate"/>
      </w:r>
      <w:r>
        <w:rPr>
          <w:rStyle w:val="61"/>
          <w:rFonts w:cs="Times New Roman"/>
          <w:i w:val="0"/>
          <w:iCs w:val="0"/>
          <w:color w:val="000000" w:themeColor="text1"/>
          <w14:textFill>
            <w14:solidFill>
              <w14:schemeClr w14:val="tx1"/>
            </w14:solidFill>
          </w14:textFill>
        </w:rPr>
        <w:t>6.1.3 声环境保护措施</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_Toc91163966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- 225 -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"_Toc91163967" </w:instrText>
      </w:r>
      <w:r>
        <w:fldChar w:fldCharType="separate"/>
      </w:r>
      <w:r>
        <w:rPr>
          <w:rStyle w:val="61"/>
          <w:rFonts w:cs="Times New Roman"/>
          <w:i w:val="0"/>
          <w:iCs w:val="0"/>
          <w:color w:val="000000" w:themeColor="text1"/>
          <w14:textFill>
            <w14:solidFill>
              <w14:schemeClr w14:val="tx1"/>
            </w14:solidFill>
          </w14:textFill>
        </w:rPr>
        <w:t>6.1.4 固体废弃物处置措施</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_Toc91163967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- 225 -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"_Toc91163968" </w:instrText>
      </w:r>
      <w:r>
        <w:fldChar w:fldCharType="separate"/>
      </w:r>
      <w:r>
        <w:rPr>
          <w:rStyle w:val="61"/>
          <w:rFonts w:cs="Times New Roman"/>
          <w:i w:val="0"/>
          <w:iCs w:val="0"/>
          <w:color w:val="000000" w:themeColor="text1"/>
          <w14:textFill>
            <w14:solidFill>
              <w14:schemeClr w14:val="tx1"/>
            </w14:solidFill>
          </w14:textFill>
        </w:rPr>
        <w:t>6.1.5 生态环境保护措施</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_Toc91163968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- 225 -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"_Toc91163969" </w:instrText>
      </w:r>
      <w:r>
        <w:fldChar w:fldCharType="separate"/>
      </w:r>
      <w:r>
        <w:rPr>
          <w:rStyle w:val="61"/>
          <w:rFonts w:cs="Times New Roman"/>
          <w:i w:val="0"/>
          <w:iCs w:val="0"/>
          <w:color w:val="000000" w:themeColor="text1"/>
          <w14:textFill>
            <w14:solidFill>
              <w14:schemeClr w14:val="tx1"/>
            </w14:solidFill>
          </w14:textFill>
        </w:rPr>
        <w:t xml:space="preserve">6.1.6 </w:t>
      </w:r>
      <w:r>
        <w:rPr>
          <w:rStyle w:val="61"/>
          <w:rFonts w:cs="Times New Roman"/>
          <w:i w:val="0"/>
          <w:iCs w:val="0"/>
          <w:color w:val="000000" w:themeColor="text1"/>
          <w:lang w:bidi="en-US"/>
          <w14:textFill>
            <w14:solidFill>
              <w14:schemeClr w14:val="tx1"/>
            </w14:solidFill>
          </w14:textFill>
        </w:rPr>
        <w:t>环境保护监管工作内容</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_Toc91163969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- 226 -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"_Toc91163970" </w:instrText>
      </w:r>
      <w:r>
        <w:fldChar w:fldCharType="separate"/>
      </w:r>
      <w:r>
        <w:rPr>
          <w:rStyle w:val="61"/>
          <w:rFonts w:cs="Times New Roman"/>
          <w:color w:val="000000" w:themeColor="text1"/>
          <w14:textFill>
            <w14:solidFill>
              <w14:schemeClr w14:val="tx1"/>
            </w14:solidFill>
          </w14:textFill>
        </w:rPr>
        <w:t>6.2  运营期污染防治措施</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_Toc91163970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- 227 -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"_Toc91163971" </w:instrText>
      </w:r>
      <w:r>
        <w:fldChar w:fldCharType="separate"/>
      </w:r>
      <w:r>
        <w:rPr>
          <w:rStyle w:val="61"/>
          <w:rFonts w:cs="Times New Roman"/>
          <w:i w:val="0"/>
          <w:iCs w:val="0"/>
          <w:color w:val="000000" w:themeColor="text1"/>
          <w14:textFill>
            <w14:solidFill>
              <w14:schemeClr w14:val="tx1"/>
            </w14:solidFill>
          </w14:textFill>
        </w:rPr>
        <w:t xml:space="preserve">6.2.1 </w:t>
      </w:r>
      <w:r>
        <w:rPr>
          <w:rStyle w:val="61"/>
          <w:rFonts w:cs="Times New Roman"/>
          <w:i w:val="0"/>
          <w:iCs w:val="0"/>
          <w:color w:val="000000" w:themeColor="text1"/>
          <w:kern w:val="0"/>
          <w14:textFill>
            <w14:solidFill>
              <w14:schemeClr w14:val="tx1"/>
            </w14:solidFill>
          </w14:textFill>
        </w:rPr>
        <w:t>废气污染防治措施及其技术经济论证</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_Toc91163971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- 227 -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"_Toc91163972" </w:instrText>
      </w:r>
      <w:r>
        <w:fldChar w:fldCharType="separate"/>
      </w:r>
      <w:r>
        <w:rPr>
          <w:rStyle w:val="61"/>
          <w:rFonts w:cs="Times New Roman"/>
          <w:i w:val="0"/>
          <w:iCs w:val="0"/>
          <w:color w:val="000000" w:themeColor="text1"/>
          <w14:textFill>
            <w14:solidFill>
              <w14:schemeClr w14:val="tx1"/>
            </w14:solidFill>
          </w14:textFill>
        </w:rPr>
        <w:t>6.2.2 水污染处理措施及可行性论证</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_Toc91163972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- 230 -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"_Toc91163973" </w:instrText>
      </w:r>
      <w:r>
        <w:fldChar w:fldCharType="separate"/>
      </w:r>
      <w:r>
        <w:rPr>
          <w:rStyle w:val="61"/>
          <w:rFonts w:cs="Times New Roman"/>
          <w:i w:val="0"/>
          <w:iCs w:val="0"/>
          <w:color w:val="000000" w:themeColor="text1"/>
          <w14:textFill>
            <w14:solidFill>
              <w14:schemeClr w14:val="tx1"/>
            </w14:solidFill>
          </w14:textFill>
        </w:rPr>
        <w:t>6.2.3 地下水污染处理措施及可行性论证</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_Toc91163973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- 236 -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"_Toc91163974" </w:instrText>
      </w:r>
      <w:r>
        <w:fldChar w:fldCharType="separate"/>
      </w:r>
      <w:r>
        <w:rPr>
          <w:rStyle w:val="61"/>
          <w:rFonts w:cs="Times New Roman"/>
          <w:i w:val="0"/>
          <w:iCs w:val="0"/>
          <w:color w:val="000000" w:themeColor="text1"/>
          <w14:textFill>
            <w14:solidFill>
              <w14:schemeClr w14:val="tx1"/>
            </w14:solidFill>
          </w14:textFill>
        </w:rPr>
        <w:t>6.2.4 噪声污染防治措施及可行性论证</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_Toc91163974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- 240 -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"_Toc91163975" </w:instrText>
      </w:r>
      <w:r>
        <w:fldChar w:fldCharType="separate"/>
      </w:r>
      <w:r>
        <w:rPr>
          <w:rStyle w:val="61"/>
          <w:rFonts w:cs="Times New Roman"/>
          <w:i w:val="0"/>
          <w:iCs w:val="0"/>
          <w:color w:val="000000" w:themeColor="text1"/>
          <w14:textFill>
            <w14:solidFill>
              <w14:schemeClr w14:val="tx1"/>
            </w14:solidFill>
          </w14:textFill>
        </w:rPr>
        <w:t>6.2.5 运营期固废防治措施及可行性论证</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_Toc91163975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- 240 -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"_Toc91163976" </w:instrText>
      </w:r>
      <w:r>
        <w:fldChar w:fldCharType="separate"/>
      </w:r>
      <w:r>
        <w:rPr>
          <w:rStyle w:val="61"/>
          <w:rFonts w:cs="Times New Roman"/>
          <w:i w:val="0"/>
          <w:iCs w:val="0"/>
          <w:color w:val="000000" w:themeColor="text1"/>
          <w14:textFill>
            <w14:solidFill>
              <w14:schemeClr w14:val="tx1"/>
            </w14:solidFill>
          </w14:textFill>
        </w:rPr>
        <w:t>6.2.6生态环境保护措施</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_Toc91163976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- 243 -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"_Toc91163977" </w:instrText>
      </w:r>
      <w:r>
        <w:fldChar w:fldCharType="separate"/>
      </w:r>
      <w:r>
        <w:rPr>
          <w:rStyle w:val="61"/>
          <w:rFonts w:cs="Times New Roman"/>
          <w:color w:val="000000" w:themeColor="text1"/>
          <w14:textFill>
            <w14:solidFill>
              <w14:schemeClr w14:val="tx1"/>
            </w14:solidFill>
          </w14:textFill>
        </w:rPr>
        <w:t>6.3  环境保护措施汇总</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_Toc91163977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- 245 -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34"/>
        <w:tabs>
          <w:tab w:val="right" w:leader="dot" w:pos="9060"/>
        </w:tabs>
        <w:ind w:firstLine="0" w:firstLineChars="0"/>
        <w:rPr>
          <w:rStyle w:val="61"/>
          <w:color w:val="000000" w:themeColor="text1"/>
          <w14:textFill>
            <w14:solidFill>
              <w14:schemeClr w14:val="tx1"/>
            </w14:solidFill>
          </w14:textFill>
        </w:rPr>
      </w:pPr>
      <w:r>
        <w:fldChar w:fldCharType="begin"/>
      </w:r>
      <w:r>
        <w:instrText xml:space="preserve"> HYPERLINK \l "_Toc91163978" </w:instrText>
      </w:r>
      <w:r>
        <w:fldChar w:fldCharType="separate"/>
      </w:r>
      <w:r>
        <w:rPr>
          <w:rStyle w:val="61"/>
          <w:rFonts w:cs="Times New Roman"/>
          <w:color w:val="000000" w:themeColor="text1"/>
          <w14:textFill>
            <w14:solidFill>
              <w14:schemeClr w14:val="tx1"/>
            </w14:solidFill>
          </w14:textFill>
        </w:rPr>
        <w:t>第七章 环保投资估算与环境影响经济损益分析</w:t>
      </w:r>
      <w:r>
        <w:rPr>
          <w:rStyle w:val="61"/>
          <w:color w:val="000000" w:themeColor="text1"/>
          <w14:textFill>
            <w14:solidFill>
              <w14:schemeClr w14:val="tx1"/>
            </w14:solidFill>
          </w14:textFill>
        </w:rPr>
        <w:tab/>
      </w:r>
      <w:r>
        <w:rPr>
          <w:rStyle w:val="61"/>
          <w:color w:val="000000" w:themeColor="text1"/>
          <w14:textFill>
            <w14:solidFill>
              <w14:schemeClr w14:val="tx1"/>
            </w14:solidFill>
          </w14:textFill>
        </w:rPr>
        <w:fldChar w:fldCharType="begin"/>
      </w:r>
      <w:r>
        <w:rPr>
          <w:rStyle w:val="61"/>
          <w:color w:val="000000" w:themeColor="text1"/>
          <w14:textFill>
            <w14:solidFill>
              <w14:schemeClr w14:val="tx1"/>
            </w14:solidFill>
          </w14:textFill>
        </w:rPr>
        <w:instrText xml:space="preserve"> PAGEREF _Toc91163978 \h </w:instrText>
      </w:r>
      <w:r>
        <w:rPr>
          <w:rStyle w:val="61"/>
          <w:color w:val="000000" w:themeColor="text1"/>
          <w14:textFill>
            <w14:solidFill>
              <w14:schemeClr w14:val="tx1"/>
            </w14:solidFill>
          </w14:textFill>
        </w:rPr>
        <w:fldChar w:fldCharType="separate"/>
      </w:r>
      <w:r>
        <w:rPr>
          <w:rStyle w:val="61"/>
          <w:color w:val="000000" w:themeColor="text1"/>
          <w14:textFill>
            <w14:solidFill>
              <w14:schemeClr w14:val="tx1"/>
            </w14:solidFill>
          </w14:textFill>
        </w:rPr>
        <w:t>- 247 -</w:t>
      </w:r>
      <w:r>
        <w:rPr>
          <w:rStyle w:val="61"/>
          <w:color w:val="000000" w:themeColor="text1"/>
          <w14:textFill>
            <w14:solidFill>
              <w14:schemeClr w14:val="tx1"/>
            </w14:solidFill>
          </w14:textFill>
        </w:rPr>
        <w:fldChar w:fldCharType="end"/>
      </w:r>
      <w:r>
        <w:rPr>
          <w:rStyle w:val="61"/>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"_Toc91163979" </w:instrText>
      </w:r>
      <w:r>
        <w:fldChar w:fldCharType="separate"/>
      </w:r>
      <w:r>
        <w:rPr>
          <w:rStyle w:val="61"/>
          <w:rFonts w:cs="Times New Roman"/>
          <w:color w:val="000000" w:themeColor="text1"/>
          <w14:textFill>
            <w14:solidFill>
              <w14:schemeClr w14:val="tx1"/>
            </w14:solidFill>
          </w14:textFill>
        </w:rPr>
        <w:t>7.1  社会效益</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_Toc91163979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- 247 -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"_Toc91163980" </w:instrText>
      </w:r>
      <w:r>
        <w:fldChar w:fldCharType="separate"/>
      </w:r>
      <w:r>
        <w:rPr>
          <w:rStyle w:val="61"/>
          <w:rFonts w:cs="Times New Roman"/>
          <w:color w:val="000000" w:themeColor="text1"/>
          <w14:textFill>
            <w14:solidFill>
              <w14:schemeClr w14:val="tx1"/>
            </w14:solidFill>
          </w14:textFill>
        </w:rPr>
        <w:t>7.2  经济效益</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_Toc91163980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- 247 -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"_Toc91163981" </w:instrText>
      </w:r>
      <w:r>
        <w:fldChar w:fldCharType="separate"/>
      </w:r>
      <w:r>
        <w:rPr>
          <w:rStyle w:val="61"/>
          <w:rFonts w:cs="Times New Roman"/>
          <w:color w:val="000000" w:themeColor="text1"/>
          <w14:textFill>
            <w14:solidFill>
              <w14:schemeClr w14:val="tx1"/>
            </w14:solidFill>
          </w14:textFill>
        </w:rPr>
        <w:t>7.3  生态效益</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_Toc91163981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- 248 -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"_Toc91163982" </w:instrText>
      </w:r>
      <w:r>
        <w:fldChar w:fldCharType="separate"/>
      </w:r>
      <w:r>
        <w:rPr>
          <w:rStyle w:val="61"/>
          <w:rFonts w:cs="Times New Roman"/>
          <w:color w:val="000000" w:themeColor="text1"/>
          <w14:textFill>
            <w14:solidFill>
              <w14:schemeClr w14:val="tx1"/>
            </w14:solidFill>
          </w14:textFill>
        </w:rPr>
        <w:t>7.4  环境影响经济损益影响分析</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_Toc91163982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- 248 -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"_Toc91163983" </w:instrText>
      </w:r>
      <w:r>
        <w:fldChar w:fldCharType="separate"/>
      </w:r>
      <w:r>
        <w:rPr>
          <w:rStyle w:val="61"/>
          <w:rFonts w:cs="Times New Roman"/>
          <w:i w:val="0"/>
          <w:iCs w:val="0"/>
          <w:color w:val="000000" w:themeColor="text1"/>
          <w14:textFill>
            <w14:solidFill>
              <w14:schemeClr w14:val="tx1"/>
            </w14:solidFill>
          </w14:textFill>
        </w:rPr>
        <w:t>7.4.1 环保费用</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_Toc91163983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- 248 -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"_Toc91163984" </w:instrText>
      </w:r>
      <w:r>
        <w:fldChar w:fldCharType="separate"/>
      </w:r>
      <w:r>
        <w:rPr>
          <w:rStyle w:val="61"/>
          <w:rFonts w:cs="Times New Roman"/>
          <w:i w:val="0"/>
          <w:iCs w:val="0"/>
          <w:color w:val="000000" w:themeColor="text1"/>
          <w14:textFill>
            <w14:solidFill>
              <w14:schemeClr w14:val="tx1"/>
            </w14:solidFill>
          </w14:textFill>
        </w:rPr>
        <w:t>7.4.2 环保设施经济效益估算</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_Toc91163984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- 250 -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"_Toc91163985" </w:instrText>
      </w:r>
      <w:r>
        <w:fldChar w:fldCharType="separate"/>
      </w:r>
      <w:r>
        <w:rPr>
          <w:rStyle w:val="61"/>
          <w:rFonts w:cs="Times New Roman"/>
          <w:i w:val="0"/>
          <w:iCs w:val="0"/>
          <w:color w:val="000000" w:themeColor="text1"/>
          <w14:textFill>
            <w14:solidFill>
              <w14:schemeClr w14:val="tx1"/>
            </w14:solidFill>
          </w14:textFill>
        </w:rPr>
        <w:t>7.4.3 工程环境经济损益指标分析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_Toc91163985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- 250 -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"_Toc91163986" </w:instrText>
      </w:r>
      <w:r>
        <w:fldChar w:fldCharType="separate"/>
      </w:r>
      <w:r>
        <w:rPr>
          <w:rStyle w:val="61"/>
          <w:rFonts w:cs="Times New Roman"/>
          <w:i w:val="0"/>
          <w:iCs w:val="0"/>
          <w:color w:val="000000" w:themeColor="text1"/>
          <w14:textFill>
            <w14:solidFill>
              <w14:schemeClr w14:val="tx1"/>
            </w14:solidFill>
          </w14:textFill>
        </w:rPr>
        <w:t>7.4.4 工程环境效益分析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_Toc91163986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- 251 -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"_Toc91163987" </w:instrText>
      </w:r>
      <w:r>
        <w:fldChar w:fldCharType="separate"/>
      </w:r>
      <w:r>
        <w:rPr>
          <w:rStyle w:val="61"/>
          <w:rFonts w:cs="Times New Roman"/>
          <w:color w:val="000000" w:themeColor="text1"/>
          <w14:textFill>
            <w14:solidFill>
              <w14:schemeClr w14:val="tx1"/>
            </w14:solidFill>
          </w14:textFill>
        </w:rPr>
        <w:t>7.5  小结</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_Toc91163987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- 252 -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34"/>
        <w:tabs>
          <w:tab w:val="right" w:leader="dot" w:pos="9060"/>
        </w:tabs>
        <w:ind w:firstLine="0" w:firstLineChars="0"/>
        <w:rPr>
          <w:rStyle w:val="61"/>
          <w:color w:val="000000" w:themeColor="text1"/>
          <w14:textFill>
            <w14:solidFill>
              <w14:schemeClr w14:val="tx1"/>
            </w14:solidFill>
          </w14:textFill>
        </w:rPr>
      </w:pPr>
      <w:r>
        <w:fldChar w:fldCharType="begin"/>
      </w:r>
      <w:r>
        <w:instrText xml:space="preserve"> HYPERLINK \l "_Toc91163988" </w:instrText>
      </w:r>
      <w:r>
        <w:fldChar w:fldCharType="separate"/>
      </w:r>
      <w:r>
        <w:rPr>
          <w:rStyle w:val="61"/>
          <w:rFonts w:cs="Times New Roman"/>
          <w:color w:val="000000" w:themeColor="text1"/>
          <w14:textFill>
            <w14:solidFill>
              <w14:schemeClr w14:val="tx1"/>
            </w14:solidFill>
          </w14:textFill>
        </w:rPr>
        <w:t>第八章 环境管理和监测计划</w:t>
      </w:r>
      <w:r>
        <w:rPr>
          <w:rStyle w:val="61"/>
          <w:color w:val="000000" w:themeColor="text1"/>
          <w14:textFill>
            <w14:solidFill>
              <w14:schemeClr w14:val="tx1"/>
            </w14:solidFill>
          </w14:textFill>
        </w:rPr>
        <w:tab/>
      </w:r>
      <w:r>
        <w:rPr>
          <w:rStyle w:val="61"/>
          <w:color w:val="000000" w:themeColor="text1"/>
          <w14:textFill>
            <w14:solidFill>
              <w14:schemeClr w14:val="tx1"/>
            </w14:solidFill>
          </w14:textFill>
        </w:rPr>
        <w:fldChar w:fldCharType="begin"/>
      </w:r>
      <w:r>
        <w:rPr>
          <w:rStyle w:val="61"/>
          <w:color w:val="000000" w:themeColor="text1"/>
          <w14:textFill>
            <w14:solidFill>
              <w14:schemeClr w14:val="tx1"/>
            </w14:solidFill>
          </w14:textFill>
        </w:rPr>
        <w:instrText xml:space="preserve"> PAGEREF _Toc91163988 \h </w:instrText>
      </w:r>
      <w:r>
        <w:rPr>
          <w:rStyle w:val="61"/>
          <w:color w:val="000000" w:themeColor="text1"/>
          <w14:textFill>
            <w14:solidFill>
              <w14:schemeClr w14:val="tx1"/>
            </w14:solidFill>
          </w14:textFill>
        </w:rPr>
        <w:fldChar w:fldCharType="separate"/>
      </w:r>
      <w:r>
        <w:rPr>
          <w:rStyle w:val="61"/>
          <w:color w:val="000000" w:themeColor="text1"/>
          <w14:textFill>
            <w14:solidFill>
              <w14:schemeClr w14:val="tx1"/>
            </w14:solidFill>
          </w14:textFill>
        </w:rPr>
        <w:t>- 253 -</w:t>
      </w:r>
      <w:r>
        <w:rPr>
          <w:rStyle w:val="61"/>
          <w:color w:val="000000" w:themeColor="text1"/>
          <w14:textFill>
            <w14:solidFill>
              <w14:schemeClr w14:val="tx1"/>
            </w14:solidFill>
          </w14:textFill>
        </w:rPr>
        <w:fldChar w:fldCharType="end"/>
      </w:r>
      <w:r>
        <w:rPr>
          <w:rStyle w:val="61"/>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"_Toc91163989" </w:instrText>
      </w:r>
      <w:r>
        <w:fldChar w:fldCharType="separate"/>
      </w:r>
      <w:r>
        <w:rPr>
          <w:rStyle w:val="61"/>
          <w:rFonts w:cs="Times New Roman"/>
          <w:color w:val="000000" w:themeColor="text1"/>
          <w14:textFill>
            <w14:solidFill>
              <w14:schemeClr w14:val="tx1"/>
            </w14:solidFill>
          </w14:textFill>
        </w:rPr>
        <w:t>8.1  环境管理</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_Toc91163989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- 253 -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"_Toc91163990" </w:instrText>
      </w:r>
      <w:r>
        <w:fldChar w:fldCharType="separate"/>
      </w:r>
      <w:r>
        <w:rPr>
          <w:rStyle w:val="61"/>
          <w:rFonts w:cs="Times New Roman"/>
          <w:i w:val="0"/>
          <w:iCs w:val="0"/>
          <w:color w:val="000000" w:themeColor="text1"/>
          <w14:textFill>
            <w14:solidFill>
              <w14:schemeClr w14:val="tx1"/>
            </w14:solidFill>
          </w14:textFill>
        </w:rPr>
        <w:t>8.1.1 环境管理要求</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_Toc91163990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- 253 -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"_Toc91163991" </w:instrText>
      </w:r>
      <w:r>
        <w:fldChar w:fldCharType="separate"/>
      </w:r>
      <w:r>
        <w:rPr>
          <w:rStyle w:val="61"/>
          <w:rFonts w:cs="Times New Roman"/>
          <w:i w:val="0"/>
          <w:iCs w:val="0"/>
          <w:color w:val="000000" w:themeColor="text1"/>
          <w14:textFill>
            <w14:solidFill>
              <w14:schemeClr w14:val="tx1"/>
            </w14:solidFill>
          </w14:textFill>
        </w:rPr>
        <w:t>8.1.2污染物排放清单</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_Toc91163991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- 253 -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"_Toc91163992" </w:instrText>
      </w:r>
      <w:r>
        <w:fldChar w:fldCharType="separate"/>
      </w:r>
      <w:r>
        <w:rPr>
          <w:rStyle w:val="61"/>
          <w:rFonts w:cs="Times New Roman"/>
          <w:i w:val="0"/>
          <w:iCs w:val="0"/>
          <w:color w:val="000000" w:themeColor="text1"/>
          <w14:textFill>
            <w14:solidFill>
              <w14:schemeClr w14:val="tx1"/>
            </w14:solidFill>
          </w14:textFill>
        </w:rPr>
        <w:t>8.1.3 排污口规范化设置</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_Toc91163992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- 256 -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"_Toc91163993" </w:instrText>
      </w:r>
      <w:r>
        <w:fldChar w:fldCharType="separate"/>
      </w:r>
      <w:r>
        <w:rPr>
          <w:rStyle w:val="61"/>
          <w:rFonts w:cs="Times New Roman"/>
          <w:i w:val="0"/>
          <w:iCs w:val="0"/>
          <w:color w:val="000000" w:themeColor="text1"/>
          <w14:textFill>
            <w14:solidFill>
              <w14:schemeClr w14:val="tx1"/>
            </w14:solidFill>
          </w14:textFill>
        </w:rPr>
        <w:t>8.1.4 执行的环境质量标准</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_Toc91163993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- 257 -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"_Toc91163994" </w:instrText>
      </w:r>
      <w:r>
        <w:fldChar w:fldCharType="separate"/>
      </w:r>
      <w:r>
        <w:rPr>
          <w:rStyle w:val="61"/>
          <w:rFonts w:cs="Times New Roman"/>
          <w:i w:val="0"/>
          <w:iCs w:val="0"/>
          <w:color w:val="000000" w:themeColor="text1"/>
          <w14:textFill>
            <w14:solidFill>
              <w14:schemeClr w14:val="tx1"/>
            </w14:solidFill>
          </w14:textFill>
        </w:rPr>
        <w:t>8.1.5 企业信息公开</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_Toc91163994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- 257 -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"_Toc91163995" </w:instrText>
      </w:r>
      <w:r>
        <w:fldChar w:fldCharType="separate"/>
      </w:r>
      <w:r>
        <w:rPr>
          <w:rStyle w:val="61"/>
          <w:rFonts w:cs="Times New Roman"/>
          <w:i w:val="0"/>
          <w:iCs w:val="0"/>
          <w:color w:val="000000" w:themeColor="text1"/>
          <w14:textFill>
            <w14:solidFill>
              <w14:schemeClr w14:val="tx1"/>
            </w14:solidFill>
          </w14:textFill>
        </w:rPr>
        <w:t xml:space="preserve">8.1.6 </w:t>
      </w:r>
      <w:r>
        <w:rPr>
          <w:rStyle w:val="61"/>
          <w:rFonts w:cs="Times New Roman"/>
          <w:i w:val="0"/>
          <w:iCs w:val="0"/>
          <w:color w:val="000000" w:themeColor="text1"/>
          <w:kern w:val="0"/>
          <w14:textFill>
            <w14:solidFill>
              <w14:schemeClr w14:val="tx1"/>
            </w14:solidFill>
          </w14:textFill>
        </w:rPr>
        <w:t>环境管理制度</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_Toc91163995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- 258 -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"_Toc91163996" </w:instrText>
      </w:r>
      <w:r>
        <w:fldChar w:fldCharType="separate"/>
      </w:r>
      <w:r>
        <w:rPr>
          <w:rStyle w:val="61"/>
          <w:rFonts w:cs="Times New Roman"/>
          <w:color w:val="000000" w:themeColor="text1"/>
          <w14:textFill>
            <w14:solidFill>
              <w14:schemeClr w14:val="tx1"/>
            </w14:solidFill>
          </w14:textFill>
        </w:rPr>
        <w:t>8.2 环境监测计划</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_Toc91163996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- 259 -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"_Toc91163997" </w:instrText>
      </w:r>
      <w:r>
        <w:fldChar w:fldCharType="separate"/>
      </w:r>
      <w:r>
        <w:rPr>
          <w:rStyle w:val="61"/>
          <w:rFonts w:cs="Times New Roman"/>
          <w:i w:val="0"/>
          <w:iCs w:val="0"/>
          <w:color w:val="000000" w:themeColor="text1"/>
          <w14:textFill>
            <w14:solidFill>
              <w14:schemeClr w14:val="tx1"/>
            </w14:solidFill>
          </w14:textFill>
        </w:rPr>
        <w:t>8.2.1 废气污染物监测计划</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_Toc91163997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- 259 -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"_Toc91163998" </w:instrText>
      </w:r>
      <w:r>
        <w:fldChar w:fldCharType="separate"/>
      </w:r>
      <w:r>
        <w:rPr>
          <w:rStyle w:val="61"/>
          <w:rFonts w:cs="Times New Roman"/>
          <w:i w:val="0"/>
          <w:iCs w:val="0"/>
          <w:color w:val="000000" w:themeColor="text1"/>
          <w14:textFill>
            <w14:solidFill>
              <w14:schemeClr w14:val="tx1"/>
            </w14:solidFill>
          </w14:textFill>
        </w:rPr>
        <w:t>8.2.2 地下水跟踪监测计划</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_Toc91163998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- 259 -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"_Toc91163999" </w:instrText>
      </w:r>
      <w:r>
        <w:fldChar w:fldCharType="separate"/>
      </w:r>
      <w:r>
        <w:rPr>
          <w:rStyle w:val="61"/>
          <w:rFonts w:cs="Times New Roman"/>
          <w:i w:val="0"/>
          <w:iCs w:val="0"/>
          <w:color w:val="000000" w:themeColor="text1"/>
          <w14:textFill>
            <w14:solidFill>
              <w14:schemeClr w14:val="tx1"/>
            </w14:solidFill>
          </w14:textFill>
        </w:rPr>
        <w:t>8.2.3 固体废物</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_Toc91163999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- 261 -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"_Toc91164000" </w:instrText>
      </w:r>
      <w:r>
        <w:fldChar w:fldCharType="separate"/>
      </w:r>
      <w:r>
        <w:rPr>
          <w:rStyle w:val="61"/>
          <w:rFonts w:cs="Times New Roman"/>
          <w:i w:val="0"/>
          <w:iCs w:val="0"/>
          <w:color w:val="000000" w:themeColor="text1"/>
          <w14:textFill>
            <w14:solidFill>
              <w14:schemeClr w14:val="tx1"/>
            </w14:solidFill>
          </w14:textFill>
        </w:rPr>
        <w:t xml:space="preserve">8.2.4 </w:t>
      </w:r>
      <w:r>
        <w:rPr>
          <w:rStyle w:val="61"/>
          <w:rFonts w:cs="Times New Roman"/>
          <w:i w:val="0"/>
          <w:iCs w:val="0"/>
          <w:color w:val="000000" w:themeColor="text1"/>
          <w:kern w:val="0"/>
          <w14:textFill>
            <w14:solidFill>
              <w14:schemeClr w14:val="tx1"/>
            </w14:solidFill>
          </w14:textFill>
        </w:rPr>
        <w:t>环境监测项目及频次</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_Toc91164000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- 261 -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34"/>
        <w:tabs>
          <w:tab w:val="right" w:leader="dot" w:pos="9060"/>
        </w:tabs>
        <w:ind w:firstLine="0" w:firstLineChars="0"/>
        <w:rPr>
          <w:rStyle w:val="61"/>
          <w:color w:val="000000" w:themeColor="text1"/>
          <w14:textFill>
            <w14:solidFill>
              <w14:schemeClr w14:val="tx1"/>
            </w14:solidFill>
          </w14:textFill>
        </w:rPr>
      </w:pPr>
      <w:r>
        <w:fldChar w:fldCharType="begin"/>
      </w:r>
      <w:r>
        <w:instrText xml:space="preserve"> HYPERLINK \l "_Toc91164001" </w:instrText>
      </w:r>
      <w:r>
        <w:fldChar w:fldCharType="separate"/>
      </w:r>
      <w:r>
        <w:rPr>
          <w:rStyle w:val="61"/>
          <w:rFonts w:cs="Times New Roman"/>
          <w:color w:val="000000" w:themeColor="text1"/>
          <w14:textFill>
            <w14:solidFill>
              <w14:schemeClr w14:val="tx1"/>
            </w14:solidFill>
          </w14:textFill>
        </w:rPr>
        <w:t>第九章 结论与建议</w:t>
      </w:r>
      <w:r>
        <w:rPr>
          <w:rStyle w:val="61"/>
          <w:color w:val="000000" w:themeColor="text1"/>
          <w14:textFill>
            <w14:solidFill>
              <w14:schemeClr w14:val="tx1"/>
            </w14:solidFill>
          </w14:textFill>
        </w:rPr>
        <w:tab/>
      </w:r>
      <w:r>
        <w:rPr>
          <w:rStyle w:val="61"/>
          <w:color w:val="000000" w:themeColor="text1"/>
          <w14:textFill>
            <w14:solidFill>
              <w14:schemeClr w14:val="tx1"/>
            </w14:solidFill>
          </w14:textFill>
        </w:rPr>
        <w:fldChar w:fldCharType="begin"/>
      </w:r>
      <w:r>
        <w:rPr>
          <w:rStyle w:val="61"/>
          <w:color w:val="000000" w:themeColor="text1"/>
          <w14:textFill>
            <w14:solidFill>
              <w14:schemeClr w14:val="tx1"/>
            </w14:solidFill>
          </w14:textFill>
        </w:rPr>
        <w:instrText xml:space="preserve"> PAGEREF _Toc91164001 \h </w:instrText>
      </w:r>
      <w:r>
        <w:rPr>
          <w:rStyle w:val="61"/>
          <w:color w:val="000000" w:themeColor="text1"/>
          <w14:textFill>
            <w14:solidFill>
              <w14:schemeClr w14:val="tx1"/>
            </w14:solidFill>
          </w14:textFill>
        </w:rPr>
        <w:fldChar w:fldCharType="separate"/>
      </w:r>
      <w:r>
        <w:rPr>
          <w:rStyle w:val="61"/>
          <w:color w:val="000000" w:themeColor="text1"/>
          <w14:textFill>
            <w14:solidFill>
              <w14:schemeClr w14:val="tx1"/>
            </w14:solidFill>
          </w14:textFill>
        </w:rPr>
        <w:t>- 264 -</w:t>
      </w:r>
      <w:r>
        <w:rPr>
          <w:rStyle w:val="61"/>
          <w:color w:val="000000" w:themeColor="text1"/>
          <w14:textFill>
            <w14:solidFill>
              <w14:schemeClr w14:val="tx1"/>
            </w14:solidFill>
          </w14:textFill>
        </w:rPr>
        <w:fldChar w:fldCharType="end"/>
      </w:r>
      <w:r>
        <w:rPr>
          <w:rStyle w:val="61"/>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"_Toc91164002" </w:instrText>
      </w:r>
      <w:r>
        <w:fldChar w:fldCharType="separate"/>
      </w:r>
      <w:r>
        <w:rPr>
          <w:rStyle w:val="61"/>
          <w:rFonts w:cs="Times New Roman"/>
          <w:color w:val="000000" w:themeColor="text1"/>
          <w14:textFill>
            <w14:solidFill>
              <w14:schemeClr w14:val="tx1"/>
            </w14:solidFill>
          </w14:textFill>
        </w:rPr>
        <w:t>9.1  建设项目概况</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_Toc91164002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- 264 -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"_Toc91164003" </w:instrText>
      </w:r>
      <w:r>
        <w:fldChar w:fldCharType="separate"/>
      </w:r>
      <w:r>
        <w:rPr>
          <w:rStyle w:val="61"/>
          <w:rFonts w:cs="Times New Roman"/>
          <w:color w:val="000000" w:themeColor="text1"/>
          <w14:textFill>
            <w14:solidFill>
              <w14:schemeClr w14:val="tx1"/>
            </w14:solidFill>
          </w14:textFill>
        </w:rPr>
        <w:t>9.2  环境质量现状</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_Toc91164003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- 264 -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"_Toc91164004" </w:instrText>
      </w:r>
      <w:r>
        <w:fldChar w:fldCharType="separate"/>
      </w:r>
      <w:r>
        <w:rPr>
          <w:rStyle w:val="61"/>
          <w:rFonts w:cs="Times New Roman"/>
          <w:i w:val="0"/>
          <w:iCs w:val="0"/>
          <w:color w:val="000000" w:themeColor="text1"/>
          <w14:textFill>
            <w14:solidFill>
              <w14:schemeClr w14:val="tx1"/>
            </w14:solidFill>
          </w14:textFill>
        </w:rPr>
        <w:t>9.2.1 环境空气</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_Toc91164004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- 264 -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"_Toc91164005" </w:instrText>
      </w:r>
      <w:r>
        <w:fldChar w:fldCharType="separate"/>
      </w:r>
      <w:r>
        <w:rPr>
          <w:rStyle w:val="61"/>
          <w:rFonts w:cs="Times New Roman"/>
          <w:i w:val="0"/>
          <w:iCs w:val="0"/>
          <w:color w:val="000000" w:themeColor="text1"/>
          <w14:textFill>
            <w14:solidFill>
              <w14:schemeClr w14:val="tx1"/>
            </w14:solidFill>
          </w14:textFill>
        </w:rPr>
        <w:t>9.2.2 地下水</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_Toc91164005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- 264 -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"_Toc91164006" </w:instrText>
      </w:r>
      <w:r>
        <w:fldChar w:fldCharType="separate"/>
      </w:r>
      <w:r>
        <w:rPr>
          <w:rStyle w:val="61"/>
          <w:rFonts w:cs="Times New Roman"/>
          <w:i w:val="0"/>
          <w:iCs w:val="0"/>
          <w:color w:val="000000" w:themeColor="text1"/>
          <w14:textFill>
            <w14:solidFill>
              <w14:schemeClr w14:val="tx1"/>
            </w14:solidFill>
          </w14:textFill>
        </w:rPr>
        <w:t>9.2.3 环境噪声</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_Toc91164006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"_Toc91164007" </w:instrText>
      </w:r>
      <w:r>
        <w:fldChar w:fldCharType="separate"/>
      </w:r>
      <w:r>
        <w:rPr>
          <w:rStyle w:val="61"/>
          <w:rFonts w:cs="Times New Roman"/>
          <w:i w:val="0"/>
          <w:iCs w:val="0"/>
          <w:color w:val="000000" w:themeColor="text1"/>
          <w14:textFill>
            <w14:solidFill>
              <w14:schemeClr w14:val="tx1"/>
            </w14:solidFill>
          </w14:textFill>
        </w:rPr>
        <w:t>9.2.4 土壤环境质量</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_Toc91164007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"_Toc91164008" </w:instrText>
      </w:r>
      <w:r>
        <w:fldChar w:fldCharType="separate"/>
      </w:r>
      <w:r>
        <w:rPr>
          <w:rStyle w:val="61"/>
          <w:rFonts w:cs="Times New Roman"/>
          <w:color w:val="000000" w:themeColor="text1"/>
          <w14:textFill>
            <w14:solidFill>
              <w14:schemeClr w14:val="tx1"/>
            </w14:solidFill>
          </w14:textFill>
        </w:rPr>
        <w:t>9.3  主要环境影响</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_Toc91164008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- 265 -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"_Toc91164009" </w:instrText>
      </w:r>
      <w:r>
        <w:fldChar w:fldCharType="separate"/>
      </w:r>
      <w:r>
        <w:rPr>
          <w:rStyle w:val="61"/>
          <w:rFonts w:cs="Times New Roman"/>
          <w:i w:val="0"/>
          <w:iCs w:val="0"/>
          <w:color w:val="000000" w:themeColor="text1"/>
          <w14:textFill>
            <w14:solidFill>
              <w14:schemeClr w14:val="tx1"/>
            </w14:solidFill>
          </w14:textFill>
        </w:rPr>
        <w:t xml:space="preserve">9.3.1 </w:t>
      </w:r>
      <w:r>
        <w:rPr>
          <w:rStyle w:val="61"/>
          <w:rFonts w:cs="Times New Roman"/>
          <w:i w:val="0"/>
          <w:iCs w:val="0"/>
          <w:color w:val="000000" w:themeColor="text1"/>
          <w:kern w:val="0"/>
          <w14:textFill>
            <w14:solidFill>
              <w14:schemeClr w14:val="tx1"/>
            </w14:solidFill>
          </w14:textFill>
        </w:rPr>
        <w:t>环境空气影响分析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_Toc91164009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"_Toc91164010" </w:instrText>
      </w:r>
      <w:r>
        <w:fldChar w:fldCharType="separate"/>
      </w:r>
      <w:r>
        <w:rPr>
          <w:rStyle w:val="61"/>
          <w:rFonts w:cs="Times New Roman"/>
          <w:i w:val="0"/>
          <w:iCs w:val="0"/>
          <w:color w:val="000000" w:themeColor="text1"/>
          <w14:textFill>
            <w14:solidFill>
              <w14:schemeClr w14:val="tx1"/>
            </w14:solidFill>
          </w14:textFill>
        </w:rPr>
        <w:t>9.3.2 地表水环境影响分析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_Toc91164010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"_Toc91164011" </w:instrText>
      </w:r>
      <w:r>
        <w:fldChar w:fldCharType="separate"/>
      </w:r>
      <w:r>
        <w:rPr>
          <w:rStyle w:val="61"/>
          <w:rFonts w:cs="Times New Roman"/>
          <w:i w:val="0"/>
          <w:iCs w:val="0"/>
          <w:color w:val="000000" w:themeColor="text1"/>
          <w14:textFill>
            <w14:solidFill>
              <w14:schemeClr w14:val="tx1"/>
            </w14:solidFill>
          </w14:textFill>
        </w:rPr>
        <w:t>9.3.3 地下水环境影响分析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_Toc91164011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- 265 -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"_Toc91164012" </w:instrText>
      </w:r>
      <w:r>
        <w:fldChar w:fldCharType="separate"/>
      </w:r>
      <w:r>
        <w:rPr>
          <w:rStyle w:val="61"/>
          <w:rFonts w:cs="Times New Roman"/>
          <w:i w:val="0"/>
          <w:iCs w:val="0"/>
          <w:color w:val="000000" w:themeColor="text1"/>
          <w14:textFill>
            <w14:solidFill>
              <w14:schemeClr w14:val="tx1"/>
            </w14:solidFill>
          </w14:textFill>
        </w:rPr>
        <w:t>9.3.4 固体废物影响分析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_Toc91164012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"_Toc91164013" </w:instrText>
      </w:r>
      <w:r>
        <w:fldChar w:fldCharType="separate"/>
      </w:r>
      <w:r>
        <w:rPr>
          <w:rStyle w:val="61"/>
          <w:rFonts w:cs="Times New Roman"/>
          <w:i w:val="0"/>
          <w:iCs w:val="0"/>
          <w:color w:val="000000" w:themeColor="text1"/>
          <w14:textFill>
            <w14:solidFill>
              <w14:schemeClr w14:val="tx1"/>
            </w14:solidFill>
          </w14:textFill>
        </w:rPr>
        <w:t>9.3.5 声环境影响分析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_Toc91164013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"_Toc91164014" </w:instrText>
      </w:r>
      <w:r>
        <w:fldChar w:fldCharType="separate"/>
      </w:r>
      <w:r>
        <w:rPr>
          <w:rStyle w:val="61"/>
          <w:rFonts w:cs="Times New Roman"/>
          <w:i w:val="0"/>
          <w:iCs w:val="0"/>
          <w:color w:val="000000" w:themeColor="text1"/>
          <w14:textFill>
            <w14:solidFill>
              <w14:schemeClr w14:val="tx1"/>
            </w14:solidFill>
          </w14:textFill>
        </w:rPr>
        <w:t>9.3.6 土壤环境影响分析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_Toc91164014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"_Toc91164015" </w:instrText>
      </w:r>
      <w:r>
        <w:fldChar w:fldCharType="separate"/>
      </w:r>
      <w:r>
        <w:rPr>
          <w:rStyle w:val="61"/>
          <w:rFonts w:cs="Times New Roman"/>
          <w:i w:val="0"/>
          <w:iCs w:val="0"/>
          <w:color w:val="000000" w:themeColor="text1"/>
          <w14:textFill>
            <w14:solidFill>
              <w14:schemeClr w14:val="tx1"/>
            </w14:solidFill>
          </w14:textFill>
        </w:rPr>
        <w:t>9.3.7 生态环境影响分析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_Toc91164015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"_Toc91164016" </w:instrText>
      </w:r>
      <w:r>
        <w:fldChar w:fldCharType="separate"/>
      </w:r>
      <w:r>
        <w:rPr>
          <w:rStyle w:val="61"/>
          <w:rFonts w:cs="Times New Roman"/>
          <w:i w:val="0"/>
          <w:iCs w:val="0"/>
          <w:color w:val="000000" w:themeColor="text1"/>
          <w14:textFill>
            <w14:solidFill>
              <w14:schemeClr w14:val="tx1"/>
            </w14:solidFill>
          </w14:textFill>
        </w:rPr>
        <w:t xml:space="preserve">9.3.8 </w:t>
      </w:r>
      <w:r>
        <w:rPr>
          <w:rStyle w:val="61"/>
          <w:rFonts w:cs="Times New Roman"/>
          <w:i w:val="0"/>
          <w:iCs w:val="0"/>
          <w:color w:val="000000" w:themeColor="text1"/>
          <w:kern w:val="0"/>
          <w14:textFill>
            <w14:solidFill>
              <w14:schemeClr w14:val="tx1"/>
            </w14:solidFill>
          </w14:textFill>
        </w:rPr>
        <w:t>环境风险分析</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_Toc91164016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- 266 -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"_Toc91164017" </w:instrText>
      </w:r>
      <w:r>
        <w:fldChar w:fldCharType="separate"/>
      </w:r>
      <w:r>
        <w:rPr>
          <w:rStyle w:val="61"/>
          <w:rFonts w:cs="Times New Roman"/>
          <w:color w:val="000000" w:themeColor="text1"/>
          <w14:textFill>
            <w14:solidFill>
              <w14:schemeClr w14:val="tx1"/>
            </w14:solidFill>
          </w14:textFill>
        </w:rPr>
        <w:t>9.4  污染物排放情况</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_Toc91164017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- 267 -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"_Toc91164018" </w:instrText>
      </w:r>
      <w:r>
        <w:fldChar w:fldCharType="separate"/>
      </w:r>
      <w:r>
        <w:rPr>
          <w:rStyle w:val="61"/>
          <w:rFonts w:cs="Times New Roman"/>
          <w:i w:val="0"/>
          <w:iCs w:val="0"/>
          <w:color w:val="000000" w:themeColor="text1"/>
          <w14:textFill>
            <w14:solidFill>
              <w14:schemeClr w14:val="tx1"/>
            </w14:solidFill>
          </w14:textFill>
        </w:rPr>
        <w:t>9.4.1 达标排放</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_Toc91164018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- 267 -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25"/>
        <w:tabs>
          <w:tab w:val="right" w:leader="dot" w:pos="9060"/>
        </w:tabs>
        <w:ind w:firstLine="400"/>
        <w:rPr>
          <w:rFonts w:ascii="Times New Roman" w:cs="Times New Roman" w:eastAsiaTheme="minorEastAsia"/>
          <w:i w:val="0"/>
          <w:iCs w:val="0"/>
          <w:color w:val="000000" w:themeColor="text1"/>
          <w:sz w:val="21"/>
          <w:szCs w:val="22"/>
          <w14:textFill>
            <w14:solidFill>
              <w14:schemeClr w14:val="tx1"/>
            </w14:solidFill>
          </w14:textFill>
        </w:rPr>
      </w:pPr>
      <w:r>
        <w:fldChar w:fldCharType="begin"/>
      </w:r>
      <w:r>
        <w:instrText xml:space="preserve"> HYPERLINK \l "_Toc91164019" </w:instrText>
      </w:r>
      <w:r>
        <w:fldChar w:fldCharType="separate"/>
      </w:r>
      <w:r>
        <w:rPr>
          <w:rStyle w:val="61"/>
          <w:rFonts w:cs="Times New Roman"/>
          <w:i w:val="0"/>
          <w:iCs w:val="0"/>
          <w:color w:val="000000" w:themeColor="text1"/>
          <w14:textFill>
            <w14:solidFill>
              <w14:schemeClr w14:val="tx1"/>
            </w14:solidFill>
          </w14:textFill>
        </w:rPr>
        <w:t>9.4.2 总量控制</w:t>
      </w:r>
      <w:r>
        <w:rPr>
          <w:rFonts w:ascii="Times New Roman" w:cs="Times New Roman"/>
          <w:i w:val="0"/>
          <w:iCs w:val="0"/>
          <w:color w:val="000000" w:themeColor="text1"/>
          <w14:textFill>
            <w14:solidFill>
              <w14:schemeClr w14:val="tx1"/>
            </w14:solidFill>
          </w14:textFill>
        </w:rPr>
        <w:tab/>
      </w:r>
      <w:r>
        <w:rPr>
          <w:rFonts w:ascii="Times New Roman" w:cs="Times New Roman"/>
          <w:i w:val="0"/>
          <w:iCs w:val="0"/>
          <w:color w:val="000000" w:themeColor="text1"/>
          <w14:textFill>
            <w14:solidFill>
              <w14:schemeClr w14:val="tx1"/>
            </w14:solidFill>
          </w14:textFill>
        </w:rPr>
        <w:fldChar w:fldCharType="begin"/>
      </w:r>
      <w:r>
        <w:rPr>
          <w:rFonts w:ascii="Times New Roman" w:cs="Times New Roman"/>
          <w:i w:val="0"/>
          <w:iCs w:val="0"/>
          <w:color w:val="000000" w:themeColor="text1"/>
          <w14:textFill>
            <w14:solidFill>
              <w14:schemeClr w14:val="tx1"/>
            </w14:solidFill>
          </w14:textFill>
        </w:rPr>
        <w:instrText xml:space="preserve"> PAGEREF _Toc91164019 \h </w:instrText>
      </w:r>
      <w:r>
        <w:rPr>
          <w:rFonts w:ascii="Times New Roman" w:cs="Times New Roman"/>
          <w:i w:val="0"/>
          <w:iCs w:val="0"/>
          <w:color w:val="000000" w:themeColor="text1"/>
          <w14:textFill>
            <w14:solidFill>
              <w14:schemeClr w14:val="tx1"/>
            </w14:solidFill>
          </w14:textFill>
        </w:rPr>
        <w:fldChar w:fldCharType="separate"/>
      </w:r>
      <w:r>
        <w:rPr>
          <w:rFonts w:ascii="Times New Roman" w:cs="Times New Roman"/>
          <w:i w:val="0"/>
          <w:iCs w:val="0"/>
          <w:color w:val="000000" w:themeColor="text1"/>
          <w14:textFill>
            <w14:solidFill>
              <w14:schemeClr w14:val="tx1"/>
            </w14:solidFill>
          </w14:textFill>
        </w:rPr>
        <w:t>- 268 -</w:t>
      </w:r>
      <w:r>
        <w:rPr>
          <w:rFonts w:ascii="Times New Roman" w:cs="Times New Roman"/>
          <w:i w:val="0"/>
          <w:iCs w:val="0"/>
          <w:color w:val="000000" w:themeColor="text1"/>
          <w14:textFill>
            <w14:solidFill>
              <w14:schemeClr w14:val="tx1"/>
            </w14:solidFill>
          </w14:textFill>
        </w:rPr>
        <w:fldChar w:fldCharType="end"/>
      </w:r>
      <w:r>
        <w:rPr>
          <w:rFonts w:ascii="Times New Roman" w:cs="Times New Roman"/>
          <w:i w:val="0"/>
          <w:iCs w:val="0"/>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"_Toc91164020" </w:instrText>
      </w:r>
      <w:r>
        <w:fldChar w:fldCharType="separate"/>
      </w:r>
      <w:r>
        <w:rPr>
          <w:rStyle w:val="61"/>
          <w:rFonts w:cs="Times New Roman"/>
          <w:color w:val="000000" w:themeColor="text1"/>
          <w14:textFill>
            <w14:solidFill>
              <w14:schemeClr w14:val="tx1"/>
            </w14:solidFill>
          </w14:textFill>
        </w:rPr>
        <w:t>9.5  环境保护措施</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_Toc91164020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- 268 -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"_Toc91164021" </w:instrText>
      </w:r>
      <w:r>
        <w:fldChar w:fldCharType="separate"/>
      </w:r>
      <w:r>
        <w:rPr>
          <w:rStyle w:val="61"/>
          <w:rFonts w:cs="Times New Roman"/>
          <w:color w:val="000000" w:themeColor="text1"/>
          <w14:textFill>
            <w14:solidFill>
              <w14:schemeClr w14:val="tx1"/>
            </w14:solidFill>
          </w14:textFill>
        </w:rPr>
        <w:t>9.6  选址可行性分析</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_Toc91164021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- 269 -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"_Toc91164022" </w:instrText>
      </w:r>
      <w:r>
        <w:fldChar w:fldCharType="separate"/>
      </w:r>
      <w:r>
        <w:rPr>
          <w:rStyle w:val="61"/>
          <w:rFonts w:cs="Times New Roman"/>
          <w:color w:val="000000" w:themeColor="text1"/>
          <w14:textFill>
            <w14:solidFill>
              <w14:schemeClr w14:val="tx1"/>
            </w14:solidFill>
          </w14:textFill>
        </w:rPr>
        <w:t>9.7  环境经济损益分析</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_Toc91164022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- 269 -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"_Toc91164023" </w:instrText>
      </w:r>
      <w:r>
        <w:fldChar w:fldCharType="separate"/>
      </w:r>
      <w:r>
        <w:rPr>
          <w:rStyle w:val="61"/>
          <w:rFonts w:cs="Times New Roman"/>
          <w:color w:val="000000" w:themeColor="text1"/>
          <w14:textFill>
            <w14:solidFill>
              <w14:schemeClr w14:val="tx1"/>
            </w14:solidFill>
          </w14:textFill>
        </w:rPr>
        <w:t>9.8  环境管理与监测计划</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_Toc91164023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- 269 -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"_Toc91164024" </w:instrText>
      </w:r>
      <w:r>
        <w:fldChar w:fldCharType="separate"/>
      </w:r>
      <w:r>
        <w:rPr>
          <w:rStyle w:val="61"/>
          <w:rFonts w:cs="Times New Roman"/>
          <w:color w:val="000000" w:themeColor="text1"/>
          <w14:textFill>
            <w14:solidFill>
              <w14:schemeClr w14:val="tx1"/>
            </w14:solidFill>
          </w14:textFill>
        </w:rPr>
        <w:t>9.9  公众参与</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_Toc91164024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- 269 -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pStyle w:val="44"/>
        <w:tabs>
          <w:tab w:val="right" w:leader="dot" w:pos="9060"/>
        </w:tabs>
        <w:ind w:firstLine="400"/>
        <w:rPr>
          <w:rFonts w:ascii="Times New Roman" w:cs="Times New Roman" w:eastAsiaTheme="minorEastAsia"/>
          <w:smallCaps w:val="0"/>
          <w:color w:val="000000" w:themeColor="text1"/>
          <w:sz w:val="21"/>
          <w:szCs w:val="22"/>
          <w14:textFill>
            <w14:solidFill>
              <w14:schemeClr w14:val="tx1"/>
            </w14:solidFill>
          </w14:textFill>
        </w:rPr>
      </w:pPr>
      <w:r>
        <w:fldChar w:fldCharType="begin"/>
      </w:r>
      <w:r>
        <w:instrText xml:space="preserve"> HYPERLINK \l "_Toc91164025" </w:instrText>
      </w:r>
      <w:r>
        <w:fldChar w:fldCharType="separate"/>
      </w:r>
      <w:r>
        <w:rPr>
          <w:rStyle w:val="61"/>
          <w:rFonts w:cs="Times New Roman"/>
          <w:color w:val="000000" w:themeColor="text1"/>
          <w14:textFill>
            <w14:solidFill>
              <w14:schemeClr w14:val="tx1"/>
            </w14:solidFill>
          </w14:textFill>
        </w:rPr>
        <w:t>9.10 评价结论</w:t>
      </w:r>
      <w:r>
        <w:rPr>
          <w:rFonts w:ascii="Times New Roman" w:cs="Times New Roman"/>
          <w:color w:val="000000" w:themeColor="text1"/>
          <w14:textFill>
            <w14:solidFill>
              <w14:schemeClr w14:val="tx1"/>
            </w14:solidFill>
          </w14:textFill>
        </w:rPr>
        <w:tab/>
      </w:r>
      <w:r>
        <w:rPr>
          <w:rFonts w:ascii="Times New Roman" w:cs="Times New Roman"/>
          <w:color w:val="000000" w:themeColor="text1"/>
          <w14:textFill>
            <w14:solidFill>
              <w14:schemeClr w14:val="tx1"/>
            </w14:solidFill>
          </w14:textFill>
        </w:rPr>
        <w:fldChar w:fldCharType="begin"/>
      </w:r>
      <w:r>
        <w:rPr>
          <w:rFonts w:ascii="Times New Roman" w:cs="Times New Roman"/>
          <w:color w:val="000000" w:themeColor="text1"/>
          <w14:textFill>
            <w14:solidFill>
              <w14:schemeClr w14:val="tx1"/>
            </w14:solidFill>
          </w14:textFill>
        </w:rPr>
        <w:instrText xml:space="preserve"> PAGEREF _Toc91164025 \h </w:instrText>
      </w:r>
      <w:r>
        <w:rPr>
          <w:rFonts w:ascii="Times New Roman" w:cs="Times New Roman"/>
          <w:color w:val="000000" w:themeColor="text1"/>
          <w14:textFill>
            <w14:solidFill>
              <w14:schemeClr w14:val="tx1"/>
            </w14:solidFill>
          </w14:textFill>
        </w:rPr>
        <w:fldChar w:fldCharType="separate"/>
      </w:r>
      <w:r>
        <w:rPr>
          <w:rFonts w:ascii="Times New Roman" w:cs="Times New Roman"/>
          <w:color w:val="000000" w:themeColor="text1"/>
          <w14:textFill>
            <w14:solidFill>
              <w14:schemeClr w14:val="tx1"/>
            </w14:solidFill>
          </w14:textFill>
        </w:rPr>
        <w:t>- 270 -</w:t>
      </w:r>
      <w:r>
        <w:rPr>
          <w:rFonts w:ascii="Times New Roman" w:cs="Times New Roman"/>
          <w:color w:val="000000" w:themeColor="text1"/>
          <w14:textFill>
            <w14:solidFill>
              <w14:schemeClr w14:val="tx1"/>
            </w14:solidFill>
          </w14:textFill>
        </w:rPr>
        <w:fldChar w:fldCharType="end"/>
      </w:r>
      <w:r>
        <w:rPr>
          <w:rFonts w:ascii="Times New Roman" w:cs="Times New Roman"/>
          <w:color w:val="000000" w:themeColor="text1"/>
          <w14:textFill>
            <w14:solidFill>
              <w14:schemeClr w14:val="tx1"/>
            </w14:solidFill>
          </w14:textFill>
        </w:rPr>
        <w:fldChar w:fldCharType="end"/>
      </w:r>
    </w:p>
    <w:p>
      <w:pPr>
        <w:ind w:firstLine="420"/>
        <w:rPr>
          <w:rFonts w:eastAsia="等线" w:cs="Times New Roman"/>
          <w:b/>
          <w:bCs/>
          <w:caps/>
          <w:color w:val="000000" w:themeColor="text1"/>
          <w:sz w:val="20"/>
          <w:szCs w:val="20"/>
          <w14:textFill>
            <w14:solidFill>
              <w14:schemeClr w14:val="tx1"/>
            </w14:solidFill>
          </w14:textFill>
        </w:rPr>
      </w:pPr>
      <w:r>
        <w:rPr>
          <w:rFonts w:eastAsia="等线" w:cs="Times New Roman"/>
          <w:b/>
          <w:bCs/>
          <w:caps/>
          <w:color w:val="000000" w:themeColor="text1"/>
          <w:sz w:val="21"/>
          <w:szCs w:val="21"/>
          <w14:textFill>
            <w14:solidFill>
              <w14:schemeClr w14:val="tx1"/>
            </w14:solidFill>
          </w14:textFill>
        </w:rPr>
        <w:fldChar w:fldCharType="end"/>
      </w:r>
    </w:p>
    <w:p>
      <w:pPr>
        <w:ind w:firstLine="422"/>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附件</w:t>
      </w:r>
    </w:p>
    <w:p>
      <w:pPr>
        <w:ind w:firstLine="42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附件一：委托书</w:t>
      </w:r>
    </w:p>
    <w:p>
      <w:pPr>
        <w:ind w:firstLine="42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附件二：专家意见</w:t>
      </w:r>
    </w:p>
    <w:p>
      <w:pPr>
        <w:ind w:firstLine="42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附件三：备案证明</w:t>
      </w:r>
    </w:p>
    <w:p>
      <w:pPr>
        <w:ind w:firstLine="42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附件四：土地流转合同</w:t>
      </w:r>
    </w:p>
    <w:p>
      <w:pPr>
        <w:ind w:firstLine="42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附件五：</w:t>
      </w:r>
      <w:r>
        <w:rPr>
          <w:rFonts w:cs="Times New Roman"/>
          <w:bCs/>
          <w:color w:val="000000" w:themeColor="text1"/>
          <w:kern w:val="0"/>
          <w:sz w:val="21"/>
          <w:szCs w:val="21"/>
          <w14:textFill>
            <w14:solidFill>
              <w14:schemeClr w14:val="tx1"/>
            </w14:solidFill>
          </w14:textFill>
        </w:rPr>
        <w:t>丰宜镇设施农业用地备案登记表（2021）第1号</w:t>
      </w:r>
    </w:p>
    <w:p>
      <w:pPr>
        <w:ind w:firstLine="42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附件六：沼液消纳协议</w:t>
      </w:r>
    </w:p>
    <w:p>
      <w:pPr>
        <w:ind w:firstLine="42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附件七：环境质量现状监测报告</w:t>
      </w:r>
    </w:p>
    <w:p>
      <w:pPr>
        <w:ind w:firstLine="42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附件八：无害化专利证书</w:t>
      </w:r>
    </w:p>
    <w:p>
      <w:pPr>
        <w:ind w:firstLine="42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附件九：农业部关于开展病死动物无害化处理装备试验示范工作的通知</w:t>
      </w:r>
    </w:p>
    <w:p>
      <w:pPr>
        <w:ind w:firstLine="420"/>
        <w:rPr>
          <w:rFonts w:cs="Times New Roman"/>
          <w:color w:val="000000" w:themeColor="text1"/>
          <w:kern w:val="0"/>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附件</w:t>
      </w:r>
      <w:r>
        <w:rPr>
          <w:rFonts w:cs="Times New Roman"/>
          <w:color w:val="000000" w:themeColor="text1"/>
          <w:kern w:val="0"/>
          <w:sz w:val="21"/>
          <w:szCs w:val="21"/>
          <w14:textFill>
            <w14:solidFill>
              <w14:schemeClr w14:val="tx1"/>
            </w14:solidFill>
          </w14:textFill>
        </w:rPr>
        <w:t>十</w:t>
      </w:r>
      <w:r>
        <w:rPr>
          <w:rFonts w:cs="Times New Roman"/>
          <w:color w:val="000000" w:themeColor="text1"/>
          <w:sz w:val="21"/>
          <w:szCs w:val="21"/>
          <w14:textFill>
            <w14:solidFill>
              <w14:schemeClr w14:val="tx1"/>
            </w14:solidFill>
          </w14:textFill>
        </w:rPr>
        <w:t>：</w:t>
      </w:r>
      <w:r>
        <w:rPr>
          <w:rFonts w:cs="Times New Roman"/>
          <w:color w:val="000000" w:themeColor="text1"/>
          <w:kern w:val="0"/>
          <w:sz w:val="21"/>
          <w:szCs w:val="21"/>
          <w14:textFill>
            <w14:solidFill>
              <w14:schemeClr w14:val="tx1"/>
            </w14:solidFill>
          </w14:textFill>
        </w:rPr>
        <w:t>无害化处理试验示范工作（节选）</w:t>
      </w:r>
    </w:p>
    <w:p>
      <w:pPr>
        <w:ind w:firstLine="42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附件十一：无害化尾气监测数据</w:t>
      </w:r>
    </w:p>
    <w:p>
      <w:pPr>
        <w:ind w:firstLine="420"/>
        <w:rPr>
          <w:rFonts w:cs="Times New Roman"/>
          <w:color w:val="000000" w:themeColor="text1"/>
          <w:sz w:val="21"/>
          <w:szCs w:val="21"/>
          <w14:textFill>
            <w14:solidFill>
              <w14:schemeClr w14:val="tx1"/>
            </w14:solidFill>
          </w14:textFill>
        </w:rPr>
      </w:pPr>
    </w:p>
    <w:p>
      <w:pPr>
        <w:ind w:firstLine="420"/>
        <w:rPr>
          <w:rFonts w:cs="Times New Roman"/>
          <w:color w:val="000000" w:themeColor="text1"/>
          <w:sz w:val="21"/>
          <w:szCs w:val="21"/>
          <w14:textFill>
            <w14:solidFill>
              <w14:schemeClr w14:val="tx1"/>
            </w14:solidFill>
          </w14:textFill>
        </w:rPr>
      </w:pPr>
    </w:p>
    <w:p>
      <w:pPr>
        <w:ind w:firstLine="422"/>
        <w:rPr>
          <w:rFonts w:cs="Times New Roman"/>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附表</w:t>
      </w:r>
    </w:p>
    <w:p>
      <w:pPr>
        <w:ind w:firstLine="420"/>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建设项目环评审批基础信息表</w:t>
      </w:r>
    </w:p>
    <w:p>
      <w:pPr>
        <w:ind w:firstLine="480"/>
        <w:rPr>
          <w:rFonts w:cs="Times New Roman"/>
          <w:color w:val="000000" w:themeColor="text1"/>
          <w14:textFill>
            <w14:solidFill>
              <w14:schemeClr w14:val="tx1"/>
            </w14:solidFill>
          </w14:textFill>
        </w:rPr>
        <w:sectPr>
          <w:headerReference r:id="rId12" w:type="first"/>
          <w:footerReference r:id="rId14" w:type="first"/>
          <w:headerReference r:id="rId11" w:type="default"/>
          <w:footerReference r:id="rId13" w:type="default"/>
          <w:pgSz w:w="11906" w:h="16838"/>
          <w:pgMar w:top="1418" w:right="1418" w:bottom="1418" w:left="1418" w:header="851" w:footer="992" w:gutter="0"/>
          <w:pgNumType w:fmt="upperRoman" w:start="1"/>
          <w:cols w:space="720" w:num="1"/>
          <w:docGrid w:linePitch="326" w:charSpace="0"/>
        </w:sectPr>
      </w:pPr>
    </w:p>
    <w:p>
      <w:pPr>
        <w:pStyle w:val="2"/>
        <w:spacing w:before="240" w:after="120"/>
        <w:rPr>
          <w:rFonts w:cs="Times New Roman"/>
          <w:color w:val="000000" w:themeColor="text1"/>
          <w14:textFill>
            <w14:solidFill>
              <w14:schemeClr w14:val="tx1"/>
            </w14:solidFill>
          </w14:textFill>
        </w:rPr>
      </w:pPr>
      <w:bookmarkStart w:id="10" w:name="_Toc47619757"/>
      <w:bookmarkStart w:id="11" w:name="_Toc47619446"/>
      <w:bookmarkStart w:id="12" w:name="_Toc52791812"/>
      <w:bookmarkStart w:id="13" w:name="_Toc47619340"/>
      <w:bookmarkStart w:id="14" w:name="_Toc91163812"/>
      <w:bookmarkStart w:id="15" w:name="_Toc58362711"/>
      <w:bookmarkStart w:id="16" w:name="_Toc47619943"/>
      <w:bookmarkStart w:id="17" w:name="_Toc47619095"/>
      <w:r>
        <w:rPr>
          <w:rFonts w:cs="Times New Roman"/>
          <w:color w:val="000000" w:themeColor="text1"/>
          <w14:textFill>
            <w14:solidFill>
              <w14:schemeClr w14:val="tx1"/>
            </w14:solidFill>
          </w14:textFill>
        </w:rPr>
        <w:t>第一章 概述</w:t>
      </w:r>
      <w:bookmarkEnd w:id="10"/>
      <w:bookmarkEnd w:id="11"/>
      <w:bookmarkEnd w:id="12"/>
      <w:bookmarkEnd w:id="13"/>
      <w:bookmarkEnd w:id="14"/>
      <w:bookmarkEnd w:id="15"/>
      <w:bookmarkEnd w:id="16"/>
      <w:bookmarkEnd w:id="17"/>
    </w:p>
    <w:p>
      <w:pPr>
        <w:pStyle w:val="3"/>
        <w:spacing w:before="120" w:after="120"/>
        <w:rPr>
          <w:rFonts w:cs="Times New Roman"/>
          <w:color w:val="000000" w:themeColor="text1"/>
          <w14:textFill>
            <w14:solidFill>
              <w14:schemeClr w14:val="tx1"/>
            </w14:solidFill>
          </w14:textFill>
        </w:rPr>
      </w:pPr>
      <w:bookmarkStart w:id="18" w:name="_Toc47619944"/>
      <w:bookmarkStart w:id="19" w:name="_Toc47619758"/>
      <w:bookmarkStart w:id="20" w:name="_Toc47619096"/>
      <w:bookmarkStart w:id="21" w:name="_Toc52791813"/>
      <w:bookmarkStart w:id="22" w:name="_Toc58362712"/>
      <w:bookmarkStart w:id="23" w:name="_Toc47619341"/>
      <w:bookmarkStart w:id="24" w:name="_Toc47619447"/>
      <w:bookmarkStart w:id="25" w:name="_Toc91163813"/>
      <w:r>
        <w:rPr>
          <w:rFonts w:cs="Times New Roman"/>
          <w:color w:val="000000" w:themeColor="text1"/>
          <w14:textFill>
            <w14:solidFill>
              <w14:schemeClr w14:val="tx1"/>
            </w14:solidFill>
          </w14:textFill>
        </w:rPr>
        <w:t>1.1  建设项目的</w:t>
      </w:r>
      <w:bookmarkEnd w:id="18"/>
      <w:bookmarkEnd w:id="19"/>
      <w:bookmarkEnd w:id="20"/>
      <w:bookmarkEnd w:id="21"/>
      <w:bookmarkEnd w:id="22"/>
      <w:bookmarkEnd w:id="23"/>
      <w:bookmarkEnd w:id="24"/>
      <w:r>
        <w:rPr>
          <w:rFonts w:cs="Times New Roman"/>
          <w:color w:val="000000" w:themeColor="text1"/>
          <w14:textFill>
            <w14:solidFill>
              <w14:schemeClr w14:val="tx1"/>
            </w14:solidFill>
          </w14:textFill>
        </w:rPr>
        <w:t>背景</w:t>
      </w:r>
      <w:bookmarkEnd w:id="2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畜牧业是农业的重要组成部分，其发展水平是一个国家农业发达程度的重要标志。我国不仅是生猪生产大国，而且是猪肉消费大国。随着经济发展和人民生活水平的提高，人们对食品品质要求越来越高，消费者选择也从数量型向质量型转变，特别是无公害、绿色、食品和有机食品的兴起，加速了这一转变进程，引领食品消费进入一个新的发展阶段。由于人们对高品质食品的认知度提高，无公害、绿色食品的消费需求不断扩大，市场占有率日益提高。在日常的食品消费中，猪肉含有对人体生长发育有着重要作用的蛋白质含量高的食品，是我国居民膳食结构中理想的肉食品之一，深受消费者欢迎。</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近年来，党和国家十分重视社会经济可持续发展和环境保护，重视社会主义新农村建设，并确定要鼓励发展循环农业、生态农业，并对规模养殖项目予以政策优惠、资金倾斜。国务院《促进产业结构调整暂行规定》第四条提出“大力发展畜业，提高规模化、集约化、标准化水平；发展高效生态养殖业”。《关于促进生猪生产发展稳定市场供应的意见》中提出：“大力推进生猪集约化养殖方式，扶持生猪标准化规模养殖，鼓励发展规模养猪场和养猪小区，降低养殖成本，改善养殖条件，提高生猪综合生产能力，确保居民对猪肉消费的需求，保证猪肉产品质量的安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山西省特定的地理环境及气候因素，使得畜牧业在整个农村经济发展中占有十分重要的地位。近年来，为加快农村经济的发展，增加广大农民收入，促使农村经济上新台阶，山西各级政府十分重视畜牧业的发展，并将畜牧业作为全面振兴农村经济、实现农业可持续发展战略的一大主导产业。根据山西省发展规模健康养殖实施意见，其中首要一项就是“构建发展的畜禽种业体系”，具体要求加快“建设新型的良种繁育体系，科学高效地选育推广品质优良、适应生产条件和市场需求且生产性能高的畜禽品种，实现优质、高产、高效、安全、生态畜牧业发展目标，提升畜牧业市场竞争力”。为了促进农牧产业结构调整和促进养殖业的发展，推动养殖专业化进程，推动农业增税、农民增收，为贯彻党中央、国务院关于稳定生猪生产保障市场供应的工作部署，有力促进我省生猪生产恢复，为满足市场需求，在此背景下，山西鑫达农牧有限公司拟在长治市屯留区</w:t>
      </w:r>
      <w:r>
        <w:rPr>
          <w:rFonts w:cs="Times New Roman"/>
          <w:bCs/>
          <w:color w:val="000000" w:themeColor="text1"/>
          <w:kern w:val="24"/>
          <w:szCs w:val="20"/>
          <w14:textFill>
            <w14:solidFill>
              <w14:schemeClr w14:val="tx1"/>
            </w14:solidFill>
          </w14:textFill>
        </w:rPr>
        <w:t>杜村建设1.5万头生猪产业化项目</w:t>
      </w:r>
      <w:r>
        <w:rPr>
          <w:rFonts w:cs="Times New Roman"/>
          <w:color w:val="000000" w:themeColor="text1"/>
          <w14:textFill>
            <w14:solidFill>
              <w14:schemeClr w14:val="tx1"/>
            </w14:solidFill>
          </w14:textFill>
        </w:rPr>
        <w:t>，项目总占地</w:t>
      </w:r>
      <w:r>
        <w:rPr>
          <w:rFonts w:cs="Times New Roman"/>
          <w:bCs/>
          <w:color w:val="000000" w:themeColor="text1"/>
          <w14:textFill>
            <w14:solidFill>
              <w14:schemeClr w14:val="tx1"/>
            </w14:solidFill>
          </w14:textFill>
        </w:rPr>
        <w:t>面积53019.51 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，约79.53亩。长治市屯留区行政审批服务管理局对项目进行了备案，项目代码：2106-140405-89-01-892643。</w:t>
      </w:r>
      <w:r>
        <w:rPr>
          <w:rFonts w:cs="Times New Roman"/>
          <w:color w:val="000000" w:themeColor="text1"/>
          <w14:textFill>
            <w14:solidFill>
              <w14:schemeClr w14:val="tx1"/>
            </w14:solidFill>
          </w14:textFill>
        </w:rPr>
        <w:t>本项目总投资为2400.28万元。</w:t>
      </w:r>
    </w:p>
    <w:p>
      <w:pPr>
        <w:pStyle w:val="3"/>
        <w:spacing w:before="120" w:after="120"/>
        <w:rPr>
          <w:rFonts w:cs="Times New Roman"/>
          <w:color w:val="000000" w:themeColor="text1"/>
          <w14:textFill>
            <w14:solidFill>
              <w14:schemeClr w14:val="tx1"/>
            </w14:solidFill>
          </w14:textFill>
        </w:rPr>
      </w:pPr>
      <w:bookmarkStart w:id="26" w:name="_Toc58362715"/>
      <w:bookmarkStart w:id="27" w:name="_Toc52791816"/>
      <w:bookmarkStart w:id="28" w:name="_Toc47619099"/>
      <w:bookmarkStart w:id="29" w:name="_Toc91163814"/>
      <w:bookmarkStart w:id="30" w:name="_Toc47619448"/>
      <w:bookmarkStart w:id="31" w:name="_Toc47619761"/>
      <w:bookmarkStart w:id="32" w:name="_Toc47619947"/>
      <w:bookmarkStart w:id="33" w:name="_Toc47619342"/>
      <w:r>
        <w:rPr>
          <w:rFonts w:cs="Times New Roman"/>
          <w:color w:val="000000" w:themeColor="text1"/>
          <w14:textFill>
            <w14:solidFill>
              <w14:schemeClr w14:val="tx1"/>
            </w14:solidFill>
          </w14:textFill>
        </w:rPr>
        <w:t>1.2  环境影响评价的工作过程</w:t>
      </w:r>
      <w:bookmarkEnd w:id="26"/>
      <w:bookmarkEnd w:id="27"/>
      <w:bookmarkEnd w:id="28"/>
      <w:bookmarkEnd w:id="29"/>
      <w:bookmarkEnd w:id="30"/>
      <w:bookmarkEnd w:id="31"/>
      <w:bookmarkEnd w:id="32"/>
      <w:bookmarkEnd w:id="33"/>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根据《中华人民共和国环境保护法》、《中华人民共和国环境影响评价法》以及《建设项目环境影响评价分类管理名录》的有关规定，本项目须进行环境影响评价工作；根据</w:t>
      </w:r>
      <w:r>
        <w:rPr>
          <w:rFonts w:cs="Times New Roman"/>
          <w:color w:val="000000" w:themeColor="text1"/>
          <w:lang w:eastAsia="zh-CN"/>
          <w14:textFill>
            <w14:solidFill>
              <w14:schemeClr w14:val="tx1"/>
            </w14:solidFill>
          </w14:textFill>
        </w:rPr>
        <w:t>《建设项目环境影响评价分类管理名录》（</w:t>
      </w:r>
      <w:r>
        <w:rPr>
          <w:rFonts w:cs="Times New Roman"/>
          <w:color w:val="000000" w:themeColor="text1"/>
          <w14:textFill>
            <w14:solidFill>
              <w14:schemeClr w14:val="tx1"/>
            </w14:solidFill>
          </w14:textFill>
        </w:rPr>
        <w:t>2021年版</w:t>
      </w:r>
      <w:r>
        <w:rPr>
          <w:rFonts w:cs="Times New Roman"/>
          <w:color w:val="000000" w:themeColor="text1"/>
          <w:lang w:eastAsia="zh-CN"/>
          <w14:textFill>
            <w14:solidFill>
              <w14:schemeClr w14:val="tx1"/>
            </w14:solidFill>
          </w14:textFill>
        </w:rPr>
        <w:t>）</w:t>
      </w:r>
      <w:r>
        <w:rPr>
          <w:rFonts w:cs="Times New Roman"/>
          <w:color w:val="000000" w:themeColor="text1"/>
          <w14:textFill>
            <w14:solidFill>
              <w14:schemeClr w14:val="tx1"/>
            </w14:solidFill>
          </w14:textFill>
        </w:rPr>
        <w:t>，本项目年出栏商品肉猪15000头，属于“二、畜牧业03”</w:t>
      </w:r>
      <w:r>
        <w:rPr>
          <w:rFonts w:cs="Times New Roman"/>
          <w:color w:val="000000" w:themeColor="text1"/>
          <w:lang w:eastAsia="zh-CN"/>
          <w14:textFill>
            <w14:solidFill>
              <w14:schemeClr w14:val="tx1"/>
            </w14:solidFill>
          </w14:textFill>
        </w:rPr>
        <w:t>中</w:t>
      </w:r>
      <w:r>
        <w:rPr>
          <w:rFonts w:cs="Times New Roman"/>
          <w:color w:val="000000" w:themeColor="text1"/>
          <w14:textFill>
            <w14:solidFill>
              <w14:schemeClr w14:val="tx1"/>
            </w14:solidFill>
          </w14:textFill>
        </w:rPr>
        <w:t>“年出栏生猪5000及以上的规模化畜禽养殖”</w:t>
      </w:r>
      <w:r>
        <w:rPr>
          <w:rFonts w:cs="Times New Roman"/>
          <w:color w:val="000000" w:themeColor="text1"/>
          <w:lang w:eastAsia="zh-CN"/>
          <w14:textFill>
            <w14:solidFill>
              <w14:schemeClr w14:val="tx1"/>
            </w14:solidFill>
          </w14:textFill>
        </w:rPr>
        <w:t>，应编制环境影响报告</w:t>
      </w:r>
      <w:r>
        <w:rPr>
          <w:rFonts w:cs="Times New Roman"/>
          <w:color w:val="000000" w:themeColor="text1"/>
          <w:lang w:val="zh-CN"/>
          <w14:textFill>
            <w14:solidFill>
              <w14:schemeClr w14:val="tx1"/>
            </w14:solidFill>
          </w14:textFill>
        </w:rPr>
        <w:t>书</w:t>
      </w:r>
      <w:r>
        <w:rPr>
          <w:rFonts w:cs="Times New Roman"/>
          <w:color w:val="000000" w:themeColor="text1"/>
          <w14:textFill>
            <w14:solidFill>
              <w14:schemeClr w14:val="tx1"/>
            </w14:solidFill>
          </w14:textFill>
        </w:rPr>
        <w:t>。根据山西省生态环境厅于2020年2月28日发布的《关于进一步做好生猪养殖项目环评管理工作的紧急通知》，对于年出栏量5000头及以上的生猪养殖项目环评试点实行告知承诺制，本项目年出栏商品肉猪15000头，符合告知承诺制施行要求。据此，山西鑫达农牧有限公司于2021年6月28日正式委托山西博清环境科技有限公司承担本项目的环境影响评价工作（委托书见附件1）。</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接受委托后，我公司立即成立了环评项目组，项目组组织相关技术人员多次赴现场实地踏勘、调研和收集资料，详细调查了该项目所在区域的自然环境、生态环境等，了解并掌握了项目周边居民、企事业单位等敏感因素的分布情况，同时收集了该区域的发展规划，根据调查结果并结合项目可能对环境造成影响的因子进行识别和筛选，根据国家、省、市、县各级环保部门的有关规定，确定了本次评价级别、范围。按照相关技术规范编制完成了《山西鑫达农牧有限公司1.5万头生猪产业化项目环境影响报告书》（报审稿）。</w:t>
      </w:r>
    </w:p>
    <w:p>
      <w:pPr>
        <w:ind w:firstLine="480"/>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长治市屯留区行政审批服务管理局</w:t>
      </w:r>
      <w:r>
        <w:rPr>
          <w:rFonts w:cs="Times New Roman"/>
          <w:color w:val="000000" w:themeColor="text1"/>
          <w14:textFill>
            <w14:solidFill>
              <w14:schemeClr w14:val="tx1"/>
            </w14:solidFill>
          </w14:textFill>
        </w:rPr>
        <w:t>于</w:t>
      </w:r>
      <w:r>
        <w:rPr>
          <w:rFonts w:cs="Times New Roman"/>
          <w:bCs/>
          <w:color w:val="000000" w:themeColor="text1"/>
          <w14:textFill>
            <w14:solidFill>
              <w14:schemeClr w14:val="tx1"/>
            </w14:solidFill>
          </w14:textFill>
        </w:rPr>
        <w:t>2021年10月22日</w:t>
      </w:r>
      <w:r>
        <w:rPr>
          <w:rFonts w:cs="Times New Roman"/>
          <w:color w:val="000000" w:themeColor="text1"/>
          <w14:textFill>
            <w14:solidFill>
              <w14:schemeClr w14:val="tx1"/>
            </w14:solidFill>
          </w14:textFill>
        </w:rPr>
        <w:t>在</w:t>
      </w:r>
      <w:r>
        <w:rPr>
          <w:rFonts w:cs="Times New Roman"/>
          <w:bCs/>
          <w:color w:val="000000" w:themeColor="text1"/>
          <w14:textFill>
            <w14:solidFill>
              <w14:schemeClr w14:val="tx1"/>
            </w14:solidFill>
          </w14:textFill>
        </w:rPr>
        <w:t>屯留区组织召开了《山西鑫达农牧有限公司1.5万头生猪产业化项目环境影响报告书》（以下简称《报告书》）技术审查会，根据技术审查意见，</w:t>
      </w:r>
      <w:r>
        <w:rPr>
          <w:rFonts w:cs="Times New Roman"/>
          <w:color w:val="000000" w:themeColor="text1"/>
          <w14:textFill>
            <w14:solidFill>
              <w14:schemeClr w14:val="tx1"/>
            </w14:solidFill>
          </w14:textFill>
        </w:rPr>
        <w:t>项目组</w:t>
      </w:r>
      <w:r>
        <w:rPr>
          <w:rFonts w:cs="Times New Roman"/>
          <w:bCs/>
          <w:color w:val="000000" w:themeColor="text1"/>
          <w14:textFill>
            <w14:solidFill>
              <w14:schemeClr w14:val="tx1"/>
            </w14:solidFill>
          </w14:textFill>
        </w:rPr>
        <w:t>对报告书进行了认真细致的修改和完善，编制完成了《山西鑫达农牧有限公司1.5万头生猪产业化项目环境影响报告书》（报批稿）</w:t>
      </w:r>
      <w:r>
        <w:rPr>
          <w:rFonts w:cs="Times New Roman"/>
          <w:color w:val="000000" w:themeColor="text1"/>
          <w14:textFill>
            <w14:solidFill>
              <w14:schemeClr w14:val="tx1"/>
            </w14:solidFill>
          </w14:textFill>
        </w:rPr>
        <w:t>。现提交建设单位，报请环保部门审批。</w:t>
      </w:r>
    </w:p>
    <w:p>
      <w:pPr>
        <w:ind w:firstLine="480"/>
        <w:rPr>
          <w:rFonts w:cs="Times New Roman"/>
          <w:color w:val="000000" w:themeColor="text1"/>
          <w14:textFill>
            <w14:solidFill>
              <w14:schemeClr w14:val="tx1"/>
            </w14:solidFill>
          </w14:textFill>
        </w:rPr>
      </w:pPr>
      <w:r>
        <w:rPr>
          <w:rFonts w:cs="Times New Roman"/>
          <w:color w:val="000000" w:themeColor="text1"/>
          <w:lang w:bidi="en-US"/>
          <w14:textFill>
            <w14:solidFill>
              <w14:schemeClr w14:val="tx1"/>
            </w14:solidFill>
          </w14:textFill>
        </w:rPr>
        <w:t>经现场踏勘，本项目尚未动工建设。</w:t>
      </w:r>
    </w:p>
    <w:p>
      <w:pPr>
        <w:pStyle w:val="3"/>
        <w:spacing w:before="120" w:after="120"/>
        <w:rPr>
          <w:rFonts w:cs="Times New Roman"/>
          <w:color w:val="000000" w:themeColor="text1"/>
          <w14:textFill>
            <w14:solidFill>
              <w14:schemeClr w14:val="tx1"/>
            </w14:solidFill>
          </w14:textFill>
        </w:rPr>
      </w:pPr>
      <w:bookmarkStart w:id="34" w:name="_Toc91163815"/>
      <w:bookmarkStart w:id="35" w:name="_Toc58362716"/>
      <w:bookmarkStart w:id="36" w:name="_Toc52791817"/>
      <w:bookmarkStart w:id="37" w:name="_Toc47619100"/>
      <w:bookmarkStart w:id="38" w:name="_Toc47619343"/>
      <w:bookmarkStart w:id="39" w:name="_Toc47619762"/>
      <w:bookmarkStart w:id="40" w:name="_Toc47619948"/>
      <w:bookmarkStart w:id="41" w:name="_Toc47619449"/>
      <w:r>
        <w:rPr>
          <w:rFonts w:cs="Times New Roman"/>
          <w:color w:val="000000" w:themeColor="text1"/>
          <w14:textFill>
            <w14:solidFill>
              <w14:schemeClr w14:val="tx1"/>
            </w14:solidFill>
          </w14:textFill>
        </w:rPr>
        <w:t>1.3  项目可行性判定</w:t>
      </w:r>
      <w:bookmarkEnd w:id="34"/>
      <w:bookmarkEnd w:id="35"/>
      <w:bookmarkEnd w:id="36"/>
      <w:bookmarkEnd w:id="37"/>
      <w:bookmarkEnd w:id="38"/>
      <w:bookmarkEnd w:id="39"/>
      <w:bookmarkEnd w:id="40"/>
      <w:bookmarkEnd w:id="41"/>
    </w:p>
    <w:p>
      <w:pPr>
        <w:pStyle w:val="4"/>
        <w:rPr>
          <w:rFonts w:cs="Times New Roman"/>
          <w:color w:val="000000" w:themeColor="text1"/>
          <w14:textFill>
            <w14:solidFill>
              <w14:schemeClr w14:val="tx1"/>
            </w14:solidFill>
          </w14:textFill>
        </w:rPr>
      </w:pPr>
      <w:bookmarkStart w:id="42" w:name="_Toc52791818"/>
      <w:bookmarkStart w:id="43" w:name="_Toc47619101"/>
      <w:bookmarkStart w:id="44" w:name="_Toc47619949"/>
      <w:bookmarkStart w:id="45" w:name="_Toc91163816"/>
      <w:bookmarkStart w:id="46" w:name="_Toc58362717"/>
      <w:bookmarkStart w:id="47" w:name="_Toc47619763"/>
      <w:r>
        <w:rPr>
          <w:rFonts w:cs="Times New Roman"/>
          <w:color w:val="000000" w:themeColor="text1"/>
          <w14:textFill>
            <w14:solidFill>
              <w14:schemeClr w14:val="tx1"/>
            </w14:solidFill>
          </w14:textFill>
        </w:rPr>
        <w:t>1.3.1 产业政策符合性分析</w:t>
      </w:r>
      <w:bookmarkEnd w:id="42"/>
      <w:bookmarkEnd w:id="43"/>
      <w:bookmarkEnd w:id="44"/>
      <w:bookmarkEnd w:id="45"/>
      <w:bookmarkEnd w:id="46"/>
      <w:bookmarkEnd w:id="4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根据《产业结构调整指导目录（2019本）》，本项目属于鼓励类中第一类“农林业”第4小类“畜禽标准化规模养殖技术开发与应用”，符合国家相关产业政策要求。 </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农业部关于加快推进畜禽标准化规模养殖的意见》（农牧发[2010]6号）指出发展畜禽标准化规模养殖，是加快生产方式转变，建设现代畜牧业的重要内容。《通知》提出的目标：力争到2015年，全国畜禽规模养殖比重在现有基础上再提高10~15个百分点，其中标准化规模养殖比重占规模养殖场的50%，畜禽标准化规模养殖场的排泄物实现达标排放或资源化利用，重大动物疫病防控能力显著增强，畜产品质量安全水平明显提升。要求大力推行畜禽标准化生产，达到“六化”，即：畜禽良种化，养殖设施化，生产规范化，防疫制度化，粪污处理无害化和监管常态化。</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国务院办公厅关于促进生猪生产平稳健康持续发展防止市场供应和价格大幅波动的通知》（国办发明电[2011]26号）要求继续大力扶持生猪生产。一是扶持生猪标准化规模养殖；二是完善生猪饲养补贴制度；三是完善生猪良种繁育政策。四是扩大对生猪调出大县的支持。《国务院关于促进畜牧业持续健康发展的意见》明确提出要求推进畜禽健康养殖，加快畜牧业增长方式转变。把转变畜牧业增长方式作为建设现代畜牧业的重要内容，同时要求建立健全畜禽良种繁育、饲草饲料生产和动物疫病防控三大体系。一是加大畜牧业结构调整，优化畜产品区域布局；二是加快科技进步，推进健康养殖；三是大力发展产业化经营，提高养殖户组织化程度。本项目与《农业部关于加快推进畜禽标准化规模养殖的意见》（农牧发[2010]6号）、《国务院办公厅关于促进生猪生产平稳健康持续发展防止市场供应和价格大幅波动的通知》（国办发明电[2011]26 号）及《国务院关于促进畜牧业持续健康发展的意见》国家产业政策及相关 政策要求相符。</w:t>
      </w:r>
    </w:p>
    <w:p>
      <w:pPr>
        <w:ind w:firstLine="480"/>
        <w:rPr>
          <w:rStyle w:val="57"/>
          <w:rFonts w:cs="Times New Roman"/>
          <w:b/>
          <w:bCs w:val="0"/>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综上所述，本项目建设符合国家产业政策。</w:t>
      </w:r>
    </w:p>
    <w:p>
      <w:pPr>
        <w:pStyle w:val="4"/>
        <w:rPr>
          <w:rFonts w:cs="Times New Roman"/>
          <w:color w:val="000000" w:themeColor="text1"/>
          <w14:textFill>
            <w14:solidFill>
              <w14:schemeClr w14:val="tx1"/>
            </w14:solidFill>
          </w14:textFill>
        </w:rPr>
      </w:pPr>
      <w:bookmarkStart w:id="48" w:name="_Toc91163817"/>
      <w:r>
        <w:rPr>
          <w:rFonts w:cs="Times New Roman"/>
          <w:color w:val="000000" w:themeColor="text1"/>
          <w14:textFill>
            <w14:solidFill>
              <w14:schemeClr w14:val="tx1"/>
            </w14:solidFill>
          </w14:textFill>
        </w:rPr>
        <w:t>1.3.2 选址可行性分析</w:t>
      </w:r>
      <w:bookmarkEnd w:id="48"/>
    </w:p>
    <w:p>
      <w:pPr>
        <w:pStyle w:val="5"/>
        <w:rPr>
          <w:color w:val="000000" w:themeColor="text1"/>
          <w14:textFill>
            <w14:solidFill>
              <w14:schemeClr w14:val="tx1"/>
            </w14:solidFill>
          </w14:textFill>
        </w:rPr>
      </w:pPr>
      <w:r>
        <w:rPr>
          <w:color w:val="000000" w:themeColor="text1"/>
          <w14:textFill>
            <w14:solidFill>
              <w14:schemeClr w14:val="tx1"/>
            </w14:solidFill>
          </w14:textFill>
        </w:rPr>
        <w:t>1.3.2.1山西省主体功能区划</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2014年4月11日，山西省政府发布了《山西省主体功能区规划》（以下简称《规划》），将山西省国土空间细分为：重点开发区域、限制开发区域（农产品主产区）、限制开发区域（重点生态功能区）和禁止开发区域四类区域，并赋予其不同的发展功能定位。其中重点开发区域包括国家级重点开发区域、省级重点开发区域和其他重点开发的城镇。</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本项目位于长治市屯留区，为国家级农产品主产区（限制开发区域）。</w:t>
      </w:r>
    </w:p>
    <w:p>
      <w:pPr>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功能定位：</w:t>
      </w:r>
      <w:r>
        <w:rPr>
          <w:rFonts w:cs="Times New Roman"/>
          <w:color w:val="000000" w:themeColor="text1"/>
          <w14:textFill>
            <w14:solidFill>
              <w14:schemeClr w14:val="tx1"/>
            </w14:solidFill>
          </w14:textFill>
        </w:rPr>
        <w:t>保障农产品供给安全的重要区域，现代农业发展的核心区，社会主义新农村建设的示范区。</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发展方向：</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提升农业产业化水平，推进农业产业化、农产品品牌化经营，积极培育农产品加工企业，壮大以杏花村汾酒、山西老陈醋、平遥牛肉等为主的品牌食品加工业，推广标准化生产技术，提高农产品质量安全水平。</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——优化农业生产布局和品种结构，促进农产品向优势产区集中，建成若干特色农产品产业基地和农业标准化示范基地。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——对加工工业较发达的地区，要以县城和重点开发的城镇为重点，推进城镇建设和非农产业发展，吸引农村居民点的人口集聚，培育县域经济新的增长点。</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强农业基础设施建设，新建和改造一批引水工程和大中型灌区配套设施。加强小流域治理和小型农田水利工程建设，推广节水灌溉，发展节水农业。强化农业防灾减灾体系建设，提高人工增雨抗旱和防雹减灾作业能力。</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——加强土地整理，加快中低产田改造，鼓励农民开展土壤改良，提高耕地质量，建设区域性商品粮生产基地。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——控制开发强度，对现有城镇要实行集约开发、集中建设，重点规划和建设资源环境承载能力相对较强的中心城镇，防止工业开发成片蔓延式扩张。</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——加强生态保护，严格执行陡坡退耕政策，逐步退出已经占用生态用地的耕地，加强农田、灌渠周边防护林建设，维持稳定的山丘林草、盆地农田景观系统结构。</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本项目生猪养殖项目，不违背该区域的功能定位和发展方向；符合山西省主体功能区划，见图1.3-1。</w:t>
      </w:r>
    </w:p>
    <w:p>
      <w:pPr>
        <w:pStyle w:val="5"/>
        <w:rPr>
          <w:color w:val="000000" w:themeColor="text1"/>
          <w14:textFill>
            <w14:solidFill>
              <w14:schemeClr w14:val="tx1"/>
            </w14:solidFill>
          </w14:textFill>
        </w:rPr>
      </w:pPr>
      <w:r>
        <w:rPr>
          <w:color w:val="000000" w:themeColor="text1"/>
          <w14:textFill>
            <w14:solidFill>
              <w14:schemeClr w14:val="tx1"/>
            </w14:solidFill>
          </w14:textFill>
        </w:rPr>
        <w:t>1.3.2.2屯留区生态功能区划</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根据《屯留县生态功能区划报告》，屯留县生态功能区划分区系统分为两个等级，首先在长治市生态功能区划基础上确定本区所属的生态功能亚区，然后以区域生态系统的完整性、生态环境敏感性、生态系统服务功能重要性、生态保护目标与生态环境问题划分生态功能小区。</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本项目建设地点属于Ⅱ长治西南部水土保持与生态农业生态功能亚区中Ⅱ3中部丘陵营养物质保持生态功能小区。</w:t>
      </w:r>
    </w:p>
    <w:p>
      <w:pPr>
        <w:ind w:firstLine="482"/>
        <w:rPr>
          <w:rFonts w:cs="Times New Roman"/>
          <w:b/>
          <w:color w:val="000000" w:themeColor="text1"/>
          <w:kern w:val="44"/>
          <w:szCs w:val="44"/>
          <w14:textFill>
            <w14:solidFill>
              <w14:schemeClr w14:val="tx1"/>
            </w14:solidFill>
          </w14:textFill>
        </w:rPr>
      </w:pPr>
      <w:r>
        <w:rPr>
          <w:rFonts w:cs="Times New Roman"/>
          <w:b/>
          <w:color w:val="000000" w:themeColor="text1"/>
          <w:kern w:val="44"/>
          <w:szCs w:val="44"/>
          <w14:textFill>
            <w14:solidFill>
              <w14:schemeClr w14:val="tx1"/>
            </w14:solidFill>
          </w14:textFill>
        </w:rPr>
        <w:t>保护要求：</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1、对林草植被较好的吴而、七泉一带区域，要保护好现有植被；对处于林区边缘的寨上、林牧场等地，要进行荒山绿化、发展沙棘、柠条林等抗破坏性强的植被；对于徐家庄、下庄等农田区，要加强水平梯田建设，积极推进新的农业生产技术，减少因农业生产造成的土壤风蚀和水蚀，实现生物措施和保土耕作措施相结合；</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2、对灾害区要及时地落实生态建设方案，采取生物修复措施，做好土地复垦工作；</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3、一方面要加大对企业排放废水的监测，严格控制不达标废水的排放，另一方面要积极推广使用节水新技术、新工艺、新设备，提高水资源利用效率，减少废水的排放量；</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4、按照新农村建设村镇友展观划，加快推厂“一池三改”工作。推广“猪-沼-作物”生态模式，鼓励散养户种养结合，实现相对集中饲养、污染集中处理，加强农村户用沼气池建攻，使沼气用于农户照明和燃料，沼液和沼渣还田用于农户种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注重体现该区的生态特色和文化特色，精心选择树种，形成良好的生态景观，建立生态旅游景区；围绕玉米制种、中药材、绿色小杂粮基地，中低产田改造等，高标准建设绿色农产品生产基地，积极开发名、优、特、稀绿色食品；</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6、发展无公害绿色农、林、牧产品，建设绿色农牧产品生产基地示范工程。如绿色水果、绿色粮油和绿色牛、羊肉等畜产品。建成绿色产业示范区，农、林、牧业产品实现无公害化；</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7、在严格保护完整的自然地貌和良好的生态环境的前提下，合理有序的规划和开发老爷山风景区和老爷山战斗遗址，发展生态旅游；</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8、拉长旅游产业链条：发挥旅游“一业带多业、多业促发展”的链条效应，加快行、游、住、食、购、娱等旅游相关产业发展；依靠老爷山旅游区加快上莲的农业观光旅游区建设；提高旅游业的组织化程度和旅游企业的经营管理水平，改善旅游业环境建设，营造和谐的旅游环境，将具有晋东南特色的剧种上党梆子、落子和屯留道情等戏曲文化融入到旅游之中；把核桃、珍珠黄小米产品做精做好，丰富购物旅游，延伸观光经济链。</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本项目为畜禽养殖业，符合屯留区生态功能区划的保护要求。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屯留县生态功能区划图见图1.3-2。</w:t>
      </w:r>
    </w:p>
    <w:p>
      <w:pPr>
        <w:pStyle w:val="5"/>
        <w:rPr>
          <w:color w:val="000000" w:themeColor="text1"/>
          <w14:textFill>
            <w14:solidFill>
              <w14:schemeClr w14:val="tx1"/>
            </w14:solidFill>
          </w14:textFill>
        </w:rPr>
      </w:pPr>
      <w:r>
        <w:rPr>
          <w:color w:val="000000" w:themeColor="text1"/>
          <w14:textFill>
            <w14:solidFill>
              <w14:schemeClr w14:val="tx1"/>
            </w14:solidFill>
          </w14:textFill>
        </w:rPr>
        <w:t>1.3.2.3屯留区生态经济区划</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根据《屯留县生态经济区划报告》，本项目属于Ⅳ</w:t>
      </w:r>
      <w:r>
        <w:rPr>
          <w:rFonts w:cs="Times New Roman"/>
          <w:bCs/>
          <w:color w:val="000000" w:themeColor="text1"/>
          <w:kern w:val="44"/>
          <w:szCs w:val="44"/>
          <w14:textFill>
            <w14:solidFill>
              <w14:schemeClr w14:val="tx1"/>
            </w14:solidFill>
          </w14:textFill>
        </w:rPr>
        <w:fldChar w:fldCharType="begin"/>
      </w:r>
      <w:r>
        <w:rPr>
          <w:rFonts w:cs="Times New Roman"/>
          <w:bCs/>
          <w:color w:val="000000" w:themeColor="text1"/>
          <w:kern w:val="44"/>
          <w:szCs w:val="44"/>
          <w14:textFill>
            <w14:solidFill>
              <w14:schemeClr w14:val="tx1"/>
            </w14:solidFill>
          </w14:textFill>
        </w:rPr>
        <w:instrText xml:space="preserve"> = 3 \* ROMAN </w:instrText>
      </w:r>
      <w:r>
        <w:rPr>
          <w:rFonts w:cs="Times New Roman"/>
          <w:bCs/>
          <w:color w:val="000000" w:themeColor="text1"/>
          <w:kern w:val="44"/>
          <w:szCs w:val="44"/>
          <w14:textFill>
            <w14:solidFill>
              <w14:schemeClr w14:val="tx1"/>
            </w14:solidFill>
          </w14:textFill>
        </w:rPr>
        <w:fldChar w:fldCharType="end"/>
      </w:r>
      <w:r>
        <w:rPr>
          <w:rFonts w:cs="Times New Roman"/>
          <w:bCs/>
          <w:color w:val="000000" w:themeColor="text1"/>
          <w:kern w:val="44"/>
          <w:szCs w:val="44"/>
          <w14:textFill>
            <w14:solidFill>
              <w14:schemeClr w14:val="tx1"/>
            </w14:solidFill>
          </w14:textFill>
        </w:rPr>
        <w:t>A中部重点开发区中Ⅳ</w:t>
      </w:r>
      <w:r>
        <w:rPr>
          <w:rFonts w:cs="Times New Roman"/>
          <w:bCs/>
          <w:color w:val="000000" w:themeColor="text1"/>
          <w:kern w:val="44"/>
          <w:szCs w:val="44"/>
          <w14:textFill>
            <w14:solidFill>
              <w14:schemeClr w14:val="tx1"/>
            </w14:solidFill>
          </w14:textFill>
        </w:rPr>
        <w:fldChar w:fldCharType="begin"/>
      </w:r>
      <w:r>
        <w:rPr>
          <w:rFonts w:cs="Times New Roman"/>
          <w:bCs/>
          <w:color w:val="000000" w:themeColor="text1"/>
          <w:kern w:val="44"/>
          <w:szCs w:val="44"/>
          <w14:textFill>
            <w14:solidFill>
              <w14:schemeClr w14:val="tx1"/>
            </w14:solidFill>
          </w14:textFill>
        </w:rPr>
        <w:instrText xml:space="preserve"> = 3 \* ROMAN </w:instrText>
      </w:r>
      <w:r>
        <w:rPr>
          <w:rFonts w:cs="Times New Roman"/>
          <w:bCs/>
          <w:color w:val="000000" w:themeColor="text1"/>
          <w:kern w:val="44"/>
          <w:szCs w:val="44"/>
          <w14:textFill>
            <w14:solidFill>
              <w14:schemeClr w14:val="tx1"/>
            </w14:solidFill>
          </w14:textFill>
        </w:rPr>
        <w:fldChar w:fldCharType="end"/>
      </w:r>
      <w:r>
        <w:rPr>
          <w:rFonts w:cs="Times New Roman"/>
          <w:bCs/>
          <w:color w:val="000000" w:themeColor="text1"/>
          <w:kern w:val="44"/>
          <w:szCs w:val="44"/>
          <w14:textFill>
            <w14:solidFill>
              <w14:schemeClr w14:val="tx1"/>
            </w14:solidFill>
          </w14:textFill>
        </w:rPr>
        <w:t>A-1李高乡高新工业发展生态经济区。</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该区位于屯留县东南部的李高乡，总面积约为101.8 km</w:t>
      </w:r>
      <w:r>
        <w:rPr>
          <w:rFonts w:cs="Times New Roman"/>
          <w:bCs/>
          <w:color w:val="000000" w:themeColor="text1"/>
          <w:kern w:val="44"/>
          <w:szCs w:val="44"/>
          <w:vertAlign w:val="superscript"/>
          <w14:textFill>
            <w14:solidFill>
              <w14:schemeClr w14:val="tx1"/>
            </w14:solidFill>
          </w14:textFill>
        </w:rPr>
        <w:t>2</w:t>
      </w:r>
      <w:r>
        <w:rPr>
          <w:rFonts w:cs="Times New Roman"/>
          <w:bCs/>
          <w:color w:val="000000" w:themeColor="text1"/>
          <w:kern w:val="44"/>
          <w:szCs w:val="44"/>
          <w14:textFill>
            <w14:solidFill>
              <w14:schemeClr w14:val="tx1"/>
            </w14:solidFill>
          </w14:textFill>
        </w:rPr>
        <w:t>。</w:t>
      </w:r>
    </w:p>
    <w:p>
      <w:pPr>
        <w:ind w:firstLine="482"/>
        <w:rPr>
          <w:rFonts w:cs="Times New Roman"/>
          <w:bCs/>
          <w:color w:val="000000" w:themeColor="text1"/>
          <w:kern w:val="44"/>
          <w:szCs w:val="44"/>
          <w14:textFill>
            <w14:solidFill>
              <w14:schemeClr w14:val="tx1"/>
            </w14:solidFill>
          </w14:textFill>
        </w:rPr>
      </w:pPr>
      <w:r>
        <w:rPr>
          <w:rFonts w:cs="Times New Roman"/>
          <w:b/>
          <w:color w:val="000000" w:themeColor="text1"/>
          <w:kern w:val="44"/>
          <w:szCs w:val="44"/>
          <w14:textFill>
            <w14:solidFill>
              <w14:schemeClr w14:val="tx1"/>
            </w14:solidFill>
          </w14:textFill>
        </w:rPr>
        <w:t>生态服务功能：</w:t>
      </w:r>
      <w:r>
        <w:rPr>
          <w:rFonts w:cs="Times New Roman"/>
          <w:bCs/>
          <w:color w:val="000000" w:themeColor="text1"/>
          <w:kern w:val="44"/>
          <w:szCs w:val="44"/>
          <w14:textFill>
            <w14:solidFill>
              <w14:schemeClr w14:val="tx1"/>
            </w14:solidFill>
          </w14:textFill>
        </w:rPr>
        <w:t>土壤保持。</w:t>
      </w:r>
    </w:p>
    <w:p>
      <w:pPr>
        <w:ind w:firstLine="482"/>
        <w:rPr>
          <w:rFonts w:cs="Times New Roman"/>
          <w:bCs/>
          <w:color w:val="000000" w:themeColor="text1"/>
          <w:kern w:val="44"/>
          <w:szCs w:val="44"/>
          <w14:textFill>
            <w14:solidFill>
              <w14:schemeClr w14:val="tx1"/>
            </w14:solidFill>
          </w14:textFill>
        </w:rPr>
      </w:pPr>
      <w:r>
        <w:rPr>
          <w:rFonts w:cs="Times New Roman"/>
          <w:b/>
          <w:color w:val="000000" w:themeColor="text1"/>
          <w:kern w:val="44"/>
          <w:szCs w:val="44"/>
          <w14:textFill>
            <w14:solidFill>
              <w14:schemeClr w14:val="tx1"/>
            </w14:solidFill>
          </w14:textFill>
        </w:rPr>
        <w:t>生态环境保护要求：</w:t>
      </w:r>
      <w:r>
        <w:rPr>
          <w:rFonts w:cs="Times New Roman"/>
          <w:bCs/>
          <w:color w:val="000000" w:themeColor="text1"/>
          <w:kern w:val="44"/>
          <w:szCs w:val="44"/>
          <w14:textFill>
            <w14:solidFill>
              <w14:schemeClr w14:val="tx1"/>
            </w14:solidFill>
          </w14:textFill>
        </w:rPr>
        <w:t>调整产业结构，合理开发利用资源，减少污染物排放，增加植被覆盖率，保护、恢复生态环境。</w:t>
      </w:r>
    </w:p>
    <w:p>
      <w:pPr>
        <w:ind w:firstLine="482"/>
        <w:rPr>
          <w:rFonts w:cs="Times New Roman"/>
          <w:b/>
          <w:color w:val="000000" w:themeColor="text1"/>
          <w:kern w:val="44"/>
          <w:szCs w:val="44"/>
          <w14:textFill>
            <w14:solidFill>
              <w14:schemeClr w14:val="tx1"/>
            </w14:solidFill>
          </w14:textFill>
        </w:rPr>
      </w:pPr>
      <w:r>
        <w:rPr>
          <w:rFonts w:cs="Times New Roman"/>
          <w:b/>
          <w:color w:val="000000" w:themeColor="text1"/>
          <w:kern w:val="44"/>
          <w:szCs w:val="44"/>
          <w14:textFill>
            <w14:solidFill>
              <w14:schemeClr w14:val="tx1"/>
            </w14:solidFill>
          </w14:textFill>
        </w:rPr>
        <w:t>发展方向：</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1、以德凯清真肉食品加工为龙头，带动区内规模养殖；</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2、依托古城新型能源工业园，大力发展循环经济：围绕煤-焦-煤气-煤气发电、煤-焦-焦油-粗苯精制、煤-煤气-甲醇-二甲醚、煤-煤制油-化工产品、电石-聚氯乙烯-PVC型材、玉米制种-淀粉-麦芽糊精-葡萄糖等产业链，形成企业间资源互用、产业联结、首尾相顾、变废为宝、利益互动、携手发展的循环经济新格局；</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3、以东酪余绿鑫蔬菜原产地批发市场为中心，辐射周边地区发展精细蔬菜种植园；</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4、以东鸣水鸣源奶业、仙都鹅业为依托，发展规模养殖，带动周边地区养殖业的发展，进而发展“养殖-沼气-种植”农业循环经济；</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5、依托靠近城区及漳泽水库的优势，发展苗木花卉，以及无公害蔬菜；</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6、按照“潜力产品-龙头企业-特色基地-园场经济-订单生产”的农业化发展思路，实施农业调产富民战略：以王公庄生态农业园为领头企业，稳定粮食生产，壮大优质杂粮、规模养殖、蔬菜花卉生产等生产，积极开发名、优、特、稀绿色产品；</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7、因地制宜开发蔬菜大棚、畜牧养殖等农业特色产业；推进农业标准化生产，积极建立良种繁育推广、农产品市场信息、动植物防疫保护、农产品质量安全检测监控等体系，发展高产、优质、高效、生态、安全农业；</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8、借助康庄园区的地理交通优势，加快培育物流龙头企业，构建包括交通运输、仓储配送、流通加工、信息网络等功能的现代物流体系；</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9、大力发展循环农业，完善“养殖-沼气-粮食（蔬菜)”三位一体的循环经济模式，打造粮食加工转化循环经济链、畜牧生产加工循环经济链和以</w:t>
      </w:r>
      <w:r>
        <w:rPr>
          <w:rFonts w:hint="eastAsia" w:cs="Times New Roman"/>
          <w:bCs/>
          <w:color w:val="000000" w:themeColor="text1"/>
          <w:kern w:val="44"/>
          <w:szCs w:val="44"/>
          <w:lang w:eastAsia="zh-CN"/>
          <w14:textFill>
            <w14:solidFill>
              <w14:schemeClr w14:val="tx1"/>
            </w14:solidFill>
          </w14:textFill>
        </w:rPr>
        <w:t>秸秆</w:t>
      </w:r>
      <w:r>
        <w:rPr>
          <w:rFonts w:cs="Times New Roman"/>
          <w:bCs/>
          <w:color w:val="000000" w:themeColor="text1"/>
          <w:kern w:val="44"/>
          <w:szCs w:val="44"/>
          <w14:textFill>
            <w14:solidFill>
              <w14:schemeClr w14:val="tx1"/>
            </w14:solidFill>
          </w14:textFill>
        </w:rPr>
        <w:t>饲料综合利用为重点的</w:t>
      </w:r>
      <w:r>
        <w:rPr>
          <w:rFonts w:hint="eastAsia" w:cs="Times New Roman"/>
          <w:bCs/>
          <w:color w:val="000000" w:themeColor="text1"/>
          <w:kern w:val="44"/>
          <w:szCs w:val="44"/>
          <w:lang w:eastAsia="zh-CN"/>
          <w14:textFill>
            <w14:solidFill>
              <w14:schemeClr w14:val="tx1"/>
            </w14:solidFill>
          </w14:textFill>
        </w:rPr>
        <w:t>秸秆</w:t>
      </w:r>
      <w:r>
        <w:rPr>
          <w:rFonts w:cs="Times New Roman"/>
          <w:bCs/>
          <w:color w:val="000000" w:themeColor="text1"/>
          <w:kern w:val="44"/>
          <w:szCs w:val="44"/>
          <w14:textFill>
            <w14:solidFill>
              <w14:schemeClr w14:val="tx1"/>
            </w14:solidFill>
          </w14:textFill>
        </w:rPr>
        <w:t>循环经济链；加大旱作农业推广。</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本项目为畜禽养殖业，</w:t>
      </w:r>
      <w:r>
        <w:rPr>
          <w:rFonts w:cs="Times New Roman"/>
          <w:color w:val="000000" w:themeColor="text1"/>
          <w:kern w:val="0"/>
          <w:szCs w:val="24"/>
          <w14:textFill>
            <w14:solidFill>
              <w14:schemeClr w14:val="tx1"/>
            </w14:solidFill>
          </w14:textFill>
        </w:rPr>
        <w:t>沼液、粪渣、沼渣资源化利用，实现种养结合；</w:t>
      </w:r>
      <w:r>
        <w:rPr>
          <w:rFonts w:cs="Times New Roman"/>
          <w:bCs/>
          <w:color w:val="000000" w:themeColor="text1"/>
          <w:kern w:val="44"/>
          <w:szCs w:val="44"/>
          <w14:textFill>
            <w14:solidFill>
              <w14:schemeClr w14:val="tx1"/>
            </w14:solidFill>
          </w14:textFill>
        </w:rPr>
        <w:t>符合屯留区生态功能经济区划的保护要求和发展方向。</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屯留县生态功能区划图见图1.3-3。</w:t>
      </w:r>
    </w:p>
    <w:p>
      <w:pPr>
        <w:pStyle w:val="5"/>
        <w:rPr>
          <w:color w:val="000000" w:themeColor="text1"/>
          <w14:textFill>
            <w14:solidFill>
              <w14:schemeClr w14:val="tx1"/>
            </w14:solidFill>
          </w14:textFill>
        </w:rPr>
      </w:pPr>
      <w:r>
        <w:rPr>
          <w:color w:val="000000" w:themeColor="text1"/>
          <w14:textFill>
            <w14:solidFill>
              <w14:schemeClr w14:val="tx1"/>
            </w14:solidFill>
          </w14:textFill>
        </w:rPr>
        <w:t>1.3.2.4城市总体规划</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根据《屯留县县城总体规划（2012-2030年）》：</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一、屯留县域城镇体系规划空间总体布局为：以“三区、一城、五镇、三十村”为空间布局框架，做强做大县城，促进要素向县城集聚；完善重点镇职能，提升集聚功能；县域分区调控，整体优化，构建具有高度适应性、开放性的可持续发展的空间载体。规划形成“一心、五核、多点”的三级职能结构。“一心”即县城，为城镇体系的一级城镇，是县域的综合服务中心和经济组织中心。</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二、中心城区规划：规划城市性质为：上党城镇群副中心城市之一，以健康服务业为主导、体育产业为特色的生态宜居之城。屯留县城的空间结构：“两轴两心、三区联动；南山北水、绿网交错”，“两轴”即建设路（屯玉路）和城际路城市发展轴。规划道路交通结构由“一环、六纵、七横”的主干道骨架构成。其中一环：由东外环、南外环、西外环、北外环构成，基本为县城的空间增长边界。六纵：城市内部南北向的主干道骨架，从西向东依次是嶷绛路、禹王路、建设路（屯玉路）、拯民路、城东路、久安路。七横：城市东西向的主干道骨架，由北向南依次是麟绛大街、羿神大街、公园街、健康街、城际大道、新华街和城南街。</w:t>
      </w:r>
    </w:p>
    <w:p>
      <w:pPr>
        <w:ind w:firstLine="48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本项目位于屯留区</w:t>
      </w:r>
      <w:r>
        <w:rPr>
          <w:rFonts w:cs="Times New Roman"/>
          <w:bCs/>
          <w:color w:val="000000" w:themeColor="text1"/>
          <w:kern w:val="24"/>
          <w:szCs w:val="20"/>
          <w14:textFill>
            <w14:solidFill>
              <w14:schemeClr w14:val="tx1"/>
            </w14:solidFill>
          </w14:textFill>
        </w:rPr>
        <w:t>杜村村北约630 m处，根据</w:t>
      </w:r>
      <w:r>
        <w:rPr>
          <w:rFonts w:cs="Times New Roman"/>
          <w:bCs/>
          <w:color w:val="000000" w:themeColor="text1"/>
          <w14:textFill>
            <w14:solidFill>
              <w14:schemeClr w14:val="tx1"/>
            </w14:solidFill>
          </w14:textFill>
        </w:rPr>
        <w:t>《屯留县县城总体规划（2012-2030年）》县城用地规划图，本项目所在地不在其规划范围内，距离其建成区约3.37 km；本项目取得了</w:t>
      </w:r>
      <w:bookmarkStart w:id="49" w:name="_Hlk91058032"/>
      <w:r>
        <w:rPr>
          <w:rFonts w:cs="Times New Roman"/>
          <w:bCs/>
          <w:color w:val="000000" w:themeColor="text1"/>
          <w14:textFill>
            <w14:solidFill>
              <w14:schemeClr w14:val="tx1"/>
            </w14:solidFill>
          </w14:textFill>
        </w:rPr>
        <w:t>丰宜镇设施农业用地备案登记表（2021）第1号</w:t>
      </w:r>
      <w:bookmarkEnd w:id="49"/>
      <w:r>
        <w:rPr>
          <w:rFonts w:cs="Times New Roman"/>
          <w:bCs/>
          <w:color w:val="000000" w:themeColor="text1"/>
          <w14:textFill>
            <w14:solidFill>
              <w14:schemeClr w14:val="tx1"/>
            </w14:solidFill>
          </w14:textFill>
        </w:rPr>
        <w:t>，设施用地类型为养殖。</w:t>
      </w:r>
      <w:r>
        <w:rPr>
          <w:rFonts w:cs="Times New Roman"/>
          <w:bCs/>
          <w:color w:val="000000" w:themeColor="text1"/>
          <w:kern w:val="24"/>
          <w:szCs w:val="20"/>
          <w14:textFill>
            <w14:solidFill>
              <w14:schemeClr w14:val="tx1"/>
            </w14:solidFill>
          </w14:textFill>
        </w:rPr>
        <w:t>故不违背</w:t>
      </w:r>
      <w:r>
        <w:rPr>
          <w:rFonts w:cs="Times New Roman"/>
          <w:bCs/>
          <w:color w:val="000000" w:themeColor="text1"/>
          <w14:textFill>
            <w14:solidFill>
              <w14:schemeClr w14:val="tx1"/>
            </w14:solidFill>
          </w14:textFill>
        </w:rPr>
        <w:t>屯留县县城总体规划。</w:t>
      </w:r>
    </w:p>
    <w:p>
      <w:pPr>
        <w:ind w:firstLine="480"/>
        <w:rPr>
          <w:rFonts w:cs="Times New Roman"/>
          <w:bCs/>
          <w:color w:val="000000" w:themeColor="text1"/>
          <w:kern w:val="44"/>
          <w:szCs w:val="44"/>
          <w14:textFill>
            <w14:solidFill>
              <w14:schemeClr w14:val="tx1"/>
            </w14:solidFill>
          </w14:textFill>
        </w:rPr>
      </w:pPr>
      <w:r>
        <w:rPr>
          <w:rFonts w:cs="Times New Roman"/>
          <w:bCs/>
          <w:color w:val="000000" w:themeColor="text1"/>
          <w:kern w:val="44"/>
          <w:szCs w:val="44"/>
          <w14:textFill>
            <w14:solidFill>
              <w14:schemeClr w14:val="tx1"/>
            </w14:solidFill>
          </w14:textFill>
        </w:rPr>
        <w:t>屯留县县城总体规划图见图1.3-4。</w:t>
      </w:r>
    </w:p>
    <w:p>
      <w:pPr>
        <w:ind w:firstLine="480"/>
        <w:rPr>
          <w:rFonts w:cs="Times New Roman"/>
          <w:bCs/>
          <w:color w:val="000000" w:themeColor="text1"/>
          <w:kern w:val="44"/>
          <w:szCs w:val="44"/>
          <w14:textFill>
            <w14:solidFill>
              <w14:schemeClr w14:val="tx1"/>
            </w14:solidFill>
          </w14:textFill>
        </w:rPr>
        <w:sectPr>
          <w:pgSz w:w="11906" w:h="16838"/>
          <w:pgMar w:top="1418" w:right="1588" w:bottom="1418" w:left="1588" w:header="851" w:footer="992" w:gutter="0"/>
          <w:pgNumType w:fmt="numberInDash" w:start="1"/>
          <w:cols w:space="720" w:num="1"/>
          <w:docGrid w:linePitch="400" w:charSpace="0"/>
        </w:sectPr>
      </w:pPr>
    </w:p>
    <w:p>
      <w:pPr>
        <w:pStyle w:val="333"/>
        <w:spacing w:before="120"/>
        <w:rPr>
          <w:rFonts w:cs="Times New Roman"/>
          <w:color w:val="000000" w:themeColor="text1"/>
          <w14:textFill>
            <w14:solidFill>
              <w14:schemeClr w14:val="tx1"/>
            </w14:solidFill>
          </w14:textFill>
        </w:rPr>
        <w:sectPr>
          <w:pgSz w:w="11906" w:h="16838"/>
          <w:pgMar w:top="1418" w:right="1588" w:bottom="1418" w:left="1588" w:header="851" w:footer="992" w:gutter="0"/>
          <w:pgNumType w:fmt="numberInDash"/>
          <w:cols w:space="720" w:num="1"/>
          <w:docGrid w:linePitch="400" w:charSpace="0"/>
        </w:sectPr>
      </w:pPr>
      <w:r>
        <w:rPr>
          <w:rFonts w:cs="Times New Roman"/>
          <w:color w:val="000000" w:themeColor="text1"/>
          <w14:textFill>
            <w14:solidFill>
              <w14:schemeClr w14:val="tx1"/>
            </w14:solidFill>
          </w14:textFill>
        </w:rPr>
        <w:drawing>
          <wp:anchor distT="0" distB="0" distL="114300" distR="114300" simplePos="0" relativeHeight="251750400" behindDoc="0" locked="0" layoutInCell="1" allowOverlap="1">
            <wp:simplePos x="0" y="0"/>
            <wp:positionH relativeFrom="margin">
              <wp:align>right</wp:align>
            </wp:positionH>
            <wp:positionV relativeFrom="margin">
              <wp:align>top</wp:align>
            </wp:positionV>
            <wp:extent cx="5547360" cy="8294370"/>
            <wp:effectExtent l="0" t="0" r="0" b="0"/>
            <wp:wrapTopAndBottom/>
            <wp:docPr id="2" name="图片 2" descr="地图&#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地图&#10;&#10;描述已自动生成"/>
                    <pic:cNvPicPr>
                      <a:picLocks noChangeAspect="true" noChangeArrowheads="true"/>
                    </pic:cNvPicPr>
                  </pic:nvPicPr>
                  <pic:blipFill>
                    <a:blip r:embed="rId19">
                      <a:extLst>
                        <a:ext uri="{28A0092B-C50C-407E-A947-70E740481C1C}">
                          <a14:useLocalDpi xmlns:a14="http://schemas.microsoft.com/office/drawing/2010/main" val="false"/>
                        </a:ext>
                      </a:extLst>
                    </a:blip>
                    <a:stretch>
                      <a:fillRect/>
                    </a:stretch>
                  </pic:blipFill>
                  <pic:spPr>
                    <a:xfrm>
                      <a:off x="0" y="0"/>
                      <a:ext cx="5547360" cy="8294370"/>
                    </a:xfrm>
                    <a:prstGeom prst="rect">
                      <a:avLst/>
                    </a:prstGeom>
                  </pic:spPr>
                </pic:pic>
              </a:graphicData>
            </a:graphic>
          </wp:anchor>
        </w:drawing>
      </w:r>
      <w:r>
        <w:rPr>
          <w:rFonts w:cs="Times New Roman"/>
          <w:color w:val="000000" w:themeColor="text1"/>
          <w14:textFill>
            <w14:solidFill>
              <w14:schemeClr w14:val="tx1"/>
            </w14:solidFill>
          </w14:textFill>
        </w:rPr>
        <w:t>图1.3-1 山西省主体功能区划图</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图1.3-2 屯留县生态功能区划图</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图1.3-3 屯留县生态功能区划图</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sectPr>
          <w:pgSz w:w="16838" w:h="11906" w:orient="landscape"/>
          <w:pgMar w:top="1588" w:right="1418" w:bottom="1588" w:left="1418" w:header="851" w:footer="992" w:gutter="0"/>
          <w:pgNumType w:fmt="numberInDash"/>
          <w:cols w:space="720" w:num="1"/>
          <w:docGrid w:linePitch="400" w:charSpace="0"/>
        </w:sectPr>
      </w:pPr>
      <w:r>
        <w:rPr>
          <w:rFonts w:cs="Times New Roman"/>
          <w:color w:val="000000" w:themeColor="text1"/>
          <w14:textFill>
            <w14:solidFill>
              <w14:schemeClr w14:val="tx1"/>
            </w14:solidFill>
          </w14:textFill>
        </w:rPr>
        <w:t>图1.3-4 屯留县县城总体规划图</w:t>
      </w:r>
    </w:p>
    <w:p>
      <w:pPr>
        <w:pStyle w:val="4"/>
        <w:rPr>
          <w:rFonts w:cs="Times New Roman"/>
          <w:color w:val="000000" w:themeColor="text1"/>
          <w14:textFill>
            <w14:solidFill>
              <w14:schemeClr w14:val="tx1"/>
            </w14:solidFill>
          </w14:textFill>
        </w:rPr>
      </w:pPr>
      <w:bookmarkStart w:id="50" w:name="_Toc91163818"/>
      <w:r>
        <w:rPr>
          <w:rFonts w:cs="Times New Roman"/>
          <w:color w:val="000000" w:themeColor="text1"/>
          <w14:textFill>
            <w14:solidFill>
              <w14:schemeClr w14:val="tx1"/>
            </w14:solidFill>
          </w14:textFill>
        </w:rPr>
        <w:t>1.3.3 “三线一单”符合性分析</w:t>
      </w:r>
      <w:bookmarkEnd w:id="50"/>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根据《山西省人民政府关于实施“三线一单”生态环境分区管控的意见》（晋政发[2020]26号），全省划分3个生态环境管控单元：优先保护单元、重点管控单元、一般管控单元。</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位于重点管控单元，其生态环境准入清单为：进一步优化空间布局，加强污染物排放控制和环境风险防控，不断提升资源能源利用效率，解决生态环境质量不达标、生态环境风险高等问题，实现减污降碳协同效应。京津冀及周边地区和汾渭平原等国家大气污染联防联控重点区域，要加快调整优化产业结构、能源结构，严禁新增钢铁、焦化、铸造、水泥、平板玻璃等产能，要加快实施城市规划区“两高”企业搬迁，完善能源消费双控制度。实施企业绩效分级分类管控，强化联防联控，持续推进清洁取暖散煤治理，严防“散乱污”企业反弹，积极应对重污染天气。太原及周边“1+30”汾河谷地区域在执行京津冀及周边地区和汾渭平原区域管控要求基础上，以资源环境承载力为约束，全面推进现有焦化、化工、钢铁、有色等重污染行业企业逐步退出城市规划区和县城建成区，推动焦化产能向资源禀赋好、环境承载力强、大气扩散条件优、铁路运输便利的区域转移。鼓励焦化、化工等传统产业实施“飞地经济”。汾河流域加强流域上下游左右岸污染统筹治理，严格入河排污口设置，实施汾河入河排污总量控制，积极推行流域城镇生活污水处理“厂-网-河(湖)”一体化运营模式，大力推进工业废水近零排放和资源化利用，实施城镇生活再生水资源化分质利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长治市“三线一单”生态环境分区管控实施方案》，本项目位于长治市重点管控单元，该单元的生态环境准入清单：以生态修复和环境污染治理为主，进一步优化空间布局，加强污染物排放控制和环境风险防控，不断提升资源能源利用效率，解决生态环境质量不达标、生态环境风险高等问题，实现减污降碳协同效应。加快调整优化产业结构、能源结构，严禁新增钢铁、焦化、铸造、水泥、平板玻璃等产能，加快实施城市规划区“两高”企业搬迁，完善能源消费双控制度。鼓励焦化、化工等传统产业实施“飞地经济”。实施企业绩效分级分类管控，强化联防联控，持续推进清洁取暖散煤治理，严防“散乱污”企业反弹，积极应对重污染天气。</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为养殖项目，不属于“钢铁、焦化、铸造、水泥、平板玻璃等”、“两高”行业；执行国家及我省相关产业准入、总量控制、排放标准等管理规定；运营期废气可达标排放，废水处理后产生沼液用于周边农田施肥，固体废弃物均合理处置。本项目的建设不违背《山西省人民政府关于实施“三线一单”生态环境分区管控的意见》、《长治市“三线一单”生态环境分区管控实施方案》中重点管控单元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本项目与山西省生态环境管控单元相对位置关系见图1.3-5，与长治市生态环境管控单元相对位置关系见图1.3-6。</w:t>
      </w:r>
    </w:p>
    <w:p>
      <w:pPr>
        <w:pStyle w:val="5"/>
        <w:rPr>
          <w:color w:val="000000" w:themeColor="text1"/>
          <w14:textFill>
            <w14:solidFill>
              <w14:schemeClr w14:val="tx1"/>
            </w14:solidFill>
          </w14:textFill>
        </w:rPr>
      </w:pPr>
      <w:r>
        <w:rPr>
          <w:color w:val="000000" w:themeColor="text1"/>
          <w14:textFill>
            <w14:solidFill>
              <w14:schemeClr w14:val="tx1"/>
            </w14:solidFill>
          </w14:textFill>
        </w:rPr>
        <w:t>1.3.3.1生态保护红线</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本项目位于屯留区丰宜镇杜村北约630 m处，不在自然保护区、风景名胜区、饮用水水源保护区、森林公园、地质公园等重要生态功能区、生态敏感区和脆弱区，以及其他要求禁止建设的环境敏感区，符合生态保护红线的划定原则。</w:t>
      </w:r>
    </w:p>
    <w:p>
      <w:pPr>
        <w:pStyle w:val="5"/>
        <w:rPr>
          <w:color w:val="000000" w:themeColor="text1"/>
          <w14:textFill>
            <w14:solidFill>
              <w14:schemeClr w14:val="tx1"/>
            </w14:solidFill>
          </w14:textFill>
        </w:rPr>
      </w:pPr>
      <w:r>
        <w:rPr>
          <w:color w:val="000000" w:themeColor="text1"/>
          <w14:textFill>
            <w14:solidFill>
              <w14:schemeClr w14:val="tx1"/>
            </w14:solidFill>
          </w14:textFill>
        </w:rPr>
        <w:t>1.3.3.2环境质量底线</w:t>
      </w:r>
    </w:p>
    <w:p>
      <w:pPr>
        <w:ind w:firstLine="48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根据屯留区2020年环境空气例行监测数据统计结果，</w:t>
      </w:r>
      <w:r>
        <w:rPr>
          <w:rFonts w:cs="Times New Roman"/>
          <w:bCs/>
          <w:color w:val="000000" w:themeColor="text1"/>
          <w14:textFill>
            <w14:solidFill>
              <w14:schemeClr w14:val="tx1"/>
            </w14:solidFill>
          </w14:textFill>
        </w:rPr>
        <w:t>PM</w:t>
      </w:r>
      <w:r>
        <w:rPr>
          <w:rFonts w:cs="Times New Roman"/>
          <w:bCs/>
          <w:color w:val="000000" w:themeColor="text1"/>
          <w:vertAlign w:val="subscript"/>
          <w14:textFill>
            <w14:solidFill>
              <w14:schemeClr w14:val="tx1"/>
            </w14:solidFill>
          </w14:textFill>
        </w:rPr>
        <w:t>2.5</w:t>
      </w:r>
      <w:r>
        <w:rPr>
          <w:rFonts w:cs="Times New Roman"/>
          <w:bCs/>
          <w:color w:val="000000" w:themeColor="text1"/>
          <w14:textFill>
            <w14:solidFill>
              <w14:schemeClr w14:val="tx1"/>
            </w14:solidFill>
          </w14:textFill>
        </w:rPr>
        <w:t>、PM</w:t>
      </w:r>
      <w:r>
        <w:rPr>
          <w:rFonts w:cs="Times New Roman"/>
          <w:bCs/>
          <w:color w:val="000000" w:themeColor="text1"/>
          <w:vertAlign w:val="subscript"/>
          <w14:textFill>
            <w14:solidFill>
              <w14:schemeClr w14:val="tx1"/>
            </w14:solidFill>
          </w14:textFill>
        </w:rPr>
        <w:t>10</w:t>
      </w:r>
      <w:r>
        <w:rPr>
          <w:rFonts w:cs="Times New Roman"/>
          <w:bCs/>
          <w:color w:val="000000" w:themeColor="text1"/>
          <w14:textFill>
            <w14:solidFill>
              <w14:schemeClr w14:val="tx1"/>
            </w14:solidFill>
          </w14:textFill>
        </w:rPr>
        <w:t>、SO</w:t>
      </w:r>
      <w:r>
        <w:rPr>
          <w:rFonts w:cs="Times New Roman"/>
          <w:bCs/>
          <w:color w:val="000000" w:themeColor="text1"/>
          <w:vertAlign w:val="subscript"/>
          <w14:textFill>
            <w14:solidFill>
              <w14:schemeClr w14:val="tx1"/>
            </w14:solidFill>
          </w14:textFill>
        </w:rPr>
        <w:t>2</w:t>
      </w:r>
      <w:r>
        <w:rPr>
          <w:rFonts w:cs="Times New Roman"/>
          <w:bCs/>
          <w:color w:val="000000" w:themeColor="text1"/>
          <w14:textFill>
            <w14:solidFill>
              <w14:schemeClr w14:val="tx1"/>
            </w14:solidFill>
          </w14:textFill>
        </w:rPr>
        <w:t>、NO</w:t>
      </w:r>
      <w:r>
        <w:rPr>
          <w:rFonts w:cs="Times New Roman"/>
          <w:bCs/>
          <w:color w:val="000000" w:themeColor="text1"/>
          <w:vertAlign w:val="subscript"/>
          <w14:textFill>
            <w14:solidFill>
              <w14:schemeClr w14:val="tx1"/>
            </w14:solidFill>
          </w14:textFill>
        </w:rPr>
        <w:t>2</w:t>
      </w:r>
      <w:r>
        <w:rPr>
          <w:rFonts w:cs="Times New Roman"/>
          <w:bCs/>
          <w:color w:val="000000" w:themeColor="text1"/>
          <w14:textFill>
            <w14:solidFill>
              <w14:schemeClr w14:val="tx1"/>
            </w14:solidFill>
          </w14:textFill>
        </w:rPr>
        <w:t>的年均值、CO百分位数符合《环境空气质量标准》（GB3095-2012）及修改单中的二级标准，O</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 xml:space="preserve"> 8h百分位数超标。屯留区为环境空气质量不达标区。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长治市生态环境局在其官网(https://sthjj.changzhi.gov.cn/hjgl/hjzl/)发布的2020年1月至2021年10月的长治市地表水环境质量月报，绛河-司徒桥断面（国家考核断面达不到《地表水环境质量标准》（GB3838-2002）中Ⅱ类标准。绛河-司徒桥断面司徒桥断面水质未达标。</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建设单位委托</w:t>
      </w:r>
      <w:r>
        <w:rPr>
          <w:rFonts w:cs="Times New Roman"/>
          <w:color w:val="000000" w:themeColor="text1"/>
          <w14:textFill>
            <w14:solidFill>
              <w14:schemeClr w14:val="tx1"/>
            </w14:solidFill>
          </w14:textFill>
        </w:rPr>
        <w:t>山西京诚检测技术有限公司对项目所在区域的环境空气质量、地下水环境质量、声环境质量、土壤环境质量进行了采样、监测，监测结果表明场址处的NH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小时浓度监测范围在0.06~0.09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之间，最大浓度占标率45.0%，未超标；H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S小时浓度监测范围在0.002~0.004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之间，最大浓度占标率40.0%，未超标；均低于《环境影响评价技术导则 大气环境》（HJ2.2-2018）附录D中氨和硫化氢空气质量浓度限值，评价区环境空气质量现状一般。评价区内苗岭村、牛角川村、东庄村水井的各项监测因子P</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值＜1，评价区地下水环境质量达到《地下水质量标准》（GB14848-93）Ⅲ类标准要求，地下水环境质量较好。项目场界四周各监测点昼间环境噪声值46.2~48.7 dB（A）、夜间环境噪声值41.7~43.1 dB（A），低于《声环境质量标准》（GB3096-2008）中1类标准，昼间55 dB（A），夜间45 dB（A）的要求，该区域声环境质量较好。项目</w:t>
      </w:r>
      <w:r>
        <w:rPr>
          <w:rFonts w:cs="Times New Roman"/>
          <w:bCs/>
          <w:color w:val="000000" w:themeColor="text1"/>
          <w14:textFill>
            <w14:solidFill>
              <w14:schemeClr w14:val="tx1"/>
            </w14:solidFill>
          </w14:textFill>
        </w:rPr>
        <w:t>占地范围内及沼液消化农田的监测结果表明，土壤</w:t>
      </w:r>
      <w:r>
        <w:rPr>
          <w:rFonts w:cs="Times New Roman"/>
          <w:color w:val="000000" w:themeColor="text1"/>
          <w14:textFill>
            <w14:solidFill>
              <w14:schemeClr w14:val="tx1"/>
            </w14:solidFill>
          </w14:textFill>
        </w:rPr>
        <w:t>未盐化、无酸化或碱化，各监测点位的监测项目的P</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值均小于1，低于《土壤环境质量 农用地土壤污染风险管控标准（试行）》（GB15618-2018））农用地土壤污染风险筛选值的要求，</w:t>
      </w:r>
      <w:r>
        <w:rPr>
          <w:rFonts w:cs="Times New Roman"/>
          <w:bCs/>
          <w:color w:val="000000" w:themeColor="text1"/>
          <w14:textFill>
            <w14:solidFill>
              <w14:schemeClr w14:val="tx1"/>
            </w14:solidFill>
          </w14:textFill>
        </w:rPr>
        <w:t>项目所在区域土壤质量良好。</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根据影响分析，本项目在严格执行各项污染物防治措施的情况下，废气可达标排放，养殖区、粪污处理区硬化防渗，废水综合利用，对周边环境影响轻微，当地环境基本能维持现状。本项目建设不违背环境质量底线要求。</w:t>
      </w:r>
    </w:p>
    <w:p>
      <w:pPr>
        <w:pStyle w:val="5"/>
        <w:rPr>
          <w:color w:val="000000" w:themeColor="text1"/>
          <w14:textFill>
            <w14:solidFill>
              <w14:schemeClr w14:val="tx1"/>
            </w14:solidFill>
          </w14:textFill>
        </w:rPr>
      </w:pPr>
      <w:r>
        <w:rPr>
          <w:color w:val="000000" w:themeColor="text1"/>
          <w14:textFill>
            <w14:solidFill>
              <w14:schemeClr w14:val="tx1"/>
            </w14:solidFill>
          </w14:textFill>
        </w:rPr>
        <w:t>1.3.3.3资源利用上线</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为畜禽养殖业，养殖过程工艺成熟、资源能源消耗水平较低、污染控制措施有效；项目运营期产生的废水全部进入黑膜沼气池厌氧发酵处理，处理后产生的沼液作为农肥施用于周围农田，废水得以有效利用，还能为厂区周围农田提供高效农肥，场区设备均采用节能设备，本项目的建设并不违背资源利用上线要求。</w:t>
      </w:r>
    </w:p>
    <w:p>
      <w:pPr>
        <w:pStyle w:val="5"/>
        <w:rPr>
          <w:color w:val="000000" w:themeColor="text1"/>
          <w14:textFill>
            <w14:solidFill>
              <w14:schemeClr w14:val="tx1"/>
            </w14:solidFill>
          </w14:textFill>
        </w:rPr>
      </w:pPr>
      <w:r>
        <w:rPr>
          <w:color w:val="000000" w:themeColor="text1"/>
          <w14:textFill>
            <w14:solidFill>
              <w14:schemeClr w14:val="tx1"/>
            </w14:solidFill>
          </w14:textFill>
        </w:rPr>
        <w:t>1.3.3.4环境准入负面清单</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本项目所在地没有环境准入负面清单，本次环评对照国家产业政策、行业政策及地方政策进行说明，具体见表1.3-1。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表1.3-1 本项目的选址建设与环境准入负面清单对照一览表</w:t>
      </w:r>
    </w:p>
    <w:tbl>
      <w:tblPr>
        <w:tblStyle w:val="53"/>
        <w:tblW w:w="5000" w:type="pct"/>
        <w:tblInd w:w="0" w:type="dxa"/>
        <w:tblLayout w:type="autofit"/>
        <w:tblCellMar>
          <w:top w:w="0" w:type="dxa"/>
          <w:left w:w="0" w:type="dxa"/>
          <w:bottom w:w="0" w:type="dxa"/>
          <w:right w:w="0" w:type="dxa"/>
        </w:tblCellMar>
      </w:tblPr>
      <w:tblGrid>
        <w:gridCol w:w="713"/>
        <w:gridCol w:w="3697"/>
        <w:gridCol w:w="3427"/>
        <w:gridCol w:w="923"/>
      </w:tblGrid>
      <w:tr>
        <w:tblPrEx>
          <w:tblCellMar>
            <w:top w:w="0" w:type="dxa"/>
            <w:left w:w="0" w:type="dxa"/>
            <w:bottom w:w="0" w:type="dxa"/>
            <w:right w:w="0" w:type="dxa"/>
          </w:tblCellMar>
        </w:tblPrEx>
        <w:trPr>
          <w:trHeight w:val="397" w:hRule="atLeast"/>
          <w:tblHeader/>
        </w:trPr>
        <w:tc>
          <w:tcPr>
            <w:tcW w:w="2517" w:type="pct"/>
            <w:gridSpan w:val="2"/>
            <w:tcBorders>
              <w:top w:val="single" w:color="auto" w:sz="12" w:space="0"/>
              <w:left w:val="single" w:color="auto" w:sz="12" w:space="0"/>
              <w:bottom w:val="single" w:color="auto" w:sz="12"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环境准入负面清单</w:t>
            </w:r>
          </w:p>
        </w:tc>
        <w:tc>
          <w:tcPr>
            <w:tcW w:w="1956" w:type="pct"/>
            <w:tcBorders>
              <w:top w:val="single" w:color="auto" w:sz="12" w:space="0"/>
              <w:left w:val="single" w:color="auto" w:sz="4" w:space="0"/>
              <w:bottom w:val="single" w:color="auto" w:sz="12"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527" w:type="pct"/>
            <w:tcBorders>
              <w:top w:val="single" w:color="auto" w:sz="12" w:space="0"/>
              <w:left w:val="single" w:color="auto"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符合性</w:t>
            </w:r>
          </w:p>
        </w:tc>
      </w:tr>
      <w:tr>
        <w:tblPrEx>
          <w:tblCellMar>
            <w:top w:w="0" w:type="dxa"/>
            <w:left w:w="0" w:type="dxa"/>
            <w:bottom w:w="0" w:type="dxa"/>
            <w:right w:w="0" w:type="dxa"/>
          </w:tblCellMar>
        </w:tblPrEx>
        <w:trPr>
          <w:trHeight w:val="397" w:hRule="atLeast"/>
        </w:trPr>
        <w:tc>
          <w:tcPr>
            <w:tcW w:w="407" w:type="pct"/>
            <w:tcBorders>
              <w:top w:val="single" w:color="auto" w:sz="12" w:space="0"/>
              <w:left w:val="single" w:color="auto" w:sz="12"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国家产业政策</w:t>
            </w:r>
          </w:p>
        </w:tc>
        <w:tc>
          <w:tcPr>
            <w:tcW w:w="2110" w:type="pct"/>
            <w:tcBorders>
              <w:top w:val="single" w:color="auto" w:sz="12" w:space="0"/>
              <w:left w:val="single" w:color="auto" w:sz="4" w:space="0"/>
              <w:bottom w:val="single" w:color="auto" w:sz="4" w:space="0"/>
              <w:right w:val="single" w:color="auto"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《产业结构调整指导目录（2019年本）》的政策。</w:t>
            </w:r>
          </w:p>
        </w:tc>
        <w:tc>
          <w:tcPr>
            <w:tcW w:w="1956" w:type="pct"/>
            <w:tcBorders>
              <w:top w:val="single" w:color="auto" w:sz="12" w:space="0"/>
              <w:left w:val="single" w:color="auto" w:sz="4" w:space="0"/>
              <w:bottom w:val="single" w:color="auto" w:sz="4" w:space="0"/>
              <w:right w:val="single" w:color="auto"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本项目属于第一类鼓励类农林业第4条“畜禽标准化规模养殖技术开发与应用”</w:t>
            </w:r>
          </w:p>
        </w:tc>
        <w:tc>
          <w:tcPr>
            <w:tcW w:w="527" w:type="pct"/>
            <w:tcBorders>
              <w:top w:val="single" w:color="auto" w:sz="12" w:space="0"/>
              <w:left w:val="single" w:color="auto" w:sz="4" w:space="0"/>
              <w:bottom w:val="single" w:color="auto"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CellMar>
            <w:top w:w="0" w:type="dxa"/>
            <w:left w:w="0" w:type="dxa"/>
            <w:bottom w:w="0" w:type="dxa"/>
            <w:right w:w="0" w:type="dxa"/>
          </w:tblCellMar>
        </w:tblPrEx>
        <w:trPr>
          <w:trHeight w:val="397" w:hRule="atLeast"/>
        </w:trPr>
        <w:tc>
          <w:tcPr>
            <w:tcW w:w="407"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国家</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政策</w:t>
            </w:r>
          </w:p>
        </w:tc>
        <w:tc>
          <w:tcPr>
            <w:tcW w:w="2110" w:type="pct"/>
            <w:tcBorders>
              <w:top w:val="single" w:color="auto" w:sz="4" w:space="0"/>
              <w:left w:val="single" w:color="auto" w:sz="4" w:space="0"/>
              <w:bottom w:val="single" w:color="auto" w:sz="4" w:space="0"/>
              <w:right w:val="single" w:color="auto"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国办发[2017]48号文《关于加快推进畜禽养殖废弃物资源化利用的意见》，要求坚持源头减量、过程控制、末端利用的治理路径，以畜牧大县和规模养殖场为重点，以沼气和生物天然气为主要处理方向，以农用有机肥和农村能源为主要利用方向，健全制度体系，强化责任落实，加强科技支撑，强化装备保障，全面推进畜禽养殖废弃物资源化利用，加快构建种养结合、农牧循环的可持续发展新格局。</w:t>
            </w:r>
          </w:p>
        </w:tc>
        <w:tc>
          <w:tcPr>
            <w:tcW w:w="1956" w:type="pct"/>
            <w:tcBorders>
              <w:top w:val="single" w:color="auto" w:sz="4" w:space="0"/>
              <w:left w:val="single" w:color="auto" w:sz="4" w:space="0"/>
              <w:bottom w:val="single" w:color="auto" w:sz="4" w:space="0"/>
              <w:right w:val="single" w:color="auto"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项目建成后黑膜沼气池厌氧发酵形成的沼气用于沼气发电机发电，沼液作为农肥用于周围农田施肥，场区配套固粪处理区，固粪处理区内设置固液分离机1台，猪粪、沼渣运至固粪处理区进行好氧发酵，生产有机肥；场区设无害化处理车间，设1套1.3 t/d无害化车处理病死猪及母猪胎盘，</w:t>
            </w:r>
            <w:r>
              <w:rPr>
                <w:color w:val="000000" w:themeColor="text1"/>
                <w:kern w:val="0"/>
                <w:szCs w:val="21"/>
                <w14:textFill>
                  <w14:solidFill>
                    <w14:schemeClr w14:val="tx1"/>
                  </w14:solidFill>
                </w14:textFill>
              </w:rPr>
              <w:t>可有效处理畜禽养殖废弃物。</w:t>
            </w:r>
          </w:p>
        </w:tc>
        <w:tc>
          <w:tcPr>
            <w:tcW w:w="527"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CellMar>
            <w:top w:w="0" w:type="dxa"/>
            <w:left w:w="0" w:type="dxa"/>
            <w:bottom w:w="0" w:type="dxa"/>
            <w:right w:w="0" w:type="dxa"/>
          </w:tblCellMar>
        </w:tblPrEx>
        <w:trPr>
          <w:trHeight w:val="397" w:hRule="atLeast"/>
        </w:trPr>
        <w:tc>
          <w:tcPr>
            <w:tcW w:w="407" w:type="pct"/>
            <w:vMerge w:val="restart"/>
            <w:tcBorders>
              <w:top w:val="single" w:color="auto" w:sz="4" w:space="0"/>
              <w:left w:val="single" w:color="auto" w:sz="12"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行业</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政策</w:t>
            </w:r>
          </w:p>
        </w:tc>
        <w:tc>
          <w:tcPr>
            <w:tcW w:w="2110" w:type="pct"/>
            <w:tcBorders>
              <w:top w:val="single" w:color="auto" w:sz="4" w:space="0"/>
              <w:left w:val="single" w:color="auto" w:sz="4" w:space="0"/>
              <w:bottom w:val="single" w:color="auto" w:sz="4" w:space="0"/>
              <w:right w:val="single" w:color="auto"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根据《动物防疫条件审查办法》第五章第二十条动物和动物产品无害化处理场所选址应当符合下列条件：（一）距离动物养殖场、养殖小区、种畜禽场、动物屠宰加工场所、动物隔离场所、动物诊疗场所、动物和动物产品集贸市场、生活饮用水源地3000m以上；（二）距离城镇居民区、文化教育科研等人口集中区域及公路、铁路等主要交通干线500m以上。</w:t>
            </w:r>
          </w:p>
        </w:tc>
        <w:tc>
          <w:tcPr>
            <w:tcW w:w="1956" w:type="pct"/>
            <w:tcBorders>
              <w:top w:val="single" w:color="auto" w:sz="4" w:space="0"/>
              <w:left w:val="single" w:color="auto" w:sz="4" w:space="0"/>
              <w:bottom w:val="single" w:color="auto" w:sz="4" w:space="0"/>
              <w:right w:val="single" w:color="auto"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本项目设无害化处理车间，1套1.3 t/d无害化车处理病死猪及母猪胎盘，距离最近村庄杜村630m。</w:t>
            </w:r>
            <w:r>
              <w:rPr>
                <w:bCs/>
                <w:color w:val="000000" w:themeColor="text1"/>
                <w14:textFill>
                  <w14:solidFill>
                    <w14:schemeClr w14:val="tx1"/>
                  </w14:solidFill>
                </w14:textFill>
              </w:rPr>
              <w:t>距离最近的水源地为河神庙乡集中供水水源地、丰宜镇集中供水水源地，距其保护区边界分别为9.78 km、9.56 km；</w:t>
            </w:r>
            <w:r>
              <w:rPr>
                <w:color w:val="000000" w:themeColor="text1"/>
                <w14:textFill>
                  <w14:solidFill>
                    <w14:schemeClr w14:val="tx1"/>
                  </w14:solidFill>
                </w14:textFill>
              </w:rPr>
              <w:t>无害化处理车间采取有严格防渗措施。</w:t>
            </w:r>
          </w:p>
        </w:tc>
        <w:tc>
          <w:tcPr>
            <w:tcW w:w="527"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CellMar>
            <w:top w:w="0" w:type="dxa"/>
            <w:left w:w="0" w:type="dxa"/>
            <w:bottom w:w="0" w:type="dxa"/>
            <w:right w:w="0" w:type="dxa"/>
          </w:tblCellMar>
        </w:tblPrEx>
        <w:trPr>
          <w:trHeight w:val="397" w:hRule="atLeast"/>
        </w:trPr>
        <w:tc>
          <w:tcPr>
            <w:tcW w:w="407" w:type="pct"/>
            <w:vMerge w:val="continue"/>
            <w:tcBorders>
              <w:left w:val="single" w:color="auto" w:sz="12" w:space="0"/>
              <w:bottom w:val="single" w:color="auto" w:sz="4" w:space="0"/>
              <w:right w:val="single" w:color="auto" w:sz="4" w:space="0"/>
            </w:tcBorders>
            <w:vAlign w:val="center"/>
          </w:tcPr>
          <w:p>
            <w:pPr>
              <w:pStyle w:val="332"/>
              <w:rPr>
                <w:color w:val="000000" w:themeColor="text1"/>
                <w14:textFill>
                  <w14:solidFill>
                    <w14:schemeClr w14:val="tx1"/>
                  </w14:solidFill>
                </w14:textFill>
              </w:rPr>
            </w:pPr>
          </w:p>
        </w:tc>
        <w:tc>
          <w:tcPr>
            <w:tcW w:w="2110" w:type="pct"/>
            <w:tcBorders>
              <w:top w:val="single" w:color="auto" w:sz="4" w:space="0"/>
              <w:left w:val="single" w:color="auto" w:sz="4" w:space="0"/>
              <w:bottom w:val="single" w:color="auto" w:sz="4" w:space="0"/>
              <w:right w:val="single" w:color="auto"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根据《畜禽养殖业污染防治技术规范》（HJ/T81-2001），养殖场厂界与禁建区域边界最小距离不得小于500 m；粪便储存设施距各类功能地表水体不得小于400 m。</w:t>
            </w:r>
          </w:p>
        </w:tc>
        <w:tc>
          <w:tcPr>
            <w:tcW w:w="1956" w:type="pct"/>
            <w:tcBorders>
              <w:top w:val="single" w:color="auto" w:sz="4" w:space="0"/>
              <w:left w:val="single" w:color="auto" w:sz="4" w:space="0"/>
              <w:bottom w:val="single" w:color="auto" w:sz="4" w:space="0"/>
              <w:right w:val="single" w:color="auto" w:sz="4" w:space="0"/>
            </w:tcBorders>
            <w:vAlign w:val="center"/>
          </w:tcPr>
          <w:p>
            <w:pPr>
              <w:pStyle w:val="332"/>
              <w:jc w:val="both"/>
              <w:rPr>
                <w:bCs/>
                <w:color w:val="000000" w:themeColor="text1"/>
                <w14:textFill>
                  <w14:solidFill>
                    <w14:schemeClr w14:val="tx1"/>
                  </w14:solidFill>
                </w14:textFill>
              </w:rPr>
            </w:pPr>
            <w:r>
              <w:rPr>
                <w:color w:val="000000" w:themeColor="text1"/>
                <w14:textFill>
                  <w14:solidFill>
                    <w14:schemeClr w14:val="tx1"/>
                  </w14:solidFill>
                </w14:textFill>
              </w:rPr>
              <w:t>项目距离最近村庄</w:t>
            </w:r>
            <w:r>
              <w:rPr>
                <w:bCs/>
                <w:color w:val="000000" w:themeColor="text1"/>
                <w14:textFill>
                  <w14:solidFill>
                    <w14:schemeClr w14:val="tx1"/>
                  </w14:solidFill>
                </w14:textFill>
              </w:rPr>
              <w:t>杜村约630m；距离最近的水源地</w:t>
            </w:r>
            <w:r>
              <w:rPr>
                <w:color w:val="000000" w:themeColor="text1"/>
                <w14:textFill>
                  <w14:solidFill>
                    <w14:schemeClr w14:val="tx1"/>
                  </w14:solidFill>
                </w14:textFill>
              </w:rPr>
              <w:t>河神庙乡集中供水水源地9.78 km、丰宜镇集中供水水源地9.56 km；距离最近</w:t>
            </w:r>
            <w:r>
              <w:rPr>
                <w:bCs/>
                <w:color w:val="000000" w:themeColor="text1"/>
                <w14:textFill>
                  <w14:solidFill>
                    <w14:schemeClr w14:val="tx1"/>
                  </w14:solidFill>
                </w14:textFill>
              </w:rPr>
              <w:t>地表水</w:t>
            </w:r>
            <w:r>
              <w:rPr>
                <w:color w:val="000000" w:themeColor="text1"/>
                <w14:textFill>
                  <w14:solidFill>
                    <w14:schemeClr w14:val="tx1"/>
                  </w14:solidFill>
                </w14:textFill>
              </w:rPr>
              <w:t>鸡鸣水河</w:t>
            </w:r>
            <w:r>
              <w:rPr>
                <w:bCs/>
                <w:color w:val="000000" w:themeColor="text1"/>
                <w14:textFill>
                  <w14:solidFill>
                    <w14:schemeClr w14:val="tx1"/>
                  </w14:solidFill>
                </w14:textFill>
              </w:rPr>
              <w:t>约1.4 km；</w:t>
            </w:r>
          </w:p>
        </w:tc>
        <w:tc>
          <w:tcPr>
            <w:tcW w:w="527"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CellMar>
            <w:top w:w="0" w:type="dxa"/>
            <w:left w:w="0" w:type="dxa"/>
            <w:bottom w:w="0" w:type="dxa"/>
            <w:right w:w="0" w:type="dxa"/>
          </w:tblCellMar>
        </w:tblPrEx>
        <w:trPr>
          <w:trHeight w:val="397" w:hRule="atLeast"/>
        </w:trPr>
        <w:tc>
          <w:tcPr>
            <w:tcW w:w="407" w:type="pct"/>
            <w:tcBorders>
              <w:top w:val="single" w:color="auto" w:sz="4" w:space="0"/>
              <w:left w:val="single" w:color="auto" w:sz="12" w:space="0"/>
              <w:bottom w:val="single" w:color="auto" w:sz="12"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地方</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政策</w:t>
            </w:r>
          </w:p>
        </w:tc>
        <w:tc>
          <w:tcPr>
            <w:tcW w:w="2110" w:type="pct"/>
            <w:tcBorders>
              <w:top w:val="single" w:color="auto" w:sz="4" w:space="0"/>
              <w:left w:val="single" w:color="auto" w:sz="4" w:space="0"/>
              <w:bottom w:val="single" w:color="auto" w:sz="12" w:space="0"/>
              <w:right w:val="single" w:color="auto"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《屯留区畜禽养殖禁养区划分方案》（2020年）</w:t>
            </w:r>
          </w:p>
        </w:tc>
        <w:tc>
          <w:tcPr>
            <w:tcW w:w="1956" w:type="pct"/>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本项目不在屯留区畜禽养殖禁养区范围内；</w:t>
            </w:r>
          </w:p>
        </w:tc>
        <w:tc>
          <w:tcPr>
            <w:tcW w:w="527" w:type="pct"/>
            <w:tcBorders>
              <w:top w:val="single" w:color="auto" w:sz="4" w:space="0"/>
              <w:left w:val="single" w:color="auto"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符合</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综上所述，本项目选址建设符合国家及地方政策要求、环境质量利用底线、资源利用上线及生态保护的要求，项目建设可行。</w:t>
      </w:r>
    </w:p>
    <w:p>
      <w:pPr>
        <w:pStyle w:val="4"/>
        <w:rPr>
          <w:rFonts w:cs="Times New Roman"/>
          <w:color w:val="000000" w:themeColor="text1"/>
          <w14:textFill>
            <w14:solidFill>
              <w14:schemeClr w14:val="tx1"/>
            </w14:solidFill>
          </w14:textFill>
        </w:rPr>
      </w:pPr>
      <w:bookmarkStart w:id="51" w:name="_Toc91163819"/>
      <w:r>
        <w:rPr>
          <w:rFonts w:cs="Times New Roman"/>
          <w:color w:val="000000" w:themeColor="text1"/>
          <w14:textFill>
            <w14:solidFill>
              <w14:schemeClr w14:val="tx1"/>
            </w14:solidFill>
          </w14:textFill>
        </w:rPr>
        <w:t>1.3.4 屯留区畜禽养殖禁养区划定方案</w:t>
      </w:r>
      <w:bookmarkEnd w:id="51"/>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fldChar w:fldCharType="begin"/>
      </w:r>
      <w:r>
        <w:instrText xml:space="preserve"> HYPERLINK "http://www.tunliu.gov.cn/tlzw/zwgk/zfxxgkml/zbwj/202002/t20200228_1913380.html" </w:instrText>
      </w:r>
      <w:r>
        <w:fldChar w:fldCharType="separate"/>
      </w:r>
      <w:r>
        <w:rPr>
          <w:rStyle w:val="61"/>
          <w:rFonts w:cs="Times New Roman"/>
          <w:color w:val="000000" w:themeColor="text1"/>
          <w:sz w:val="24"/>
          <w14:textFill>
            <w14:solidFill>
              <w14:schemeClr w14:val="tx1"/>
            </w14:solidFill>
          </w14:textFill>
        </w:rPr>
        <w:t>长治市屯留区人民政府办公室&lt;关于印发长治市屯留区畜禽养殖禁养区划定方案的通知</w:t>
      </w:r>
      <w:r>
        <w:rPr>
          <w:rStyle w:val="61"/>
          <w:rFonts w:cs="Times New Roman"/>
          <w:color w:val="000000" w:themeColor="text1"/>
          <w:sz w:val="24"/>
          <w14:textFill>
            <w14:solidFill>
              <w14:schemeClr w14:val="tx1"/>
            </w14:solidFill>
          </w14:textFill>
        </w:rPr>
        <w:fldChar w:fldCharType="end"/>
      </w:r>
      <w:r>
        <w:rPr>
          <w:rFonts w:cs="Times New Roman"/>
          <w:color w:val="000000" w:themeColor="text1"/>
          <w14:textFill>
            <w14:solidFill>
              <w14:schemeClr w14:val="tx1"/>
            </w14:solidFill>
          </w14:textFill>
        </w:rPr>
        <w:t>&gt;》（屯政办发〔2020〕5号），屯留区禁养区范围如下：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长治市屯留区畜禽养殖禁养区面积为11.96 km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。分为两个部分：屯留区县城建成区及各镇政府所在地、饮用水源地保护区。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1、屯留区县城建成区及各镇政府所在地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城镇建成区禁养范围：北至绛河北岸，西至禹王路、金威佳园，东至东环路、久安路，南至城际路，包括麟绛镇西街、南街、东街、东脑、西堰、东堰、郭村7个行政村。</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屯留区县城建成区和各镇政府所在地居民区该区域内禁养区面积为9.65 km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，截止到2016年底，屯留区县城现有建成区面积为6 km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。依据《屯留县县城总体规划》（2012-2030）屯留区现辖7个镇，分别为麟绛镇、上村镇、渔泽镇、余吾镇、吾元镇、丰宜镇和张店镇，目前镇政府所在地居民区建成区面积约为3.65 km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2、饮用水源地保护区</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饮用水源地保护区，该区域内禁养区面积为2.31 km</w:t>
      </w:r>
      <w:r>
        <w:rPr>
          <w:rFonts w:eastAsia="微软雅黑" w:cs="Times New Roman"/>
          <w:color w:val="000000" w:themeColor="text1"/>
          <w:kern w:val="0"/>
          <w:szCs w:val="21"/>
          <w:vertAlign w:val="superscript"/>
          <w14:textFill>
            <w14:solidFill>
              <w14:schemeClr w14:val="tx1"/>
            </w14:solidFill>
          </w14:textFill>
        </w:rPr>
        <w:t>2</w:t>
      </w:r>
      <w:r>
        <w:rPr>
          <w:rFonts w:cs="Times New Roman"/>
          <w:color w:val="000000" w:themeColor="text1"/>
          <w:kern w:val="0"/>
          <w:szCs w:val="24"/>
          <w14:textFill>
            <w14:solidFill>
              <w14:schemeClr w14:val="tx1"/>
            </w14:solidFill>
          </w14:textFill>
        </w:rPr>
        <w:t>。依据《屯留区乡镇饮用水源保护与环境评估技术报告》和《山西省人民政府关于同意长治市乡镇集中式饮用水水源地保护区划定方案的批复》（晋环函[2012]136号，见附件9）确定屯留区县城水源地和各乡镇饮用水源保护区范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屯留区县城水源地和各乡镇饮用水源保护区范围如下：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1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屯留区县城水源地，</w:t>
      </w:r>
      <w:r>
        <w:rPr>
          <w:rFonts w:cs="Times New Roman"/>
          <w:color w:val="000000" w:themeColor="text1"/>
          <w:szCs w:val="24"/>
          <w14:textFill>
            <w14:solidFill>
              <w14:schemeClr w14:val="tx1"/>
            </w14:solidFill>
          </w14:textFill>
        </w:rPr>
        <w:t xml:space="preserve">一级保护区范围分别以1#（E112°51′26.1″ N36°18′22.5″）、2#（E112°51′27.2″ N36°18′30.7″）、3#（E112°51′14.9″ N36°18′42.7″）、4#（E112°51′29.8″ N36°18′44.4″）井为圆心，半径40m的圆形区域，面积0.02 </w:t>
      </w:r>
      <w:r>
        <w:rPr>
          <w:rFonts w:cs="Times New Roman"/>
          <w:color w:val="000000" w:themeColor="text1"/>
          <w14:textFill>
            <w14:solidFill>
              <w14:schemeClr w14:val="tx1"/>
            </w14:solidFill>
          </w14:textFill>
        </w:rPr>
        <w:t>km</w:t>
      </w:r>
      <w:r>
        <w:rPr>
          <w:rFonts w:cs="Times New Roman"/>
          <w:color w:val="000000" w:themeColor="text1"/>
          <w:vertAlign w:val="superscript"/>
          <w14:textFill>
            <w14:solidFill>
              <w14:schemeClr w14:val="tx1"/>
            </w14:solidFill>
          </w14:textFill>
        </w:rPr>
        <w:t>2</w:t>
      </w:r>
      <w:r>
        <w:rPr>
          <w:rFonts w:cs="Times New Roman"/>
          <w:color w:val="000000" w:themeColor="text1"/>
          <w:szCs w:val="24"/>
          <w14:textFill>
            <w14:solidFill>
              <w14:schemeClr w14:val="tx1"/>
            </w14:solidFill>
          </w14:textFill>
        </w:rPr>
        <w:t xml:space="preserve">；二级保护区呈不规则形分布，东自郭村西一线，西自刘家坪村西南一线，北起刘家坪南一线，南到罗庄~席店村东一线，面积1.85 </w:t>
      </w:r>
      <w:r>
        <w:rPr>
          <w:rFonts w:cs="Times New Roman"/>
          <w:color w:val="000000" w:themeColor="text1"/>
          <w14:textFill>
            <w14:solidFill>
              <w14:schemeClr w14:val="tx1"/>
            </w14:solidFill>
          </w14:textFill>
        </w:rPr>
        <w:t>km</w:t>
      </w:r>
      <w:r>
        <w:rPr>
          <w:rFonts w:cs="Times New Roman"/>
          <w:color w:val="000000" w:themeColor="text1"/>
          <w:vertAlign w:val="superscript"/>
          <w14:textFill>
            <w14:solidFill>
              <w14:schemeClr w14:val="tx1"/>
            </w14:solidFill>
          </w14:textFill>
        </w:rPr>
        <w:t>2</w:t>
      </w:r>
      <w:r>
        <w:rPr>
          <w:rFonts w:cs="Times New Roman"/>
          <w:color w:val="000000" w:themeColor="text1"/>
          <w:szCs w:val="24"/>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2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上村镇集中供水水源地，</w:t>
      </w:r>
      <w:r>
        <w:rPr>
          <w:rFonts w:cs="Times New Roman"/>
          <w:color w:val="000000" w:themeColor="text1"/>
          <w:szCs w:val="24"/>
          <w14:textFill>
            <w14:solidFill>
              <w14:schemeClr w14:val="tx1"/>
            </w14:solidFill>
          </w14:textFill>
        </w:rPr>
        <w:t xml:space="preserve">一级保护区范围以取水口（东经112°59′38.5″，北纬36°19′20.1″）为圆心，半径为73 m的圆形区域，面积0.01673 </w:t>
      </w:r>
      <w:r>
        <w:rPr>
          <w:rFonts w:cs="Times New Roman"/>
          <w:color w:val="000000" w:themeColor="text1"/>
          <w14:textFill>
            <w14:solidFill>
              <w14:schemeClr w14:val="tx1"/>
            </w14:solidFill>
          </w14:textFill>
        </w:rPr>
        <w:t>km</w:t>
      </w:r>
      <w:r>
        <w:rPr>
          <w:rFonts w:cs="Times New Roman"/>
          <w:color w:val="000000" w:themeColor="text1"/>
          <w:vertAlign w:val="superscript"/>
          <w14:textFill>
            <w14:solidFill>
              <w14:schemeClr w14:val="tx1"/>
            </w14:solidFill>
          </w14:textFill>
        </w:rPr>
        <w:t>2</w:t>
      </w:r>
      <w:r>
        <w:rPr>
          <w:rFonts w:cs="Times New Roman"/>
          <w:color w:val="000000" w:themeColor="text1"/>
          <w:szCs w:val="24"/>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3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渔泽镇集中供水水源地，</w:t>
      </w:r>
      <w:r>
        <w:rPr>
          <w:rFonts w:cs="Times New Roman"/>
          <w:color w:val="000000" w:themeColor="text1"/>
          <w:szCs w:val="24"/>
          <w14:textFill>
            <w14:solidFill>
              <w14:schemeClr w14:val="tx1"/>
            </w14:solidFill>
          </w14:textFill>
        </w:rPr>
        <w:t xml:space="preserve">一级保护区范围以取水口（东经112°58′48.6″，北纬36°21′35″）为圆心，半径为47 m的圆形区域，面积0.00694 </w:t>
      </w:r>
      <w:r>
        <w:rPr>
          <w:rFonts w:cs="Times New Roman"/>
          <w:color w:val="000000" w:themeColor="text1"/>
          <w14:textFill>
            <w14:solidFill>
              <w14:schemeClr w14:val="tx1"/>
            </w14:solidFill>
          </w14:textFill>
        </w:rPr>
        <w:t>km</w:t>
      </w:r>
      <w:r>
        <w:rPr>
          <w:rFonts w:cs="Times New Roman"/>
          <w:color w:val="000000" w:themeColor="text1"/>
          <w:vertAlign w:val="superscript"/>
          <w14:textFill>
            <w14:solidFill>
              <w14:schemeClr w14:val="tx1"/>
            </w14:solidFill>
          </w14:textFill>
        </w:rPr>
        <w:t>2</w:t>
      </w:r>
      <w:r>
        <w:rPr>
          <w:rFonts w:cs="Times New Roman"/>
          <w:color w:val="000000" w:themeColor="text1"/>
          <w:szCs w:val="24"/>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4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④</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余吾镇集中供水水源地，</w:t>
      </w:r>
      <w:r>
        <w:rPr>
          <w:rFonts w:cs="Times New Roman"/>
          <w:color w:val="000000" w:themeColor="text1"/>
          <w:szCs w:val="24"/>
          <w14:textFill>
            <w14:solidFill>
              <w14:schemeClr w14:val="tx1"/>
            </w14:solidFill>
          </w14:textFill>
        </w:rPr>
        <w:t>一级保护区范围</w:t>
      </w:r>
      <w:r>
        <w:rPr>
          <w:rFonts w:cs="Times New Roman"/>
          <w:color w:val="000000" w:themeColor="text1"/>
          <w14:textFill>
            <w14:solidFill>
              <w14:schemeClr w14:val="tx1"/>
            </w14:solidFill>
          </w14:textFill>
        </w:rPr>
        <w:t>以取水口（东经112°49′56.9″，北纬36°23′13.5″）为圆心，半径为59 m的圆形区域，</w:t>
      </w:r>
      <w:r>
        <w:rPr>
          <w:rFonts w:cs="Times New Roman"/>
          <w:color w:val="000000" w:themeColor="text1"/>
          <w:szCs w:val="24"/>
          <w14:textFill>
            <w14:solidFill>
              <w14:schemeClr w14:val="tx1"/>
            </w14:solidFill>
          </w14:textFill>
        </w:rPr>
        <w:t xml:space="preserve">面积0.01093 </w:t>
      </w:r>
      <w:r>
        <w:rPr>
          <w:rFonts w:cs="Times New Roman"/>
          <w:color w:val="000000" w:themeColor="text1"/>
          <w14:textFill>
            <w14:solidFill>
              <w14:schemeClr w14:val="tx1"/>
            </w14:solidFill>
          </w14:textFill>
        </w:rPr>
        <w:t>km</w:t>
      </w:r>
      <w:r>
        <w:rPr>
          <w:rFonts w:cs="Times New Roman"/>
          <w:color w:val="000000" w:themeColor="text1"/>
          <w:vertAlign w:val="superscript"/>
          <w14:textFill>
            <w14:solidFill>
              <w14:schemeClr w14:val="tx1"/>
            </w14:solidFill>
          </w14:textFill>
        </w:rPr>
        <w:t>2</w:t>
      </w:r>
      <w:r>
        <w:rPr>
          <w:rFonts w:cs="Times New Roman"/>
          <w:color w:val="000000" w:themeColor="text1"/>
          <w:szCs w:val="24"/>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5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⑤</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吾元镇集中供水水源地，</w:t>
      </w:r>
      <w:r>
        <w:rPr>
          <w:rFonts w:cs="Times New Roman"/>
          <w:color w:val="000000" w:themeColor="text1"/>
          <w:szCs w:val="24"/>
          <w14:textFill>
            <w14:solidFill>
              <w14:schemeClr w14:val="tx1"/>
            </w14:solidFill>
          </w14:textFill>
        </w:rPr>
        <w:t>一级保护区范围</w:t>
      </w:r>
      <w:r>
        <w:rPr>
          <w:rFonts w:cs="Times New Roman"/>
          <w:color w:val="000000" w:themeColor="text1"/>
          <w14:textFill>
            <w14:solidFill>
              <w14:schemeClr w14:val="tx1"/>
            </w14:solidFill>
          </w14:textFill>
        </w:rPr>
        <w:t>以取水口（东经112°41′35.4″，北纬36°25′41.7″）为圆心，半径为89 m的圆形区域，</w:t>
      </w:r>
      <w:r>
        <w:rPr>
          <w:rFonts w:cs="Times New Roman"/>
          <w:color w:val="000000" w:themeColor="text1"/>
          <w:szCs w:val="24"/>
          <w14:textFill>
            <w14:solidFill>
              <w14:schemeClr w14:val="tx1"/>
            </w14:solidFill>
          </w14:textFill>
        </w:rPr>
        <w:t xml:space="preserve">面积0.02487 </w:t>
      </w:r>
      <w:r>
        <w:rPr>
          <w:rFonts w:cs="Times New Roman"/>
          <w:color w:val="000000" w:themeColor="text1"/>
          <w14:textFill>
            <w14:solidFill>
              <w14:schemeClr w14:val="tx1"/>
            </w14:solidFill>
          </w14:textFill>
        </w:rPr>
        <w:t>km</w:t>
      </w:r>
      <w:r>
        <w:rPr>
          <w:rFonts w:cs="Times New Roman"/>
          <w:color w:val="000000" w:themeColor="text1"/>
          <w:vertAlign w:val="superscript"/>
          <w14:textFill>
            <w14:solidFill>
              <w14:schemeClr w14:val="tx1"/>
            </w14:solidFill>
          </w14:textFill>
        </w:rPr>
        <w:t>2</w:t>
      </w:r>
      <w:r>
        <w:rPr>
          <w:rFonts w:cs="Times New Roman"/>
          <w:color w:val="000000" w:themeColor="text1"/>
          <w:szCs w:val="24"/>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6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⑥</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张店镇集中供水水源地，</w:t>
      </w:r>
      <w:r>
        <w:rPr>
          <w:rFonts w:cs="Times New Roman"/>
          <w:color w:val="000000" w:themeColor="text1"/>
          <w:szCs w:val="24"/>
          <w14:textFill>
            <w14:solidFill>
              <w14:schemeClr w14:val="tx1"/>
            </w14:solidFill>
          </w14:textFill>
        </w:rPr>
        <w:t xml:space="preserve">一级保护区范围以取水口（东经112°35′56.9″，北纬36°21′3.3″）为圆心，半径为65 m的圆形区域，面积0.01327 </w:t>
      </w:r>
      <w:r>
        <w:rPr>
          <w:rFonts w:cs="Times New Roman"/>
          <w:color w:val="000000" w:themeColor="text1"/>
          <w14:textFill>
            <w14:solidFill>
              <w14:schemeClr w14:val="tx1"/>
            </w14:solidFill>
          </w14:textFill>
        </w:rPr>
        <w:t>km</w:t>
      </w:r>
      <w:r>
        <w:rPr>
          <w:rFonts w:cs="Times New Roman"/>
          <w:color w:val="000000" w:themeColor="text1"/>
          <w:vertAlign w:val="superscript"/>
          <w14:textFill>
            <w14:solidFill>
              <w14:schemeClr w14:val="tx1"/>
            </w14:solidFill>
          </w14:textFill>
        </w:rPr>
        <w:t>2</w:t>
      </w:r>
      <w:r>
        <w:rPr>
          <w:rFonts w:cs="Times New Roman"/>
          <w:color w:val="000000" w:themeColor="text1"/>
          <w:szCs w:val="24"/>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7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⑦</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丰宜镇集中供水水源地，</w:t>
      </w:r>
      <w:r>
        <w:rPr>
          <w:rFonts w:cs="Times New Roman"/>
          <w:color w:val="000000" w:themeColor="text1"/>
          <w:szCs w:val="24"/>
          <w14:textFill>
            <w14:solidFill>
              <w14:schemeClr w14:val="tx1"/>
            </w14:solidFill>
          </w14:textFill>
        </w:rPr>
        <w:t xml:space="preserve">一级保护区范围以取水口（东经112°43′39.7″，北纬36°14′16.7″）为圆心，半径为89 m的圆形区域，面积0.02487 </w:t>
      </w:r>
      <w:r>
        <w:rPr>
          <w:rFonts w:cs="Times New Roman"/>
          <w:color w:val="000000" w:themeColor="text1"/>
          <w14:textFill>
            <w14:solidFill>
              <w14:schemeClr w14:val="tx1"/>
            </w14:solidFill>
          </w14:textFill>
        </w:rPr>
        <w:t>km</w:t>
      </w:r>
      <w:r>
        <w:rPr>
          <w:rFonts w:cs="Times New Roman"/>
          <w:color w:val="000000" w:themeColor="text1"/>
          <w:vertAlign w:val="superscript"/>
          <w14:textFill>
            <w14:solidFill>
              <w14:schemeClr w14:val="tx1"/>
            </w14:solidFill>
          </w14:textFill>
        </w:rPr>
        <w:t>2</w:t>
      </w:r>
      <w:r>
        <w:rPr>
          <w:rFonts w:cs="Times New Roman"/>
          <w:color w:val="000000" w:themeColor="text1"/>
          <w:szCs w:val="24"/>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8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⑧</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李高乡集中供水水源地，</w:t>
      </w:r>
      <w:r>
        <w:rPr>
          <w:rFonts w:cs="Times New Roman"/>
          <w:color w:val="000000" w:themeColor="text1"/>
          <w:szCs w:val="24"/>
          <w14:textFill>
            <w14:solidFill>
              <w14:schemeClr w14:val="tx1"/>
            </w14:solidFill>
          </w14:textFill>
        </w:rPr>
        <w:t xml:space="preserve">一级保护区范围以水源井（东经112°56′18.2″，北纬36°15′22.7″）为圆心半径为81 m的圆形区域，面积0.0206 </w:t>
      </w:r>
      <w:r>
        <w:rPr>
          <w:rFonts w:cs="Times New Roman"/>
          <w:color w:val="000000" w:themeColor="text1"/>
          <w14:textFill>
            <w14:solidFill>
              <w14:schemeClr w14:val="tx1"/>
            </w14:solidFill>
          </w14:textFill>
        </w:rPr>
        <w:t>km</w:t>
      </w:r>
      <w:r>
        <w:rPr>
          <w:rFonts w:cs="Times New Roman"/>
          <w:color w:val="000000" w:themeColor="text1"/>
          <w:vertAlign w:val="superscript"/>
          <w14:textFill>
            <w14:solidFill>
              <w14:schemeClr w14:val="tx1"/>
            </w14:solidFill>
          </w14:textFill>
        </w:rPr>
        <w:t>2</w:t>
      </w:r>
      <w:r>
        <w:rPr>
          <w:rFonts w:cs="Times New Roman"/>
          <w:color w:val="000000" w:themeColor="text1"/>
          <w:szCs w:val="24"/>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9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⑨</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河神庙乡集中供水水源地，</w:t>
      </w:r>
      <w:r>
        <w:rPr>
          <w:rFonts w:cs="Times New Roman"/>
          <w:color w:val="000000" w:themeColor="text1"/>
          <w:szCs w:val="24"/>
          <w14:textFill>
            <w14:solidFill>
              <w14:schemeClr w14:val="tx1"/>
            </w14:solidFill>
          </w14:textFill>
        </w:rPr>
        <w:t xml:space="preserve">一级保护区范围以取水口（东经112°43′20.7″，北纬36°18′26.3″）为圆心，半径为39 m的圆形区域，面积0.00478 </w:t>
      </w:r>
      <w:r>
        <w:rPr>
          <w:rFonts w:cs="Times New Roman"/>
          <w:color w:val="000000" w:themeColor="text1"/>
          <w14:textFill>
            <w14:solidFill>
              <w14:schemeClr w14:val="tx1"/>
            </w14:solidFill>
          </w14:textFill>
        </w:rPr>
        <w:t>km</w:t>
      </w:r>
      <w:r>
        <w:rPr>
          <w:rFonts w:cs="Times New Roman"/>
          <w:color w:val="000000" w:themeColor="text1"/>
          <w:vertAlign w:val="superscript"/>
          <w14:textFill>
            <w14:solidFill>
              <w14:schemeClr w14:val="tx1"/>
            </w14:solidFill>
          </w14:textFill>
        </w:rPr>
        <w:t>2</w:t>
      </w:r>
      <w:r>
        <w:rPr>
          <w:rFonts w:cs="Times New Roman"/>
          <w:color w:val="000000" w:themeColor="text1"/>
          <w:szCs w:val="24"/>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10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⑩</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西流寨集中供水水源地，</w:t>
      </w:r>
      <w:r>
        <w:rPr>
          <w:rFonts w:cs="Times New Roman"/>
          <w:color w:val="000000" w:themeColor="text1"/>
          <w:szCs w:val="24"/>
          <w14:textFill>
            <w14:solidFill>
              <w14:schemeClr w14:val="tx1"/>
            </w14:solidFill>
          </w14:textFill>
        </w:rPr>
        <w:t xml:space="preserve">一级保护区范围以取水口（东经112°38′47.8″，北纬36°13′39.5″）为圆心，半径为43 m的圆形区域，面积0.00581 </w:t>
      </w:r>
      <w:r>
        <w:rPr>
          <w:rFonts w:cs="Times New Roman"/>
          <w:color w:val="000000" w:themeColor="text1"/>
          <w14:textFill>
            <w14:solidFill>
              <w14:schemeClr w14:val="tx1"/>
            </w14:solidFill>
          </w14:textFill>
        </w:rPr>
        <w:t>km</w:t>
      </w:r>
      <w:r>
        <w:rPr>
          <w:rFonts w:cs="Times New Roman"/>
          <w:color w:val="000000" w:themeColor="text1"/>
          <w:vertAlign w:val="superscript"/>
          <w14:textFill>
            <w14:solidFill>
              <w14:schemeClr w14:val="tx1"/>
            </w14:solidFill>
          </w14:textFill>
        </w:rPr>
        <w:t>2</w:t>
      </w:r>
      <w:r>
        <w:rPr>
          <w:rFonts w:cs="Times New Roman"/>
          <w:color w:val="000000" w:themeColor="text1"/>
          <w:szCs w:val="24"/>
          <w14:textFill>
            <w14:solidFill>
              <w14:schemeClr w14:val="tx1"/>
            </w14:solidFill>
          </w14:textFill>
        </w:rPr>
        <w:t xml:space="preserve">；二级保护区为一级保护区边界以外，上游沿河谷1000 m，下游100 m，两侧分别以山脚等高线划定的不规则多边形区域，面积0.249 </w:t>
      </w:r>
      <w:r>
        <w:rPr>
          <w:rFonts w:cs="Times New Roman"/>
          <w:color w:val="000000" w:themeColor="text1"/>
          <w14:textFill>
            <w14:solidFill>
              <w14:schemeClr w14:val="tx1"/>
            </w14:solidFill>
          </w14:textFill>
        </w:rPr>
        <w:t>km</w:t>
      </w:r>
      <w:r>
        <w:rPr>
          <w:rFonts w:cs="Times New Roman"/>
          <w:color w:val="000000" w:themeColor="text1"/>
          <w:vertAlign w:val="superscript"/>
          <w14:textFill>
            <w14:solidFill>
              <w14:schemeClr w14:val="tx1"/>
            </w14:solidFill>
          </w14:textFill>
        </w:rPr>
        <w:t>2</w:t>
      </w:r>
      <w:r>
        <w:rPr>
          <w:rFonts w:cs="Times New Roman"/>
          <w:color w:val="000000" w:themeColor="text1"/>
          <w:szCs w:val="24"/>
          <w14:textFill>
            <w14:solidFill>
              <w14:schemeClr w14:val="tx1"/>
            </w14:solidFill>
          </w14:textFill>
        </w:rPr>
        <w:t>。</w:t>
      </w:r>
    </w:p>
    <w:p>
      <w:pPr>
        <w:ind w:firstLine="48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上莲开发区集中供水水源地</w:t>
      </w:r>
      <w:r>
        <w:rPr>
          <w:rFonts w:cs="Times New Roman"/>
          <w:color w:val="000000" w:themeColor="text1"/>
          <w:szCs w:val="24"/>
          <w14:textFill>
            <w14:solidFill>
              <w14:schemeClr w14:val="tx1"/>
            </w14:solidFill>
          </w14:textFill>
        </w:rPr>
        <w:t xml:space="preserve">一级保护区范围以取水口（东经112°50′22.5″，北纬36°25′56.2″）为圆心，半径为40 m的圆形区域，面积0.00502 </w:t>
      </w:r>
      <w:r>
        <w:rPr>
          <w:rFonts w:cs="Times New Roman"/>
          <w:color w:val="000000" w:themeColor="text1"/>
          <w14:textFill>
            <w14:solidFill>
              <w14:schemeClr w14:val="tx1"/>
            </w14:solidFill>
          </w14:textFill>
        </w:rPr>
        <w:t>km</w:t>
      </w:r>
      <w:r>
        <w:rPr>
          <w:rFonts w:cs="Times New Roman"/>
          <w:color w:val="000000" w:themeColor="text1"/>
          <w:vertAlign w:val="superscript"/>
          <w14:textFill>
            <w14:solidFill>
              <w14:schemeClr w14:val="tx1"/>
            </w14:solidFill>
          </w14:textFill>
        </w:rPr>
        <w:t>2</w:t>
      </w:r>
      <w:r>
        <w:rPr>
          <w:rFonts w:cs="Times New Roman"/>
          <w:color w:val="000000" w:themeColor="text1"/>
          <w:szCs w:val="24"/>
          <w14:textFill>
            <w14:solidFill>
              <w14:schemeClr w14:val="tx1"/>
            </w14:solidFill>
          </w14:textFill>
        </w:rPr>
        <w:t xml:space="preserve">；二级保护区范围一级保护区界限以外，上游沿河谷至水坝约700 m，下游100 m，两侧分别依地形条件以山脚等高线划定的不规则多边形区域，面积0.05432 </w:t>
      </w:r>
      <w:r>
        <w:rPr>
          <w:rFonts w:cs="Times New Roman"/>
          <w:color w:val="000000" w:themeColor="text1"/>
          <w14:textFill>
            <w14:solidFill>
              <w14:schemeClr w14:val="tx1"/>
            </w14:solidFill>
          </w14:textFill>
        </w:rPr>
        <w:t>km</w:t>
      </w:r>
      <w:r>
        <w:rPr>
          <w:rFonts w:cs="Times New Roman"/>
          <w:color w:val="000000" w:themeColor="text1"/>
          <w:vertAlign w:val="superscript"/>
          <w14:textFill>
            <w14:solidFill>
              <w14:schemeClr w14:val="tx1"/>
            </w14:solidFill>
          </w14:textFill>
        </w:rPr>
        <w:t>2</w:t>
      </w:r>
      <w:r>
        <w:rPr>
          <w:rFonts w:cs="Times New Roman"/>
          <w:color w:val="000000" w:themeColor="text1"/>
          <w:szCs w:val="24"/>
          <w14:textFill>
            <w14:solidFill>
              <w14:schemeClr w14:val="tx1"/>
            </w14:solidFill>
          </w14:textFill>
        </w:rPr>
        <w:t>。</w:t>
      </w:r>
    </w:p>
    <w:p>
      <w:pPr>
        <w:ind w:firstLine="48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本项目位于屯留区</w:t>
      </w:r>
      <w:r>
        <w:rPr>
          <w:rFonts w:cs="Times New Roman"/>
          <w:bCs/>
          <w:color w:val="000000" w:themeColor="text1"/>
          <w:kern w:val="24"/>
          <w:szCs w:val="20"/>
          <w14:textFill>
            <w14:solidFill>
              <w14:schemeClr w14:val="tx1"/>
            </w14:solidFill>
          </w14:textFill>
        </w:rPr>
        <w:t>杜村村北约630 m处，距屯留区建成区约3.37 km</w:t>
      </w:r>
      <w:r>
        <w:rPr>
          <w:rFonts w:cs="Times New Roman"/>
          <w:bCs/>
          <w:color w:val="000000" w:themeColor="text1"/>
          <w14:textFill>
            <w14:solidFill>
              <w14:schemeClr w14:val="tx1"/>
            </w14:solidFill>
          </w14:textFill>
        </w:rPr>
        <w:t>；距离最近的水源地为</w:t>
      </w:r>
      <w:r>
        <w:rPr>
          <w:rFonts w:cs="Times New Roman"/>
          <w:color w:val="000000" w:themeColor="text1"/>
          <w14:textFill>
            <w14:solidFill>
              <w14:schemeClr w14:val="tx1"/>
            </w14:solidFill>
          </w14:textFill>
        </w:rPr>
        <w:t>河神庙乡集中供水水源地、丰宜镇集中供水水源地，距其保护区边界分别为9.78 km、9.56 km，不在水源地保护区范围内；根据《屯留区畜禽养殖禁养区划分方案》（2020年），本项目不在屯留区畜禽养殖禁养区范围内。</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屯留区禁养区划分结果图见图1.3-7。</w:t>
      </w:r>
    </w:p>
    <w:p>
      <w:pPr>
        <w:pStyle w:val="4"/>
        <w:rPr>
          <w:rFonts w:cs="Times New Roman"/>
          <w:color w:val="000000" w:themeColor="text1"/>
          <w14:textFill>
            <w14:solidFill>
              <w14:schemeClr w14:val="tx1"/>
            </w14:solidFill>
          </w14:textFill>
        </w:rPr>
      </w:pPr>
      <w:bookmarkStart w:id="52" w:name="_Toc91163820"/>
      <w:r>
        <w:rPr>
          <w:rFonts w:cs="Times New Roman"/>
          <w:color w:val="000000" w:themeColor="text1"/>
          <w14:textFill>
            <w14:solidFill>
              <w14:schemeClr w14:val="tx1"/>
            </w14:solidFill>
          </w14:textFill>
        </w:rPr>
        <w:t>1.3.5 环境敏感因素分析</w:t>
      </w:r>
      <w:bookmarkEnd w:id="52"/>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项目所在区域不属于国家规定的特殊保护地区、生态敏感与脆弱区和社会关注区等，项目敏感目标主要为周围村庄及分散式饮用水源。</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14:textFill>
            <w14:solidFill>
              <w14:schemeClr w14:val="tx1"/>
            </w14:solidFill>
          </w14:textFill>
        </w:rPr>
        <w:t>本项目位于屯留区</w:t>
      </w:r>
      <w:r>
        <w:rPr>
          <w:rFonts w:cs="Times New Roman"/>
          <w:bCs/>
          <w:color w:val="000000" w:themeColor="text1"/>
          <w:kern w:val="24"/>
          <w:szCs w:val="20"/>
          <w14:textFill>
            <w14:solidFill>
              <w14:schemeClr w14:val="tx1"/>
            </w14:solidFill>
          </w14:textFill>
        </w:rPr>
        <w:t>杜村村北约630 m处</w:t>
      </w:r>
      <w:r>
        <w:rPr>
          <w:rFonts w:cs="Times New Roman"/>
          <w:color w:val="000000" w:themeColor="text1"/>
          <w14:textFill>
            <w14:solidFill>
              <w14:schemeClr w14:val="tx1"/>
            </w14:solidFill>
          </w14:textFill>
        </w:rPr>
        <w:t>，</w:t>
      </w:r>
      <w:r>
        <w:rPr>
          <w:rFonts w:cs="Times New Roman"/>
          <w:bCs/>
          <w:color w:val="000000" w:themeColor="text1"/>
          <w:kern w:val="24"/>
          <w:szCs w:val="20"/>
          <w14:textFill>
            <w14:solidFill>
              <w14:schemeClr w14:val="tx1"/>
            </w14:solidFill>
          </w14:textFill>
        </w:rPr>
        <w:t>占地面积53019.51 m</w:t>
      </w:r>
      <w:r>
        <w:rPr>
          <w:rFonts w:cs="Times New Roman"/>
          <w:bCs/>
          <w:color w:val="000000" w:themeColor="text1"/>
          <w:kern w:val="24"/>
          <w:szCs w:val="20"/>
          <w:vertAlign w:val="superscript"/>
          <w14:textFill>
            <w14:solidFill>
              <w14:schemeClr w14:val="tx1"/>
            </w14:solidFill>
          </w14:textFill>
        </w:rPr>
        <w:t>2</w:t>
      </w:r>
      <w:r>
        <w:rPr>
          <w:rFonts w:cs="Times New Roman"/>
          <w:bCs/>
          <w:color w:val="000000" w:themeColor="text1"/>
          <w:kern w:val="24"/>
          <w:szCs w:val="20"/>
          <w14:textFill>
            <w14:solidFill>
              <w14:schemeClr w14:val="tx1"/>
            </w14:solidFill>
          </w14:textFill>
        </w:rPr>
        <w:t>，约79.53亩</w:t>
      </w:r>
      <w:r>
        <w:rPr>
          <w:rFonts w:cs="Times New Roman"/>
          <w:color w:val="000000" w:themeColor="text1"/>
          <w14:textFill>
            <w14:solidFill>
              <w14:schemeClr w14:val="tx1"/>
            </w14:solidFill>
          </w14:textFill>
        </w:rPr>
        <w:t>，用地现状为一般耕地，属经营权流转土地（合同见附件三），场界最近距南侧杜村630 m；</w:t>
      </w:r>
      <w:r>
        <w:rPr>
          <w:rFonts w:cs="Times New Roman"/>
          <w:bCs/>
          <w:color w:val="000000" w:themeColor="text1"/>
          <w14:textFill>
            <w14:solidFill>
              <w14:schemeClr w14:val="tx1"/>
            </w14:solidFill>
          </w14:textFill>
        </w:rPr>
        <w:t>本项目所在地不在屯留县县城总体规划（2012-2030年）》县城用地规划范围内，距离其建成区约3.37 km；同时本项目取得了丰宜镇设施农业用地备案登记表（2021）第1号，设施用地类型为养殖；</w:t>
      </w:r>
      <w:r>
        <w:rPr>
          <w:rFonts w:cs="Times New Roman"/>
          <w:color w:val="000000" w:themeColor="text1"/>
          <w:kern w:val="0"/>
          <w:szCs w:val="24"/>
          <w14:textFill>
            <w14:solidFill>
              <w14:schemeClr w14:val="tx1"/>
            </w14:solidFill>
          </w14:textFill>
        </w:rPr>
        <w:t>区域生态属于农业生态系统。</w:t>
      </w:r>
    </w:p>
    <w:p>
      <w:pPr>
        <w:ind w:firstLine="480"/>
        <w:rPr>
          <w:rFonts w:cs="Times New Roman"/>
          <w:color w:val="000000" w:themeColor="text1"/>
          <w14:textFill>
            <w14:solidFill>
              <w14:schemeClr w14:val="tx1"/>
            </w14:solidFill>
          </w14:textFill>
        </w:rPr>
      </w:pPr>
      <w:r>
        <w:rPr>
          <w:rFonts w:cs="Times New Roman"/>
          <w:color w:val="000000" w:themeColor="text1"/>
          <w:kern w:val="0"/>
          <w:szCs w:val="24"/>
          <w14:textFill>
            <w14:solidFill>
              <w14:schemeClr w14:val="tx1"/>
            </w14:solidFill>
          </w14:textFill>
        </w:rPr>
        <w:t>经调查，项目厂址</w:t>
      </w:r>
      <w:r>
        <w:rPr>
          <w:rFonts w:cs="Times New Roman"/>
          <w:bCs/>
          <w:color w:val="000000" w:themeColor="text1"/>
          <w14:textFill>
            <w14:solidFill>
              <w14:schemeClr w14:val="tx1"/>
            </w14:solidFill>
          </w14:textFill>
        </w:rPr>
        <w:t>距离最近的水源地为</w:t>
      </w:r>
      <w:r>
        <w:rPr>
          <w:rFonts w:cs="Times New Roman"/>
          <w:color w:val="000000" w:themeColor="text1"/>
          <w14:textFill>
            <w14:solidFill>
              <w14:schemeClr w14:val="tx1"/>
            </w14:solidFill>
          </w14:textFill>
        </w:rPr>
        <w:t>河神庙乡集中供水水源地、丰宜镇集中供水水源地，距其保护区边界分别为9.78 km、9.56 km，不在水源地保护区范围内。</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根据山西省泉域及重点保护区分布情况，本项目位于辛安泉域内，不在其重点保护区及裸露岩溶区，距辛安泉域重点保护区约27.1 km。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评价区内无重点保护生态品种及濒危生物物种。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项目场址附近的村庄为牛角川、东庄村、杜村等，主要环境敏感因素为大气环境、水环境及周围村庄居民、饮用水井等，环评需给予关注。</w:t>
      </w:r>
    </w:p>
    <w:p>
      <w:pPr>
        <w:ind w:firstLine="480"/>
        <w:rPr>
          <w:rFonts w:cs="Times New Roman"/>
          <w:color w:val="000000" w:themeColor="text1"/>
          <w14:textFill>
            <w14:solidFill>
              <w14:schemeClr w14:val="tx1"/>
            </w14:solidFill>
          </w14:textFill>
        </w:rPr>
        <w:sectPr>
          <w:pgSz w:w="11906" w:h="16838"/>
          <w:pgMar w:top="1418" w:right="1588" w:bottom="1418" w:left="1588" w:header="851" w:footer="992" w:gutter="0"/>
          <w:pgNumType w:fmt="numberInDash"/>
          <w:cols w:space="720" w:num="1"/>
          <w:docGrid w:linePitch="400" w:charSpace="0"/>
        </w:sectPr>
      </w:pPr>
      <w:r>
        <w:rPr>
          <w:rFonts w:cs="Times New Roman"/>
          <w:color w:val="000000" w:themeColor="text1"/>
          <w14:textFill>
            <w14:solidFill>
              <w14:schemeClr w14:val="tx1"/>
            </w14:solidFill>
          </w14:textFill>
        </w:rPr>
        <w:t>项目周边基本农田保护区见图1.3-8。</w:t>
      </w:r>
    </w:p>
    <w:p>
      <w:pPr>
        <w:pStyle w:val="333"/>
        <w:spacing w:before="120"/>
        <w:rPr>
          <w:rFonts w:cs="Times New Roman"/>
          <w:color w:val="000000" w:themeColor="text1"/>
          <w14:textFill>
            <w14:solidFill>
              <w14:schemeClr w14:val="tx1"/>
            </w14:solidFill>
          </w14:textFill>
        </w:rPr>
        <w:sectPr>
          <w:pgSz w:w="11906" w:h="16838"/>
          <w:pgMar w:top="1418" w:right="1588" w:bottom="1418" w:left="1588" w:header="851" w:footer="992" w:gutter="0"/>
          <w:pgNumType w:fmt="numberInDash"/>
          <w:cols w:space="720" w:num="1"/>
          <w:docGrid w:linePitch="400" w:charSpace="0"/>
        </w:sectPr>
      </w:pPr>
      <w:r>
        <w:rPr>
          <w:rFonts w:cs="Times New Roman"/>
          <w:color w:val="000000" w:themeColor="text1"/>
          <w14:textFill>
            <w14:solidFill>
              <w14:schemeClr w14:val="tx1"/>
            </w14:solidFill>
          </w14:textFill>
        </w:rPr>
        <w:t xml:space="preserve">图1.3-5项目与山西省生态环境管控单元相对位置关系图 </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图1.3-6 项目与长治市生态环境管控单元相对位置关系图</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highlight w:val="yellow"/>
          <w14:textFill>
            <w14:solidFill>
              <w14:schemeClr w14:val="tx1"/>
            </w14:solidFill>
          </w14:textFill>
        </w:rPr>
      </w:pPr>
      <w:r>
        <w:rPr>
          <w:rFonts w:cs="Times New Roman"/>
          <w:color w:val="000000" w:themeColor="text1"/>
          <w14:textFill>
            <w14:solidFill>
              <w14:schemeClr w14:val="tx1"/>
            </w14:solidFill>
          </w14:textFill>
        </w:rPr>
        <w:t>图1.3-7 屯留区禁养区划分结果图</w:t>
      </w:r>
      <w:r>
        <w:rPr>
          <w:rFonts w:cs="Times New Roman"/>
          <w:color w:val="000000" w:themeColor="text1"/>
          <w:highlight w:val="yellow"/>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sectPr>
          <w:pgSz w:w="16838" w:h="11906" w:orient="landscape"/>
          <w:pgMar w:top="1588" w:right="1418" w:bottom="1588" w:left="1418" w:header="851" w:footer="992" w:gutter="0"/>
          <w:pgNumType w:fmt="numberInDash"/>
          <w:cols w:space="720" w:num="1"/>
          <w:docGrid w:linePitch="400" w:charSpace="0"/>
        </w:sectPr>
      </w:pPr>
      <w:r>
        <w:rPr>
          <w:rFonts w:cs="Times New Roman"/>
          <w:color w:val="000000" w:themeColor="text1"/>
          <w14:textFill>
            <w14:solidFill>
              <w14:schemeClr w14:val="tx1"/>
            </w14:solidFill>
          </w14:textFill>
        </w:rPr>
        <w:t>图1.3-8 项目周边基本农田保护区分布图</w:t>
      </w:r>
    </w:p>
    <w:p>
      <w:pPr>
        <w:pStyle w:val="4"/>
        <w:rPr>
          <w:rFonts w:cs="Times New Roman"/>
          <w:color w:val="000000" w:themeColor="text1"/>
          <w14:textFill>
            <w14:solidFill>
              <w14:schemeClr w14:val="tx1"/>
            </w14:solidFill>
          </w14:textFill>
        </w:rPr>
      </w:pPr>
      <w:bookmarkStart w:id="53" w:name="_Toc91163821"/>
      <w:r>
        <w:rPr>
          <w:rFonts w:cs="Times New Roman"/>
          <w:color w:val="000000" w:themeColor="text1"/>
          <w14:textFill>
            <w14:solidFill>
              <w14:schemeClr w14:val="tx1"/>
            </w14:solidFill>
          </w14:textFill>
        </w:rPr>
        <w:t xml:space="preserve">1.3.6 </w:t>
      </w:r>
      <w:r>
        <w:rPr>
          <w:rFonts w:cs="Times New Roman"/>
          <w:color w:val="000000" w:themeColor="text1"/>
          <w:lang w:bidi="en-US"/>
          <w14:textFill>
            <w14:solidFill>
              <w14:schemeClr w14:val="tx1"/>
            </w14:solidFill>
          </w14:textFill>
        </w:rPr>
        <w:t>与其他法律法规、</w:t>
      </w:r>
      <w:r>
        <w:rPr>
          <w:rFonts w:cs="Times New Roman"/>
          <w:color w:val="000000" w:themeColor="text1"/>
          <w14:textFill>
            <w14:solidFill>
              <w14:schemeClr w14:val="tx1"/>
            </w14:solidFill>
          </w14:textFill>
        </w:rPr>
        <w:t>相关政策及技术规范符合性分析</w:t>
      </w:r>
      <w:bookmarkEnd w:id="53"/>
    </w:p>
    <w:p>
      <w:pPr>
        <w:pStyle w:val="5"/>
        <w:rPr>
          <w:color w:val="000000" w:themeColor="text1"/>
          <w14:textFill>
            <w14:solidFill>
              <w14:schemeClr w14:val="tx1"/>
            </w14:solidFill>
          </w14:textFill>
        </w:rPr>
      </w:pPr>
      <w:r>
        <w:rPr>
          <w:color w:val="000000" w:themeColor="text1"/>
          <w14:textFill>
            <w14:solidFill>
              <w14:schemeClr w14:val="tx1"/>
            </w14:solidFill>
          </w14:textFill>
        </w:rPr>
        <w:t>1.3.6.1《中华人民共和国畜牧法》（2015年修正）</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第三十九条 畜禽养殖场、养殖小区应当具备下列条件：</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（一）有与其饲养规模相适应的生产场所和配套的生产设施；</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（二）有为其服务的畜牧兽医技术人员；</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（三）具备法律、行政法规和国务院畜牧兽医行政主管部门规定的防疫条件；</w:t>
      </w:r>
    </w:p>
    <w:p>
      <w:pPr>
        <w:ind w:firstLine="480"/>
        <w:rPr>
          <w:rFonts w:cs="Times New Roman"/>
          <w:b/>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（四）有对畜禽粪便、废水和其他固体废弃物进行综合利用的沼气池等设施或者其他无害化处理设施；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（五）具备法律、行政法规规定的其他条件。</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第四十条 禁止在下列区域内建设畜禽养殖场、养殖小区：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（一）生活饮用水的水源保护区，风景名胜区，以及自然保护区的核心区和缓冲区；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（二）城镇居民区、文化教育科学研究区等人口集中区域；</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（三）法律、法规规定的其他禁养区域。</w:t>
      </w:r>
    </w:p>
    <w:p>
      <w:pPr>
        <w:ind w:firstLine="482"/>
        <w:rPr>
          <w:rFonts w:cs="Times New Roman"/>
          <w:color w:val="000000" w:themeColor="text1"/>
          <w14:textFill>
            <w14:solidFill>
              <w14:schemeClr w14:val="tx1"/>
            </w14:solidFill>
          </w14:textFill>
        </w:rPr>
      </w:pPr>
      <w:r>
        <w:rPr>
          <w:rFonts w:cs="Times New Roman"/>
          <w:b/>
          <w:color w:val="000000" w:themeColor="text1"/>
          <w14:textFill>
            <w14:solidFill>
              <w14:schemeClr w14:val="tx1"/>
            </w14:solidFill>
          </w14:textFill>
        </w:rPr>
        <w:t>政策符合性分析：</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本项目建设的养猪场占地面积</w:t>
      </w:r>
      <w:r>
        <w:rPr>
          <w:rFonts w:cs="Times New Roman"/>
          <w:bCs/>
          <w:color w:val="000000" w:themeColor="text1"/>
          <w14:textFill>
            <w14:solidFill>
              <w14:schemeClr w14:val="tx1"/>
            </w14:solidFill>
          </w14:textFill>
        </w:rPr>
        <w:t>53019.51 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，约79.53亩。</w:t>
      </w:r>
      <w:r>
        <w:rPr>
          <w:rFonts w:cs="Times New Roman"/>
          <w:color w:val="000000" w:themeColor="text1"/>
          <w:lang w:bidi="en-US"/>
          <w14:textFill>
            <w14:solidFill>
              <w14:schemeClr w14:val="tx1"/>
            </w14:solidFill>
          </w14:textFill>
        </w:rPr>
        <w:t>项目在厂区内分生活管理区、养殖区和治污区。项目医疗防疫工作由当地防疫部门监督执行；项目产生的粪便经固液分离后用于制作有机肥，产生的废水经建设的污水处理设施处理后，用于农田施肥，固液分离出来的猪粪及沼气渣经发酵堆肥后回田。沼气进行经脱硫净化处理后储存于落地储气柜内，之后</w:t>
      </w:r>
      <w:bookmarkStart w:id="54" w:name="_Hlk23883490"/>
      <w:r>
        <w:rPr>
          <w:rFonts w:cs="Times New Roman"/>
          <w:color w:val="000000" w:themeColor="text1"/>
          <w:lang w:bidi="en-US"/>
          <w14:textFill>
            <w14:solidFill>
              <w14:schemeClr w14:val="tx1"/>
            </w14:solidFill>
          </w14:textFill>
        </w:rPr>
        <w:t>用于</w:t>
      </w:r>
      <w:bookmarkEnd w:id="54"/>
      <w:r>
        <w:rPr>
          <w:rFonts w:cs="Times New Roman"/>
          <w:color w:val="000000" w:themeColor="text1"/>
          <w:lang w:bidi="en-US"/>
          <w14:textFill>
            <w14:solidFill>
              <w14:schemeClr w14:val="tx1"/>
            </w14:solidFill>
          </w14:textFill>
        </w:rPr>
        <w:t>发电。因此项目的建设符合《中华人民共和国畜牧法》对畜禽养殖场、养殖小区建设条件的要求。</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本项目不在《中华人民共和国畜牧法》提到的禁养区，符合《中华人民共和国畜牧法》要求。不在生活饮用水的水源保护区，风景名胜区，以及自然保护区的核心区和缓冲区，</w:t>
      </w:r>
      <w:r>
        <w:rPr>
          <w:rFonts w:cs="Times New Roman"/>
          <w:bCs/>
          <w:color w:val="000000" w:themeColor="text1"/>
          <w:lang w:bidi="en-US"/>
          <w14:textFill>
            <w14:solidFill>
              <w14:schemeClr w14:val="tx1"/>
            </w14:solidFill>
          </w14:textFill>
        </w:rPr>
        <w:t>离最近的水源地为</w:t>
      </w:r>
      <w:r>
        <w:rPr>
          <w:rFonts w:cs="Times New Roman"/>
          <w:color w:val="000000" w:themeColor="text1"/>
          <w:lang w:bidi="en-US"/>
          <w14:textFill>
            <w14:solidFill>
              <w14:schemeClr w14:val="tx1"/>
            </w14:solidFill>
          </w14:textFill>
        </w:rPr>
        <w:t>河神庙乡集中供水水源地、丰宜镇集中供水水源地，距其保护区边界分别为9.78 km、9.56 km，不在水源地保护区范围内；厂界距离最近的</w:t>
      </w:r>
      <w:r>
        <w:rPr>
          <w:rFonts w:cs="Times New Roman"/>
          <w:bCs/>
          <w:color w:val="000000" w:themeColor="text1"/>
          <w:kern w:val="24"/>
          <w:szCs w:val="20"/>
          <w14:textFill>
            <w14:solidFill>
              <w14:schemeClr w14:val="tx1"/>
            </w14:solidFill>
          </w14:textFill>
        </w:rPr>
        <w:t>杜村约630 m处</w:t>
      </w:r>
      <w:r>
        <w:rPr>
          <w:rFonts w:cs="Times New Roman"/>
          <w:color w:val="000000" w:themeColor="text1"/>
          <w:lang w:bidi="en-US"/>
          <w14:textFill>
            <w14:solidFill>
              <w14:schemeClr w14:val="tx1"/>
            </w14:solidFill>
          </w14:textFill>
        </w:rPr>
        <w:t>。</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因此根据符合上述要求。</w:t>
      </w:r>
    </w:p>
    <w:p>
      <w:pPr>
        <w:pStyle w:val="5"/>
        <w:rPr>
          <w:color w:val="000000" w:themeColor="text1"/>
          <w14:textFill>
            <w14:solidFill>
              <w14:schemeClr w14:val="tx1"/>
            </w14:solidFill>
          </w14:textFill>
        </w:rPr>
      </w:pPr>
      <w:r>
        <w:rPr>
          <w:color w:val="000000" w:themeColor="text1"/>
          <w14:textFill>
            <w14:solidFill>
              <w14:schemeClr w14:val="tx1"/>
            </w14:solidFill>
          </w14:textFill>
        </w:rPr>
        <w:t>1.3.6.2与《畜禽养殖业污染防治技术规范》（HJ/T81-2001）符合性分析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本项目选址及建设与《畜禽养殖业污染防治技术规范》符合性分析见表1.3-2。</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表1.3-2 《畜禽养殖业污染防治技术规范》符合性分析</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3754"/>
        <w:gridCol w:w="3772"/>
        <w:gridCol w:w="9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76"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101"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要求</w:t>
            </w:r>
          </w:p>
        </w:tc>
        <w:tc>
          <w:tcPr>
            <w:tcW w:w="2111"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512"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6"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4212" w:type="pct"/>
            <w:gridSpan w:val="2"/>
            <w:tcBorders>
              <w:top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禁止在下列区域内建设畜禽养殖场：</w:t>
            </w:r>
          </w:p>
        </w:tc>
        <w:tc>
          <w:tcPr>
            <w:tcW w:w="512" w:type="pct"/>
            <w:tcBorders>
              <w:top w:val="single" w:color="auto" w:sz="12" w:space="0"/>
            </w:tcBorders>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1.1</w:t>
            </w:r>
          </w:p>
        </w:tc>
        <w:tc>
          <w:tcPr>
            <w:tcW w:w="210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生活饮用水水源保护区、风景名胜区、自然保护区的核心区及缓冲区；</w:t>
            </w:r>
          </w:p>
        </w:tc>
        <w:tc>
          <w:tcPr>
            <w:tcW w:w="211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本项目位于屯留区</w:t>
            </w:r>
            <w:r>
              <w:rPr>
                <w:bCs/>
                <w:color w:val="000000" w:themeColor="text1"/>
                <w:kern w:val="24"/>
                <w:szCs w:val="20"/>
                <w14:textFill>
                  <w14:solidFill>
                    <w14:schemeClr w14:val="tx1"/>
                  </w14:solidFill>
                </w14:textFill>
              </w:rPr>
              <w:t>杜村村北约630 m处，不在</w:t>
            </w:r>
            <w:r>
              <w:rPr>
                <w:color w:val="000000" w:themeColor="text1"/>
                <w14:textFill>
                  <w14:solidFill>
                    <w14:schemeClr w14:val="tx1"/>
                  </w14:solidFill>
                </w14:textFill>
              </w:rPr>
              <w:t>生活饮用水水源保护区、风景名胜区、自然保护区的核心区及缓冲区；项目与屯留县水源地相对位置见图4.1-4，项目周边无风景名胜区、自然保护区</w:t>
            </w:r>
            <w:r>
              <w:rPr>
                <w:bCs/>
                <w:color w:val="000000" w:themeColor="text1"/>
                <w14:textFill>
                  <w14:solidFill>
                    <w14:schemeClr w14:val="tx1"/>
                  </w14:solidFill>
                </w14:textFill>
              </w:rPr>
              <w:t>。</w:t>
            </w:r>
          </w:p>
        </w:tc>
        <w:tc>
          <w:tcPr>
            <w:tcW w:w="51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1.2</w:t>
            </w:r>
          </w:p>
        </w:tc>
        <w:tc>
          <w:tcPr>
            <w:tcW w:w="210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城市和城镇居民区，包括文教科研区、医疗区、商业区、工业区、游览区等人口集中地区；</w:t>
            </w:r>
          </w:p>
        </w:tc>
        <w:tc>
          <w:tcPr>
            <w:tcW w:w="2111" w:type="pct"/>
            <w:vAlign w:val="center"/>
          </w:tcPr>
          <w:p>
            <w:pPr>
              <w:pStyle w:val="332"/>
              <w:widowControl w:val="0"/>
              <w:jc w:val="both"/>
              <w:rPr>
                <w:bCs/>
                <w:color w:val="000000" w:themeColor="text1"/>
                <w14:textFill>
                  <w14:solidFill>
                    <w14:schemeClr w14:val="tx1"/>
                  </w14:solidFill>
                </w14:textFill>
              </w:rPr>
            </w:pPr>
            <w:r>
              <w:rPr>
                <w:color w:val="000000" w:themeColor="text1"/>
                <w14:textFill>
                  <w14:solidFill>
                    <w14:schemeClr w14:val="tx1"/>
                  </w14:solidFill>
                </w14:textFill>
              </w:rPr>
              <w:t>本项目选址占用农业设施用地（养殖），周边均为农业生态区域，距离最近居民点为南侧630 m处的杜村，距屯留区建成区约3.7</w:t>
            </w:r>
            <w:r>
              <w:rPr>
                <w:bCs/>
                <w:color w:val="000000" w:themeColor="text1"/>
                <w:kern w:val="24"/>
                <w:szCs w:val="20"/>
                <w14:textFill>
                  <w14:solidFill>
                    <w14:schemeClr w14:val="tx1"/>
                  </w14:solidFill>
                </w14:textFill>
              </w:rPr>
              <w:t xml:space="preserve"> km</w:t>
            </w:r>
            <w:r>
              <w:rPr>
                <w:bCs/>
                <w:color w:val="000000" w:themeColor="text1"/>
                <w14:textFill>
                  <w14:solidFill>
                    <w14:schemeClr w14:val="tx1"/>
                  </w14:solidFill>
                </w14:textFill>
              </w:rPr>
              <w:t>；不属于城市和城镇居民聚</w:t>
            </w:r>
          </w:p>
          <w:p>
            <w:pPr>
              <w:pStyle w:val="332"/>
              <w:widowControl w:val="0"/>
              <w:jc w:val="both"/>
              <w:rPr>
                <w:color w:val="000000" w:themeColor="text1"/>
                <w14:textFill>
                  <w14:solidFill>
                    <w14:schemeClr w14:val="tx1"/>
                  </w14:solidFill>
                </w14:textFill>
              </w:rPr>
            </w:pPr>
            <w:r>
              <w:rPr>
                <w:bCs/>
                <w:color w:val="000000" w:themeColor="text1"/>
                <w14:textFill>
                  <w14:solidFill>
                    <w14:schemeClr w14:val="tx1"/>
                  </w14:solidFill>
                </w14:textFill>
              </w:rPr>
              <w:t>集区。</w:t>
            </w:r>
          </w:p>
        </w:tc>
        <w:tc>
          <w:tcPr>
            <w:tcW w:w="51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1.3</w:t>
            </w:r>
          </w:p>
        </w:tc>
        <w:tc>
          <w:tcPr>
            <w:tcW w:w="210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县级人民政府依法划定的禁养区域；</w:t>
            </w:r>
          </w:p>
        </w:tc>
        <w:tc>
          <w:tcPr>
            <w:tcW w:w="211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本项目不在屯留区畜禽养殖禁养区范围内；屯留区禁养区划分结果见图1.3-5</w:t>
            </w:r>
          </w:p>
        </w:tc>
        <w:tc>
          <w:tcPr>
            <w:tcW w:w="51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1.4</w:t>
            </w:r>
          </w:p>
        </w:tc>
        <w:tc>
          <w:tcPr>
            <w:tcW w:w="210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国家或地方法律、法规规定需要特殊保护的其它区域；</w:t>
            </w:r>
          </w:p>
        </w:tc>
        <w:tc>
          <w:tcPr>
            <w:tcW w:w="211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项目选址不属于国家或地方法律、法规规定需要特殊保护的其它区域，高窑村基本农田保护区见图1.3-6。</w:t>
            </w:r>
          </w:p>
        </w:tc>
        <w:tc>
          <w:tcPr>
            <w:tcW w:w="51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210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新建、改建、扩建的畜禽养殖场选址应避开上述禁建区域，在禁建区域附近建设的，应设在上述禁建区域常年主导风向的下风向或侧风向处，场界与禁建区域边界的最小距离不得小于500 m。</w:t>
            </w:r>
          </w:p>
        </w:tc>
        <w:tc>
          <w:tcPr>
            <w:tcW w:w="211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本项目属于新建项目，选址避开了上述禁建区域。项目选址在上述禁建区域常年主导风向的下风向或侧风向处，场界与上述禁建区域边界最小距离为630 m，均大于500 m要求。</w:t>
            </w:r>
          </w:p>
        </w:tc>
        <w:tc>
          <w:tcPr>
            <w:tcW w:w="51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本项目粪污水处理区位于场地东北侧，距离鸡鸣水河约1.4 km，能满足《畜禽养殖业污染防治技术规范》中规定远离各类功能地表水体400 m的要求；且项目污水经厌氧发酵后产生的沼液全部用于农田灌溉，不外排，初期雨水收集后进入</w:t>
      </w:r>
      <w:r>
        <w:rPr>
          <w:rFonts w:cs="Times New Roman"/>
          <w:color w:val="000000" w:themeColor="text1"/>
          <w:szCs w:val="24"/>
          <w14:textFill>
            <w14:solidFill>
              <w14:schemeClr w14:val="tx1"/>
            </w14:solidFill>
          </w14:textFill>
        </w:rPr>
        <w:t>自建污水处理设施，</w:t>
      </w:r>
      <w:r>
        <w:rPr>
          <w:rFonts w:cs="Times New Roman"/>
          <w:color w:val="000000" w:themeColor="text1"/>
          <w14:textFill>
            <w14:solidFill>
              <w14:schemeClr w14:val="tx1"/>
            </w14:solidFill>
          </w14:textFill>
        </w:rPr>
        <w:t>后期雨水经地势差排出场外，对地表水影响较小。</w:t>
      </w:r>
    </w:p>
    <w:p>
      <w:pPr>
        <w:pStyle w:val="5"/>
        <w:rPr>
          <w:color w:val="000000" w:themeColor="text1"/>
          <w14:textFill>
            <w14:solidFill>
              <w14:schemeClr w14:val="tx1"/>
            </w14:solidFill>
          </w14:textFill>
        </w:rPr>
      </w:pPr>
      <w:r>
        <w:rPr>
          <w:color w:val="000000" w:themeColor="text1"/>
          <w14:textFill>
            <w14:solidFill>
              <w14:schemeClr w14:val="tx1"/>
            </w14:solidFill>
          </w14:textFill>
        </w:rPr>
        <w:t>1.3.6.3与《畜禽养殖业污染治理工程技术规范》（HJ 497-2009）符合性分析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本项目污染治理工程选址与《畜禽养殖业污染防治技术规范》（HJ497-2009）符合性分析见表1.3-3。</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表1.3-3 《畜禽养殖业污染治理工程技术规范》符合性分析</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3935"/>
        <w:gridCol w:w="3381"/>
        <w:gridCol w:w="9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99"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2202"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HJ497-2009要求</w:t>
            </w:r>
          </w:p>
        </w:tc>
        <w:tc>
          <w:tcPr>
            <w:tcW w:w="1892"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50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总平</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面布</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置</w:t>
            </w:r>
          </w:p>
        </w:tc>
        <w:tc>
          <w:tcPr>
            <w:tcW w:w="2202" w:type="pct"/>
            <w:tcBorders>
              <w:top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平面布置应以污水处理系统、固体粪便处理系统、恶臭集中处理系统为主体，其他各项设施应按粪污处理流程合理安排，确保相关设备充分发挥功能，保证设施运行稳定、维修方便、经济合理、安全卫生。</w:t>
            </w:r>
          </w:p>
        </w:tc>
        <w:tc>
          <w:tcPr>
            <w:tcW w:w="1892" w:type="pct"/>
            <w:tcBorders>
              <w:top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本项目污染治理工程以黑膜沼气池（厌氧塘）、固体粪便处理系统为主体，其他各项设施按粪污处理流程合理安排。</w:t>
            </w:r>
          </w:p>
        </w:tc>
        <w:tc>
          <w:tcPr>
            <w:tcW w:w="507"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选址</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要求</w:t>
            </w:r>
          </w:p>
        </w:tc>
        <w:tc>
          <w:tcPr>
            <w:tcW w:w="2202" w:type="pct"/>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畜禽养殖业污染治理工程应与养殖场生产区、居民区等建筑保持一定的卫生防护距离，设置在畜禽养殖场的生产区、生活区主导风向的下风向或侧风向处。</w:t>
            </w:r>
          </w:p>
        </w:tc>
        <w:tc>
          <w:tcPr>
            <w:tcW w:w="1892"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本项目生活区、养殖区、粪污治理区“三区”分离，粪污治理区位于生产及生活区侧风向；养殖区距离最近的杜村630 m，且位于其侧风向，对杜村影响不大。</w:t>
            </w:r>
          </w:p>
        </w:tc>
        <w:tc>
          <w:tcPr>
            <w:tcW w:w="50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vMerge w:val="continue"/>
            <w:vAlign w:val="center"/>
          </w:tcPr>
          <w:p>
            <w:pPr>
              <w:pStyle w:val="332"/>
              <w:widowControl w:val="0"/>
              <w:rPr>
                <w:color w:val="000000" w:themeColor="text1"/>
                <w14:textFill>
                  <w14:solidFill>
                    <w14:schemeClr w14:val="tx1"/>
                  </w14:solidFill>
                </w14:textFill>
              </w:rPr>
            </w:pPr>
          </w:p>
        </w:tc>
        <w:tc>
          <w:tcPr>
            <w:tcW w:w="2202" w:type="pct"/>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畜禽养殖业污染治理工程的位置应有利于排放、资源化利用和运输，并留有扩建的余地，方便施工、运行和维护。</w:t>
            </w:r>
          </w:p>
        </w:tc>
        <w:tc>
          <w:tcPr>
            <w:tcW w:w="1892"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项目粪污治理区位于养殖区东北侧，且有场内道路相连，运输方便；场区四周为农田及荒地，可以用于污水厌氧发酵后的沼液消纳，实现资源化利用；场地留有扩建的余地，方便施工、运行和维护。</w:t>
            </w:r>
          </w:p>
        </w:tc>
        <w:tc>
          <w:tcPr>
            <w:tcW w:w="50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vMerge w:val="continue"/>
            <w:vAlign w:val="center"/>
          </w:tcPr>
          <w:p>
            <w:pPr>
              <w:pStyle w:val="332"/>
              <w:widowControl w:val="0"/>
              <w:rPr>
                <w:color w:val="000000" w:themeColor="text1"/>
                <w14:textFill>
                  <w14:solidFill>
                    <w14:schemeClr w14:val="tx1"/>
                  </w14:solidFill>
                </w14:textFill>
              </w:rPr>
            </w:pPr>
          </w:p>
        </w:tc>
        <w:tc>
          <w:tcPr>
            <w:tcW w:w="2202" w:type="pct"/>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畜禽养殖业污染治理工程选址的其他要求参照CJJ 64-1995第2章、GB50014-2006第5章的有关规定执行。</w:t>
            </w:r>
          </w:p>
        </w:tc>
        <w:tc>
          <w:tcPr>
            <w:tcW w:w="1892" w:type="pct"/>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在满足上述选址条件的基础上，项目粪污处理区选址满足CJJ 64-1995第2.1章有良好工程地质条件和排水条件、不涉拆迁等相关要求；满足GB50014-2006污水处理区位于主导风向下风向，对周围居民点环境影响最小的相关要求。</w:t>
            </w:r>
          </w:p>
        </w:tc>
        <w:tc>
          <w:tcPr>
            <w:tcW w:w="50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工艺</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选择</w:t>
            </w:r>
          </w:p>
        </w:tc>
        <w:tc>
          <w:tcPr>
            <w:tcW w:w="2202" w:type="pct"/>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新建、改建、扩建的畜禽养殖场宜采用干清粪工艺。现有采用水冲粪、水泡粪清粪工艺的养殖场，应逐步改为干清粪工艺；畜禽粪污应日产日清。畜禽养殖场应建立排水系统，并实行雨污分流。</w:t>
            </w:r>
          </w:p>
        </w:tc>
        <w:tc>
          <w:tcPr>
            <w:tcW w:w="1892"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本项目采用干清粪工艺，猪粪日产日清。场区建立排水系统，雨污分流。</w:t>
            </w:r>
          </w:p>
        </w:tc>
        <w:tc>
          <w:tcPr>
            <w:tcW w:w="50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vMerge w:val="continue"/>
            <w:vAlign w:val="center"/>
          </w:tcPr>
          <w:p>
            <w:pPr>
              <w:pStyle w:val="332"/>
              <w:widowControl w:val="0"/>
              <w:rPr>
                <w:color w:val="000000" w:themeColor="text1"/>
                <w14:textFill>
                  <w14:solidFill>
                    <w14:schemeClr w14:val="tx1"/>
                  </w14:solidFill>
                </w14:textFill>
              </w:rPr>
            </w:pPr>
          </w:p>
        </w:tc>
        <w:tc>
          <w:tcPr>
            <w:tcW w:w="2202"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选用粪污处理工艺时，应根据养殖场的养殖种类、养殖规模、粪污收集方式、当地的自然地理环境条件以及排水去向等因素确定工艺路线及处理目标，并应充分考虑畜禽养殖废水的特殊性，在实现综合利用或达标排放的情况下，优先选择低运行成本的处理工艺；应慎重选用物化处理工艺；采用模式Ⅰ或模式Ⅱ处理工艺的，养殖场应位于非环境敏感区，周围的环境容量大，远离城市，有能源需求，周边有足够土地能够消纳全部的沼液、沼渣；干清粪工艺的养殖场，不宜采用模式Ⅰ处理工艺，固体粪便宜采用好氧堆肥等技术单独进行无害化处理；当采用干清粪工艺时，清粪比例宜控制在70%。</w:t>
            </w:r>
          </w:p>
        </w:tc>
        <w:tc>
          <w:tcPr>
            <w:tcW w:w="1892"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项目采用干清粪工艺，清粪比例大于70%，项目猪粪送有机肥粪棚进行好氧堆肥。周边农田可消纳项目产生的全部沼液。</w:t>
            </w:r>
          </w:p>
        </w:tc>
        <w:tc>
          <w:tcPr>
            <w:tcW w:w="50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1.3.6.4与《畜禽养殖业污染防治技术政策》（环发[2010]151号）符合性分析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本项目与《畜禽养殖业污染防治技术政策》（环发[2010]151号）相符性分析见表1.3-4。</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表1.3-4 《畜禽养殖业污染防治技术政策》符合性分析</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4301"/>
        <w:gridCol w:w="3352"/>
        <w:gridCol w:w="7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7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40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要求</w:t>
            </w:r>
          </w:p>
        </w:tc>
        <w:tc>
          <w:tcPr>
            <w:tcW w:w="1876"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本项目情况</w:t>
            </w:r>
          </w:p>
        </w:tc>
        <w:tc>
          <w:tcPr>
            <w:tcW w:w="440"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一、畜禽养殖污染防治应遵循的技术原则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2407" w:type="pct"/>
            <w:tcBorders>
              <w:top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全面规划、合理布局，贯彻执行当地人民政府颁布的畜禽养殖区划，严格遵守“禁养区”和“限养区”的规定，已有的畜禽养殖场（小区）应限期搬迁；结合当地城乡总体规划、环境保护规划和畜牧业发展规划，做好畜禽养殖污染防治规划，优化规模化畜禽养殖场（小区）及其污染防治设施的布局，避开饮用水水源地等环境敏感区域。</w:t>
            </w:r>
          </w:p>
        </w:tc>
        <w:tc>
          <w:tcPr>
            <w:tcW w:w="1876" w:type="pct"/>
            <w:tcBorders>
              <w:top w:val="single" w:color="auto" w:sz="12" w:space="0"/>
            </w:tcBorders>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本项目选址不处于饮用水水源地等环境敏感区域，不在禁养区范围内，符合当地规划。</w:t>
            </w:r>
          </w:p>
        </w:tc>
        <w:tc>
          <w:tcPr>
            <w:tcW w:w="440"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2407"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发展清洁养殖，重视圈舍结构、粪污清理、饲料配比等环节的环境保护要求；注重在养殖过程中降低资源耗损和污染负荷，实现源头减排；提高末端治理效率，实现稳定达标排放和“近零排放”。</w:t>
            </w:r>
          </w:p>
        </w:tc>
        <w:tc>
          <w:tcPr>
            <w:tcW w:w="1876"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本项目采用干清粪清洁养殖工艺，采购成品饲料，采用自动投料设施，注重在养殖过程中降低资源耗损，同时采用成熟的工艺进行废水处理，废水经处理后作农肥还田。</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2407"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鼓励畜禽养殖规模化和粪污利用大型化和专业化，发展适合不同养殖规模和养殖形式的畜禽养殖废弃物无害化处理模式和资源化综合利用模式，污染防治措施应优先考虑资源化综合利用。</w:t>
            </w:r>
          </w:p>
        </w:tc>
        <w:tc>
          <w:tcPr>
            <w:tcW w:w="1876"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本项目猪粪进行好氧堆肥后，采取的猪粪污染防治措施优先考虑了资源化综合利用。</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2407"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种、养结合，发展生态农业，充分考虑农田土壤消纳能力和区域环境容量要求，确保畜禽养殖废弃物有效还田利用，防止二次污染。</w:t>
            </w:r>
          </w:p>
        </w:tc>
        <w:tc>
          <w:tcPr>
            <w:tcW w:w="1876"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本项目沼液全部还田，实现了生态种、养结合。</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2407"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严格环境监管，强化畜禽养殖项目建设的环境影响评价、“三同时”、环保验收、日常执法监督和例行监测等环境管理环节，完善设施建设与运行管理体系；强化农田土壤的环境安全，防止以“农田利用”为名变相排放污染物。</w:t>
            </w:r>
          </w:p>
        </w:tc>
        <w:tc>
          <w:tcPr>
            <w:tcW w:w="1876"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已委托山西博清环境科技有限公司进行环境影响评价工作；建设单位承诺在项目建设和运行中严格落实环境影响报告书中要求的“三同时”制度；待环评完成后，按要求进行建设，建成后按规定的程序和标准进行环保验收，设专门环境管理人员，监测计划按照本报告8.2章节监测计划执行；设置完善的设施建设与运行管理体系。</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二、清洁养殖与废弃物收集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2407"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畜禽养殖应严格执行有关国家标准，切实控制饲料组分中重金属、抗生素、生长激素等物质的添加量，保障畜禽养殖废弃物资源化综合利用的环境安全。</w:t>
            </w:r>
          </w:p>
        </w:tc>
        <w:tc>
          <w:tcPr>
            <w:tcW w:w="1876"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项目使用饲料均由双胞胎集团股份有限公司提供，严格执行《饲料卫生标准》（GB13078-2001）及《饲料添加剂安全使用规范》（农业部1224），公司有专门机构负责饲料安全性检测，保障畜禽养殖废弃物资源化综合利用的环境安全</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2407"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规模化畜禽养殖场排放的粪污应实行固液分离，粪便应与废水分开处理和处置；应逐步推行干清粪方式，最大限度地减少废水的产生和排放，降低废水的污染负荷。</w:t>
            </w:r>
          </w:p>
        </w:tc>
        <w:tc>
          <w:tcPr>
            <w:tcW w:w="1876"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采用漏缝地板+干清粪工艺，属于环保部认定的干清粪工艺，粪污经固液分离后，废水进入场内粪污处理区处理，固体粪便在有机肥粪棚进行好氧发酵。</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2407"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畜禽养殖宜推广可吸附粪污、利于干式清理和综合利用的畜禽养殖废弃物收集技术，因地制宜地利用农业废弃物（如麦壳、稻壳、谷糠、秸秆、锯末、灰土等）作为圈、舍垫料，或采用符合动物防疫要求的生物发酵床垫料。</w:t>
            </w:r>
          </w:p>
        </w:tc>
        <w:tc>
          <w:tcPr>
            <w:tcW w:w="1876"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本项目采用漏缝地板+干清粪工艺，符合相关要求。</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2407"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不适合敷设垫料的畜禽养殖圈、舍，宜采用漏缝地板和粪、尿分离排放的圈舍结构，以利于畜禽粪污的固液分离与干式清除。尚无法实现干清粪的畜禽养殖圈、舍，宜采用旋转筛网对粪污进行预处理。</w:t>
            </w:r>
          </w:p>
        </w:tc>
        <w:tc>
          <w:tcPr>
            <w:tcW w:w="1876" w:type="pct"/>
            <w:vAlign w:val="center"/>
          </w:tcPr>
          <w:p>
            <w:pPr>
              <w:pStyle w:val="332"/>
              <w:widowControl w:val="0"/>
              <w:jc w:val="both"/>
              <w:rPr>
                <w:color w:val="000000" w:themeColor="text1"/>
                <w14:textFill>
                  <w14:solidFill>
                    <w14:schemeClr w14:val="tx1"/>
                  </w14:solidFill>
                </w14:textFill>
              </w:rPr>
            </w:pPr>
            <w:r>
              <w:rPr>
                <w:color w:val="000000" w:themeColor="text1"/>
                <w:kern w:val="0"/>
                <w:szCs w:val="21"/>
                <w14:textFill>
                  <w14:solidFill>
                    <w14:schemeClr w14:val="tx1"/>
                  </w14:solidFill>
                </w14:textFill>
              </w:rPr>
              <w:t>本项目采用漏缝地板+干清粪工艺，符合相关要求。</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2407"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畜禽粪便、垫料等畜禽养殖废弃物应定期清运，外运畜禽养殖废弃物的贮存、运输器具应采取可靠的密闭、防泄漏等卫生、环保措施；临时储存畜禽养殖废弃物，应设置专用堆场，周边应设置围挡，具有可靠的防渗、防漏、防冲刷、防流失等功能。</w:t>
            </w:r>
          </w:p>
        </w:tc>
        <w:tc>
          <w:tcPr>
            <w:tcW w:w="1876"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本项目采用漏缝地板+干清粪工艺，属于干清粪工艺。猪粪与冲洗废水经固液分离后，运至有机肥粪棚，进行好氧堆肥。固粪处理区设置顶棚，三面设置1 m高围墙，人工喷洒除臭剂。</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pPr>
              <w:autoSpaceDE w:val="0"/>
              <w:autoSpaceDN w:val="0"/>
              <w:adjustRightInd w:val="0"/>
              <w:spacing w:line="240" w:lineRule="auto"/>
              <w:ind w:firstLine="0" w:firstLineChars="0"/>
              <w:jc w:val="center"/>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三、废弃物无害化处理与综合利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2407" w:type="pct"/>
            <w:vAlign w:val="center"/>
          </w:tcPr>
          <w:p>
            <w:pPr>
              <w:autoSpaceDE w:val="0"/>
              <w:autoSpaceDN w:val="0"/>
              <w:adjustRightInd w:val="0"/>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应根据养殖种类、养殖规模、粪污收集方式、当地的自然地理环境条件以及废水排放去向等因素，确定畜禽养殖废弃物无害化处理与资源化综合利用模式，并择优选用低成本的处理处置技术。</w:t>
            </w:r>
          </w:p>
        </w:tc>
        <w:tc>
          <w:tcPr>
            <w:tcW w:w="1876" w:type="pct"/>
            <w:vAlign w:val="center"/>
          </w:tcPr>
          <w:p>
            <w:pPr>
              <w:autoSpaceDE w:val="0"/>
              <w:autoSpaceDN w:val="0"/>
              <w:adjustRightInd w:val="0"/>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本项目采用干清粪工艺，废水经场内粪污处理区处理后，沼液全部还田。猪粪采用好氧堆肥法，实现了废弃物的无害化处理及资源综合利用模式。</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2407" w:type="pct"/>
            <w:vAlign w:val="center"/>
          </w:tcPr>
          <w:p>
            <w:pPr>
              <w:autoSpaceDE w:val="0"/>
              <w:autoSpaceDN w:val="0"/>
              <w:adjustRightInd w:val="0"/>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鼓励发展专业化集中式畜禽养殖废弃物无害化处理模式，实现畜禽养殖废弃物的社会化集中处理与规模化利用。鼓励畜禽养殖废弃物的能源化利用和肥料化利用。</w:t>
            </w:r>
          </w:p>
        </w:tc>
        <w:tc>
          <w:tcPr>
            <w:tcW w:w="1876" w:type="pct"/>
            <w:vAlign w:val="center"/>
          </w:tcPr>
          <w:p>
            <w:pPr>
              <w:autoSpaceDE w:val="0"/>
              <w:autoSpaceDN w:val="0"/>
              <w:adjustRightInd w:val="0"/>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本项目病死猪、母猪胎盘由自建的无害化处理车间处理，固体残余物、沼渣、猪粪经好氧堆肥产生有机肥，废水由“预处理+黑膜沼气池”厌氧发酵后产生沼气、沼液，沼液全部用于周边农田施肥，沼气发电；</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2407" w:type="pct"/>
            <w:vAlign w:val="center"/>
          </w:tcPr>
          <w:p>
            <w:pPr>
              <w:autoSpaceDE w:val="0"/>
              <w:autoSpaceDN w:val="0"/>
              <w:adjustRightInd w:val="0"/>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大型规模化畜禽养殖场和集中式畜禽养殖废弃物处理处置工厂宜采用“厌氧发酵—（发酵后固体物）好氧堆肥工艺”和“高温好氧堆肥工艺”回收沼气能源或生产高肥效、高附加值复合有机肥。</w:t>
            </w:r>
          </w:p>
        </w:tc>
        <w:tc>
          <w:tcPr>
            <w:tcW w:w="1876" w:type="pct"/>
            <w:vAlign w:val="center"/>
          </w:tcPr>
          <w:p>
            <w:pPr>
              <w:autoSpaceDE w:val="0"/>
              <w:autoSpaceDN w:val="0"/>
              <w:adjustRightInd w:val="0"/>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本项目猪粪采用好氧堆肥工艺对猪粪进行无害化处理，实现猪粪肥料化利用。</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2407" w:type="pct"/>
            <w:vAlign w:val="center"/>
          </w:tcPr>
          <w:p>
            <w:pPr>
              <w:autoSpaceDE w:val="0"/>
              <w:autoSpaceDN w:val="0"/>
              <w:adjustRightInd w:val="0"/>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厌氧发酵产生的沼气应进行收集，并根据利用途径进行脱水、脱硫、脱碳等净化处理。沼气宜作为燃料直接利用，达到一定规模的可发展瓶装燃气，有条件的应采取发电方式间接利用，并优先满足养殖场内及场区周边区域的用电需要，沼气产生量达到足够规模的，应优先采取热电联供方式进行沼气发电并并入电网。</w:t>
            </w:r>
          </w:p>
        </w:tc>
        <w:tc>
          <w:tcPr>
            <w:tcW w:w="1876" w:type="pct"/>
            <w:vAlign w:val="center"/>
          </w:tcPr>
          <w:p>
            <w:pPr>
              <w:autoSpaceDE w:val="0"/>
              <w:autoSpaceDN w:val="0"/>
              <w:adjustRightInd w:val="0"/>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本项目厌氧发酵产生的沼气收集脱硫净化后，送沼气发电机用于发电。</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2407" w:type="pct"/>
            <w:vAlign w:val="center"/>
          </w:tcPr>
          <w:p>
            <w:pPr>
              <w:autoSpaceDE w:val="0"/>
              <w:autoSpaceDN w:val="0"/>
              <w:adjustRightInd w:val="0"/>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厌氧发酵产生的底物宜采取压榨、过滤等方式进行固液分离，沼渣和沼液应进一步加工成复合有机肥进行利用。或按照种养结合要求，充分利用规模化畜禽养殖场（小区）周边的农田、山林、草场和果园，就地消纳沼液、沼渣。</w:t>
            </w:r>
          </w:p>
        </w:tc>
        <w:tc>
          <w:tcPr>
            <w:tcW w:w="1876" w:type="pct"/>
            <w:vAlign w:val="center"/>
          </w:tcPr>
          <w:p>
            <w:pPr>
              <w:autoSpaceDE w:val="0"/>
              <w:autoSpaceDN w:val="0"/>
              <w:adjustRightInd w:val="0"/>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本项目厌氧发酵产生的沼渣运至有机肥粪棚进行好氧堆肥。周边农田可完全消纳本项目产生的沼液。</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w:t>
            </w:r>
          </w:p>
        </w:tc>
        <w:tc>
          <w:tcPr>
            <w:tcW w:w="2407" w:type="pct"/>
            <w:vAlign w:val="center"/>
          </w:tcPr>
          <w:p>
            <w:pPr>
              <w:autoSpaceDE w:val="0"/>
              <w:autoSpaceDN w:val="0"/>
              <w:adjustRightInd w:val="0"/>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中小型规模化畜禽养殖场（小区）宜采用相对集中的方式处理畜禽养殖废弃物。宜采用“高温好氧堆肥工艺”或“生物发酵工艺”生产有机肥，或采用“厌氧发酵工艺”生产沼气，并做到产用平衡。</w:t>
            </w:r>
          </w:p>
        </w:tc>
        <w:tc>
          <w:tcPr>
            <w:tcW w:w="1876" w:type="pct"/>
            <w:vAlign w:val="center"/>
          </w:tcPr>
          <w:p>
            <w:pPr>
              <w:autoSpaceDE w:val="0"/>
              <w:autoSpaceDN w:val="0"/>
              <w:adjustRightInd w:val="0"/>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本项目采用“厌氧发酵工艺”生产沼气，高温好氧堆肥处理猪粪、沼渣。沼气全部用于沼气发电。</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7</w:t>
            </w:r>
          </w:p>
        </w:tc>
        <w:tc>
          <w:tcPr>
            <w:tcW w:w="2407" w:type="pct"/>
            <w:vAlign w:val="center"/>
          </w:tcPr>
          <w:p>
            <w:pPr>
              <w:autoSpaceDE w:val="0"/>
              <w:autoSpaceDN w:val="0"/>
              <w:adjustRightInd w:val="0"/>
              <w:spacing w:line="240" w:lineRule="auto"/>
              <w:ind w:firstLine="0" w:firstLineChars="0"/>
              <w:jc w:val="left"/>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畜禽尸体应按照有关卫生防疫规定单独进行妥善处置。染疫畜禽及其排泄物、染疫畜禽产品，病死或者死因不明的畜禽尸体等污染物，应就地进行无害化处理。</w:t>
            </w:r>
          </w:p>
        </w:tc>
        <w:tc>
          <w:tcPr>
            <w:tcW w:w="1876" w:type="pct"/>
            <w:vAlign w:val="center"/>
          </w:tcPr>
          <w:p>
            <w:pPr>
              <w:autoSpaceDE w:val="0"/>
              <w:autoSpaceDN w:val="0"/>
              <w:adjustRightInd w:val="0"/>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本项目产生的病死猪进行无害化处理。</w:t>
            </w:r>
          </w:p>
        </w:tc>
        <w:tc>
          <w:tcPr>
            <w:tcW w:w="44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bl>
    <w:p>
      <w:pPr>
        <w:pStyle w:val="5"/>
        <w:rPr>
          <w:color w:val="000000" w:themeColor="text1"/>
          <w14:textFill>
            <w14:solidFill>
              <w14:schemeClr w14:val="tx1"/>
            </w14:solidFill>
          </w14:textFill>
        </w:rPr>
      </w:pPr>
      <w:bookmarkStart w:id="55" w:name="_Toc52791819"/>
      <w:bookmarkStart w:id="56" w:name="_Toc58362718"/>
      <w:bookmarkStart w:id="57" w:name="_Toc47619102"/>
      <w:bookmarkStart w:id="58" w:name="_Toc47619764"/>
      <w:bookmarkStart w:id="59" w:name="_Toc47619950"/>
      <w:r>
        <w:rPr>
          <w:color w:val="000000" w:themeColor="text1"/>
          <w14:textFill>
            <w14:solidFill>
              <w14:schemeClr w14:val="tx1"/>
            </w14:solidFill>
          </w14:textFill>
        </w:rPr>
        <w:t>1.3.6.5与《国务院办公厅关于加快推进畜禽养殖废物资源化利用的意见》（国办发[2017]48号）符合性分析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本项目与《国务院办公厅关于加快推进畜禽养殖废物资源化利用的意见》（国办发[2017]48号）符合性分析见表1.3-5。</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表1.3-5 《国务院办公厅关于加快推进畜禽养殖废物资源化利用的意见》符合性分析</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3763"/>
        <w:gridCol w:w="3746"/>
        <w:gridCol w:w="9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76"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106"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相关规定</w:t>
            </w:r>
          </w:p>
        </w:tc>
        <w:tc>
          <w:tcPr>
            <w:tcW w:w="2096"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本项目建设情况</w:t>
            </w:r>
          </w:p>
        </w:tc>
        <w:tc>
          <w:tcPr>
            <w:tcW w:w="522"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6"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2106" w:type="pct"/>
            <w:tcBorders>
              <w:top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坚持源头减量、过程控制、末端利用的治理路径，以畜牧大县和规模养殖场为重点，以沼气和生物天然气为主要处理方向，以农用有机肥和农村能源为主要利用方向”，“全面推进畜禽养殖废弃物资源化利用，加快构建种养结合、农牧循环的可持续发展新格局”。</w:t>
            </w:r>
          </w:p>
        </w:tc>
        <w:tc>
          <w:tcPr>
            <w:tcW w:w="2096" w:type="pct"/>
            <w:tcBorders>
              <w:top w:val="single" w:color="auto" w:sz="12" w:space="0"/>
            </w:tcBorders>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本项目严格控制用水量，并采用干清粪工艺，科学控制饲料喂食量，猪粪和沼渣进行好氧堆肥处理，沼液用于农田施肥，沼气用于发电，实现源头减量、过程控制、末端利用。</w:t>
            </w:r>
          </w:p>
        </w:tc>
        <w:tc>
          <w:tcPr>
            <w:tcW w:w="522"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2106"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基本原则“因地制宜，多元利用。根据不同区域、不同畜种、不同规模，以肥料化利用为基础，采取经济高效适用的处理模式，宜肥则肥，宜气则气，宜电则电，实现粪污就地就近利用。”“政府引导，市场运作。建立企业投入为主、政府适当支持、社会资本积极参与的运营机制。完善以绿色生态为导向的农业补贴制度，充分发挥市场配置资源的决定性作用，引导和鼓励社会资本投入，培育发展畜禽养殖废弃物资源化利用产业。”</w:t>
            </w:r>
          </w:p>
        </w:tc>
        <w:tc>
          <w:tcPr>
            <w:tcW w:w="2096"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本项目猪粪进行好氧堆肥，沼液作为农肥就近还田。废水处理采用“预处理+厌氧发酵”工艺，产生的沼气用于发电。本项目实现畜禽养殖废弃物资化利用。</w:t>
            </w:r>
          </w:p>
        </w:tc>
        <w:tc>
          <w:tcPr>
            <w:tcW w:w="52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2106"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严格落实畜禽规模养殖环评制度。新建或改扩建畜禽规模养殖场，应突出养分综合利用，配套与养殖规模和处理工艺相适应的粪污消纳用地，配备必要的粪污收集、贮存、处理、利用设施，依法进行环境影响评价。</w:t>
            </w:r>
          </w:p>
        </w:tc>
        <w:tc>
          <w:tcPr>
            <w:tcW w:w="2096"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为新建项目，严格落实畜禽规模养殖环评制度，采用环保部认定的干清粪工艺，粪便、沼渣运至有机肥粪棚进行好氧堆肥，液体经厌氧发酵处理后，沼气用于发电，沼液利用周边农田就地消纳。粪污得到综合利用，有配套粪污消纳用地，配备有必要的粪污收集、贮存、处理设施。</w:t>
            </w:r>
          </w:p>
        </w:tc>
        <w:tc>
          <w:tcPr>
            <w:tcW w:w="52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2106"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构建种养循环发展机制。通过支持在田间地头配套建设管网和储粪（液）池等方式，解决粪肥还田“最后一公里”问题。鼓励沼液和经无害化处理的畜禽养殖废水作为肥料科学还田利用。加强粪肥还田技术指导，确保科学合理施用。</w:t>
            </w:r>
          </w:p>
        </w:tc>
        <w:tc>
          <w:tcPr>
            <w:tcW w:w="2096"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本项目所产沼液由沼液管网输送至消纳农田。同时企业配备专业技术人员指导农户科学合理施肥。</w:t>
            </w:r>
          </w:p>
        </w:tc>
        <w:tc>
          <w:tcPr>
            <w:tcW w:w="52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bookmarkEnd w:id="55"/>
      <w:bookmarkEnd w:id="56"/>
      <w:bookmarkEnd w:id="57"/>
      <w:bookmarkEnd w:id="58"/>
      <w:bookmarkEnd w:id="59"/>
    </w:tbl>
    <w:p>
      <w:pPr>
        <w:pStyle w:val="5"/>
        <w:rPr>
          <w:color w:val="000000" w:themeColor="text1"/>
          <w14:textFill>
            <w14:solidFill>
              <w14:schemeClr w14:val="tx1"/>
            </w14:solidFill>
          </w14:textFill>
        </w:rPr>
      </w:pPr>
      <w:bookmarkStart w:id="60" w:name="_Toc58362719"/>
      <w:bookmarkStart w:id="61" w:name="_Toc47619765"/>
      <w:bookmarkStart w:id="62" w:name="_Toc47619951"/>
      <w:bookmarkStart w:id="63" w:name="_Toc47619103"/>
      <w:bookmarkStart w:id="64" w:name="_Toc52791820"/>
      <w:r>
        <w:rPr>
          <w:color w:val="000000" w:themeColor="text1"/>
          <w14:textFill>
            <w14:solidFill>
              <w14:schemeClr w14:val="tx1"/>
            </w14:solidFill>
          </w14:textFill>
        </w:rPr>
        <w:t>1.3.6.6与《关于做好畜禽规模养殖项目环境影响评价管理工作的通知》环办环评[2018]31号</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1、优化项目选址，合理布置养殖场区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根据上述符合性分析，本项目养殖场选址不在屯留区划定的禁养区域范围内，且与区域主体功能区规划、环境功能区划、城市规划、畜禽养殖污染防治规划等相协调。</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结合环境保护要求合理布置养殖场区，根据区域常年风玫瑰图，屯留区主导风向为西-西北风，本项目养殖区及粪污贮存、处理和无害化处理等产生恶臭影响的设施位于主导风向的下风向位置，满足相关技术规范要求；采用导则推荐的大气环境防护距离模式，本项目无需设置大气环境防护距离，严格落实环评要求的各项环境防控措施后，对周围环境保护目标影响较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2、加强粪污减量控制，促进畜禽养殖粪污资源化利用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本项目饲料中加入EM菌，采用节水型饮水器、全漏缝地板，采用环保部认定的干清粪工艺，场区采取雨污分流措施，以防止雨水进入粪污收集系统。</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粪污水经“固液分离+厌氧处理+沼液暂存+沼液返田”工艺处理，处理过程产生的沼气经净化后作沼气发电，沼液因地制宜，就近利用周围农田进行消纳，根据土地承载能力及养殖场规模，丰宜镇牛角川村可提供约650亩农田作为本项目的消纳农田，可满足粪污消纳面积要求；消纳农田设沼液输送管网；同时粪便、沼渣进行好氧堆肥处理，肥料可用于农田施肥，实现“种养结合”绿色发展。</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3、强化粪污治理措施，做好污染防治</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根据《畜禽养殖业污染防治技术规范》（HJ/T81-2001），结合养殖场规模及特点，配套建设总容积5000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的黑膜沼气池（黑膜厌氧发酵塘）和总容积11170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的沼液储存池，严格做好防雨、防渗、防溢流措施，容积满足技术规范相关要求；粪便、沼渣运至有机肥粪棚进行堆肥处理，严格做好防渗、防风、防雨措施；沼气净化后作沼气发电，同时对沼气进行了环境风险评价；项目沼液用于周围农田施肥，严格控制和管理沼液输送及农田消纳灌溉，并设监控井进行长期观测，以防二次污染；</w:t>
      </w:r>
      <w:r>
        <w:rPr>
          <w:rFonts w:cs="Times New Roman"/>
          <w:color w:val="000000" w:themeColor="text1"/>
          <w:lang w:bidi="en-US"/>
          <w14:textFill>
            <w14:solidFill>
              <w14:schemeClr w14:val="tx1"/>
            </w14:solidFill>
          </w14:textFill>
        </w:rPr>
        <w:t>病死猪及母猪胎盘等由自建无害化车间采用 “分切、绞碎、发酵、杀菌、干燥”等工序的一体化设备处理后作有机肥料，其处理设备及工艺已经农业部农业机械化技术开发推广总站进行推广及验证，不违背相关技术规范要求；</w:t>
      </w:r>
      <w:r>
        <w:rPr>
          <w:rFonts w:cs="Times New Roman"/>
          <w:color w:val="000000" w:themeColor="text1"/>
          <w14:textFill>
            <w14:solidFill>
              <w14:schemeClr w14:val="tx1"/>
            </w14:solidFill>
          </w14:textFill>
        </w:rPr>
        <w:t>育肥舍、粪污治理区等经控制饲料密度、改善舍内通风、喷洒除臭剂、绿化等处理后，可保证恶臭污染物达标排放。</w:t>
      </w:r>
    </w:p>
    <w:p>
      <w:pPr>
        <w:pStyle w:val="5"/>
        <w:rPr>
          <w:color w:val="000000" w:themeColor="text1"/>
          <w14:textFill>
            <w14:solidFill>
              <w14:schemeClr w14:val="tx1"/>
            </w14:solidFill>
          </w14:textFill>
        </w:rPr>
      </w:pPr>
      <w:r>
        <w:rPr>
          <w:color w:val="000000" w:themeColor="text1"/>
          <w14:textFill>
            <w14:solidFill>
              <w14:schemeClr w14:val="tx1"/>
            </w14:solidFill>
          </w14:textFill>
        </w:rPr>
        <w:t>1.3.6.7与《山西省生态环境厅关于贯彻落实&lt;关于做好畜禽养殖规模养殖项目环境影响评价管理工作的通知关于做好畜禽养殖规模养殖项目环境影响评价管理工作的通知&gt;》（晋环环评函[2018]34号）符合性分析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1、做好选址布局工作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本项目场址位于屯留区</w:t>
      </w:r>
      <w:r>
        <w:rPr>
          <w:rFonts w:cs="Times New Roman"/>
          <w:bCs/>
          <w:color w:val="000000" w:themeColor="text1"/>
          <w:kern w:val="24"/>
          <w:szCs w:val="20"/>
          <w14:textFill>
            <w14:solidFill>
              <w14:schemeClr w14:val="tx1"/>
            </w14:solidFill>
          </w14:textFill>
        </w:rPr>
        <w:t>杜村村北约630 m处</w:t>
      </w:r>
      <w:r>
        <w:rPr>
          <w:rFonts w:cs="Times New Roman"/>
          <w:color w:val="000000" w:themeColor="text1"/>
          <w14:textFill>
            <w14:solidFill>
              <w14:schemeClr w14:val="tx1"/>
            </w14:solidFill>
          </w14:textFill>
        </w:rPr>
        <w:t>，项目评价范围无饮用水水源保护区、风景名胜区、自然保护区的核心区和缓冲区、村镇人口集中区域及法律、法规规定的禁止养殖区域。对照《屯留区畜禽养殖禁养区划分方案》（2020年）可知，本项目不在屯留区畜禽养殖禁养区范围内。</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2、促进粪污资源化利用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本项目采用干清粪工艺，场区采取了雨污分离措施，防止雨水进入粪污收集系统。环评中明确了畜禽养殖粪污资源化利用的主体，严格落实了利用渠道或途径，确保了资源化利用有效实施。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3、强化粪污治理措施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评中明确了畜禽粪污贮存、处理和利用措施；粪尿还田进行资源化利用的畜禽粪污处理达到了畜禽粪便还田、无害化处理等技术规范要求；本项目采用无害化处理病死猪。项目运营期采用干清粪工艺，日产日清；饲料中加入EM活性菌群；使用生物处理液以雾化方式喷洒育肥舍、集水池、固粪处理区、废水处理站、沼液塘等，可有效防治恶臭。</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4、落实环评信息公开要求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建设位已按照《环境影响评价公众参与办法》（生态环境部部令第4 号）要求，在环境影响报告书编制阶段开展了公众参与工作，公众参与阶段未收到公众意见反馈。</w:t>
      </w:r>
    </w:p>
    <w:p>
      <w:pPr>
        <w:pStyle w:val="5"/>
        <w:rPr>
          <w:color w:val="000000" w:themeColor="text1"/>
          <w14:textFill>
            <w14:solidFill>
              <w14:schemeClr w14:val="tx1"/>
            </w14:solidFill>
          </w14:textFill>
        </w:rPr>
      </w:pPr>
      <w:r>
        <w:rPr>
          <w:color w:val="000000" w:themeColor="text1"/>
          <w14:textFill>
            <w14:solidFill>
              <w14:schemeClr w14:val="tx1"/>
            </w14:solidFill>
          </w14:textFill>
        </w:rPr>
        <w:t>1.3.6.8与《农业农村部办公厅生态环境部办公厅关于进一步明确畜禽粪污还田利用要求强化养殖污染监管的通知》（农办牧[2020]23号）符合性分析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本项目与《农业农村部办公厅生态环境部办公厅关于进一步明确畜禽粪污还田利用要求强化养殖污染监管的通知》（农办牧[2020]23号）符合性分析见表1.3-6。</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表1.3-6 《农业农村部办公厅生态环境部办公厅关于进一步明确畜禽粪污还田利用要求强化养殖污染监管的通知》符合性分析</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4736"/>
        <w:gridCol w:w="2916"/>
        <w:gridCol w:w="7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7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650"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相关规定</w:t>
            </w:r>
          </w:p>
        </w:tc>
        <w:tc>
          <w:tcPr>
            <w:tcW w:w="1632"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本项目建设情况</w:t>
            </w:r>
          </w:p>
        </w:tc>
        <w:tc>
          <w:tcPr>
            <w:tcW w:w="441"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一、畅通还田利用渠道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2650" w:type="pct"/>
            <w:vAlign w:val="center"/>
          </w:tcPr>
          <w:p>
            <w:pPr>
              <w:autoSpaceDE w:val="0"/>
              <w:autoSpaceDN w:val="0"/>
              <w:adjustRightInd w:val="0"/>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鼓励畜禽粪污还田利用。国家支持畜禽养殖场户建设畜禽粪污无害化处理和资源化利用设施，鼓励采取粪肥还田、制取沼气、生产有机肥等方式进行资源化利用。已获得环评批复的规模养殖场</w:t>
            </w:r>
          </w:p>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在建设和运营过程中，如需将粪污处理由达标排放（含按农田灌溉水标准排放）变更为资源化利用（不含商业化沼气工程和商品有机肥生产），在项目竣工环保验收前变更的，按照非重大变动纳入竣工环境保护验收管理；在竣工环保验收后变更的，按照改建项目依法开展环评。</w:t>
            </w:r>
          </w:p>
        </w:tc>
        <w:tc>
          <w:tcPr>
            <w:tcW w:w="1632"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本项目为新建项目，猪粪、沼渣进行好氧堆肥，沼液作为农肥就近还田。废水处理采用“预处理+厌氧发酵”工艺，产生的沼气用于发电。本项目实现畜禽养殖废弃物资化利用。</w:t>
            </w:r>
          </w:p>
        </w:tc>
        <w:tc>
          <w:tcPr>
            <w:tcW w:w="44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2650"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明确还田利用标准规范。畜禽粪污的处理应根据排放去向或利用方式的不同执行相应的标准规范。对配套土地充足的养殖场户，粪污经无害化处理后还田利用具体要求及限量应符合《畜禽粪便无害化处理技术规范》（GB/T 36195）和《畜禽粪便还田技术规范》（GB/T25246），配套土地面积应达到《畜禽粪污土地承载力测算技术指南》（以下简称《指南》）要求的最小面积。对配套土地不足的养殖场户，粪污经处理后向环境排放的，应符合《畜禽养殖业污染物排放标准》（GB 18596）和地方有关排放标准。用于农田灌溉的，应符合《农田灌溉水质标准》（GB5084）。</w:t>
            </w:r>
          </w:p>
        </w:tc>
        <w:tc>
          <w:tcPr>
            <w:tcW w:w="1632"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项目粪便、沼渣运至有机肥粪棚进行好氧堆肥，液体经厌氧发酵处理后，沼气用于发电，沼液利用周边农田就地消纳。粪污还田利用具体要求及限量符合《畜禽粪便无害化处理技术规范》（GB/T36195）和《畜禽粪便还田技术规范》GB/T25246，配套土地面积达到《畜禽粪污土地承载力测算技术指南》要求的最小面积。</w:t>
            </w:r>
          </w:p>
        </w:tc>
        <w:tc>
          <w:tcPr>
            <w:tcW w:w="44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二、加强事中事后监管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2650"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落实养殖场户主体责任。养殖场户应当切实履行粪污利用和污染防治主体责任，采取措施，对畜禽粪污进行科学处理和资源化利用，防止污染环境。从事畜禽规模养殖要严格落实《中华人民共和国固体废物污染环境防治法》《中华人民共和国水污染防治法》《畜禽规模养殖污染防治条例》要求，建设粪污无害化处理和资源化利用设施并确保其正常运行，或委托第三方代为实现粪污无害化处理和资源化利用。对畜禽规模养殖污染防治设施配套不到位，粪污未经无害化处理直接还田或向环境排放，不符合国家和地方排放标准的，农业农村部门要加强技术指导和服务，生态环境部门要依法查处。</w:t>
            </w:r>
          </w:p>
        </w:tc>
        <w:tc>
          <w:tcPr>
            <w:tcW w:w="1632" w:type="pct"/>
            <w:vAlign w:val="center"/>
          </w:tcPr>
          <w:p>
            <w:pPr>
              <w:pStyle w:val="332"/>
              <w:widowControl w:val="0"/>
              <w:jc w:val="left"/>
              <w:rPr>
                <w:color w:val="000000" w:themeColor="text1"/>
                <w14:textFill>
                  <w14:solidFill>
                    <w14:schemeClr w14:val="tx1"/>
                  </w14:solidFill>
                </w14:textFill>
              </w:rPr>
            </w:pPr>
            <w:r>
              <w:rPr>
                <w:color w:val="000000" w:themeColor="text1"/>
                <w14:textFill>
                  <w14:solidFill>
                    <w14:schemeClr w14:val="tx1"/>
                  </w14:solidFill>
                </w14:textFill>
              </w:rPr>
              <w:t>环评要求企业应当切实履行粪污利用和污染防治主体责任，采取措施，对畜禽粪污进行科学处理和资源化利用，防止污染环境。</w:t>
            </w:r>
          </w:p>
        </w:tc>
        <w:tc>
          <w:tcPr>
            <w:tcW w:w="44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2650"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强化粪污还田利用过程监管。养殖场户应依法配置粪污贮存设施，设施总容积不得低于当地农林作物生产用肥的最大间隔时间内产生粪污的总量，配套土地面积不得小于《指南》要求的最小面积；配套土地面积不足的，应委托第三方代为实现粪污资源化。达不到前述要求且无法证明粪污去向的，视同超出土地消纳能力。</w:t>
            </w:r>
          </w:p>
        </w:tc>
        <w:tc>
          <w:tcPr>
            <w:tcW w:w="1632"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本项目配置粪污贮存设施，设施总容积大于当地农林作物生产用肥的最大间隔时间内产生粪污的总量，配套土地面积大于《指南》要求的最小面积。</w:t>
            </w:r>
          </w:p>
        </w:tc>
        <w:tc>
          <w:tcPr>
            <w:tcW w:w="44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三、强化保障和支撑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2650"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完善粪肥还田管理制度。督促指导规模养殖场制定畜禽粪肥还田利用计划，根据养殖规模明确配套农田面积、农田类型、种植制度、粪肥使用时间及使用量等。推动建立畜禽粪污处理和粪肥利用台账，避免施用超量或时间不合理，并作为监督执法的重要依据。加强日常监测，及时掌握粪污养分和有害物质含量，严防还田环境风险。</w:t>
            </w:r>
          </w:p>
        </w:tc>
        <w:tc>
          <w:tcPr>
            <w:tcW w:w="1632"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本次环评要求企业建立畜禽粪污处理和粪肥利用台账，避免施用超量或时间不合理；应加强日常监测，及时掌握粪污养分和有害物质含量，严防还田环境风险。</w:t>
            </w:r>
          </w:p>
        </w:tc>
        <w:tc>
          <w:tcPr>
            <w:tcW w:w="44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2650"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加强技术和装备支撑。加快畜禽粪污资源化利用先进工艺、技术和装备研发，着力破除粪污资源化利用过程中的技术和成本障碍。鼓励养殖场户全量收集和利用畜禽粪污，根据实际情况选择合理的输送和施用方式，不再强制要求固液分离。结合本地实际，推行经济高效的粪污资源化利用技术模式，积极推广全量机械化施用，逐步改进粪肥施用方式。</w:t>
            </w:r>
          </w:p>
        </w:tc>
        <w:tc>
          <w:tcPr>
            <w:tcW w:w="1632"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本项目所产沼液由沼液管网输送至消纳农田。同时企业配备专业技术人员指导农户科学合理施肥。</w:t>
            </w:r>
          </w:p>
        </w:tc>
        <w:tc>
          <w:tcPr>
            <w:tcW w:w="44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bookmarkEnd w:id="60"/>
      <w:bookmarkEnd w:id="61"/>
      <w:bookmarkEnd w:id="62"/>
      <w:bookmarkEnd w:id="63"/>
      <w:bookmarkEnd w:id="64"/>
    </w:tbl>
    <w:p>
      <w:pPr>
        <w:pStyle w:val="5"/>
        <w:rPr>
          <w:color w:val="000000" w:themeColor="text1"/>
          <w14:textFill>
            <w14:solidFill>
              <w14:schemeClr w14:val="tx1"/>
            </w14:solidFill>
          </w14:textFill>
        </w:rPr>
      </w:pPr>
      <w:bookmarkStart w:id="65" w:name="_Toc47619450"/>
      <w:bookmarkStart w:id="66" w:name="_Toc47619767"/>
      <w:bookmarkStart w:id="67" w:name="_Toc58362721"/>
      <w:bookmarkStart w:id="68" w:name="_Toc52791822"/>
      <w:bookmarkStart w:id="69" w:name="_Toc47619344"/>
      <w:bookmarkStart w:id="70" w:name="_Toc47619105"/>
      <w:bookmarkStart w:id="71" w:name="_Toc47619953"/>
      <w:r>
        <w:rPr>
          <w:color w:val="000000" w:themeColor="text1"/>
          <w14:textFill>
            <w14:solidFill>
              <w14:schemeClr w14:val="tx1"/>
            </w14:solidFill>
          </w14:textFill>
        </w:rPr>
        <w:t>1.3.6.9与《农业农村部关于印发〈加快生猪生产恢复发展三年行动方案〉的通知》（农牧发[2019]39号）符合性分析</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（八）开展禁养区清理工作。配合生态环境部，督促地方全面清理超范围划定的禁养区，确保今年12月底前完成。对打着环保名义搞“无猪市”“无猪县”的，一律责令整改。</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十四）加快推进粪污资源化利用。落实粪污资源化利用支持政策，推广整县治理典型模式，打通畜禽粪污终端产品利用渠道。完善社会化服务机制，采取分散收集、集中处理或就近直接还田利用等方式，解决中小散养户粪污处理问题。到2020年底，全国畜禽粪污综合利用率达到75%以上，规模养殖场粪污治理设施装备配套率达到95%以上。</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十五）强化病死猪无害化处理。健全病死猪无害化处理体系，全面推进专业化集中处理，优化无害化处理企业布局，及时足额落实补助资金，支持无害化处理企业提升收集、转运、处理各环节生物安全水平，确保无害化处理企业可持续运行。</w:t>
      </w:r>
    </w:p>
    <w:p>
      <w:pPr>
        <w:ind w:firstLine="482"/>
        <w:rPr>
          <w:rFonts w:cs="Times New Roman"/>
          <w:b/>
          <w:bCs/>
          <w:color w:val="000000" w:themeColor="text1"/>
          <w:lang w:bidi="en-US"/>
          <w14:textFill>
            <w14:solidFill>
              <w14:schemeClr w14:val="tx1"/>
            </w14:solidFill>
          </w14:textFill>
        </w:rPr>
      </w:pPr>
      <w:r>
        <w:rPr>
          <w:rFonts w:cs="Times New Roman"/>
          <w:b/>
          <w:bCs/>
          <w:color w:val="000000" w:themeColor="text1"/>
          <w:lang w:bidi="en-US"/>
          <w14:textFill>
            <w14:solidFill>
              <w14:schemeClr w14:val="tx1"/>
            </w14:solidFill>
          </w14:textFill>
        </w:rPr>
        <w:t>符合性分析：</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本项目不在屯留区禁养区范围内，且项目设置沼气工程，沼液回用于农田，粪便及沼渣经堆肥处理后作为有机肥基肥外售，实现了项目的粪污资源化利用。病死猪及母猪胎盘等由自建无害化车间采用 “分切、绞碎、发酵、杀菌、干燥”等工序的一体化设备处理后作有机肥料，其处理设备及工艺已经农业部农业机械化技术开发推广总站进行推广及验证，不违背相关技术规范要求；因此本项目的建设符合《农业农村部关于印发〈加快生猪生产恢复发展三年行动方案〉的通知》的要求。</w:t>
      </w:r>
    </w:p>
    <w:p>
      <w:pPr>
        <w:pStyle w:val="5"/>
        <w:rPr>
          <w:color w:val="000000" w:themeColor="text1"/>
          <w14:textFill>
            <w14:solidFill>
              <w14:schemeClr w14:val="tx1"/>
            </w14:solidFill>
          </w14:textFill>
        </w:rPr>
      </w:pPr>
      <w:r>
        <w:rPr>
          <w:color w:val="000000" w:themeColor="text1"/>
          <w14:textFill>
            <w14:solidFill>
              <w14:schemeClr w14:val="tx1"/>
            </w14:solidFill>
          </w14:textFill>
        </w:rPr>
        <w:t>1.3.6.10与《生态环境部办公厅农业农村部办公厅关于进一步做好当前生猪规模养殖环评管理相关工作的通知》（环办环评函[2019]872号）符合性分析</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环办环评函[2019]872号第四条规定：生猪养殖项目建设单位应严格遵守生态环境保护法律法规及标准要求，不得占用法律法规明文禁止开发的区域。参照《禽畜养殖业污染防治技术规范》，根据环评技术导则要求，科学确定环境防护距离，作为项目选址以及规划控制的依据。严格落实各项生态环境保护措施，新（改、扩）建生猪养殖项目，应同步建设配套的粪污资源化利用设施，落实与养殖规模乡匹配的还田土地。粪污无法资源化利用的，应明确污染处理措施，按照国家和地方规定达标排放。</w:t>
      </w:r>
    </w:p>
    <w:p>
      <w:pPr>
        <w:ind w:firstLine="482"/>
        <w:rPr>
          <w:rFonts w:cs="Times New Roman"/>
          <w:b/>
          <w:bCs/>
          <w:color w:val="000000" w:themeColor="text1"/>
          <w:lang w:bidi="en-US"/>
          <w14:textFill>
            <w14:solidFill>
              <w14:schemeClr w14:val="tx1"/>
            </w14:solidFill>
          </w14:textFill>
        </w:rPr>
      </w:pPr>
      <w:r>
        <w:rPr>
          <w:rFonts w:cs="Times New Roman"/>
          <w:b/>
          <w:bCs/>
          <w:color w:val="000000" w:themeColor="text1"/>
          <w:lang w:bidi="en-US"/>
          <w14:textFill>
            <w14:solidFill>
              <w14:schemeClr w14:val="tx1"/>
            </w14:solidFill>
          </w14:textFill>
        </w:rPr>
        <w:t>符合性分析：</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本项目建设未占用法律法规明文禁止开发的区域，项目占地范围内无生活饮用水水源保护区、风景名胜区、自然保护区的核心区及缓冲区以及国家法律法规明文禁止开发的区域。项目选址符合《禽畜养殖业污染防治技术规范》的要求。环评要求在建设过程中，严格落实各项生态环境保护政策，项目配套建设了沼气工程以及粪污综合利用工程，与</w:t>
      </w:r>
      <w:r>
        <w:rPr>
          <w:rFonts w:cs="Times New Roman"/>
          <w:color w:val="000000" w:themeColor="text1"/>
          <w14:textFill>
            <w14:solidFill>
              <w14:schemeClr w14:val="tx1"/>
            </w14:solidFill>
          </w14:textFill>
        </w:rPr>
        <w:t>丰宜镇牛角川村村委</w:t>
      </w:r>
      <w:r>
        <w:rPr>
          <w:rFonts w:cs="Times New Roman"/>
          <w:color w:val="000000" w:themeColor="text1"/>
          <w:lang w:bidi="en-US"/>
          <w14:textFill>
            <w14:solidFill>
              <w14:schemeClr w14:val="tx1"/>
            </w14:solidFill>
          </w14:textFill>
        </w:rPr>
        <w:t>签订了沼液消纳协议，</w:t>
      </w:r>
      <w:r>
        <w:rPr>
          <w:rFonts w:cs="Times New Roman"/>
          <w:color w:val="000000" w:themeColor="text1"/>
          <w14:textFill>
            <w14:solidFill>
              <w14:schemeClr w14:val="tx1"/>
            </w14:solidFill>
          </w14:textFill>
        </w:rPr>
        <w:t>提供约650亩农田作为本项目的消纳农田，可满足粪污消纳面积要求；</w:t>
      </w:r>
      <w:r>
        <w:rPr>
          <w:rFonts w:cs="Times New Roman"/>
          <w:color w:val="000000" w:themeColor="text1"/>
          <w:lang w:bidi="en-US"/>
          <w14:textFill>
            <w14:solidFill>
              <w14:schemeClr w14:val="tx1"/>
            </w14:solidFill>
          </w14:textFill>
        </w:rPr>
        <w:t>项目周边有大量农田，能够消纳本项目产生的沼液。因此项目符合环办环评函[2019]872号的文件要求。</w:t>
      </w:r>
    </w:p>
    <w:p>
      <w:pPr>
        <w:pStyle w:val="5"/>
        <w:rPr>
          <w:color w:val="000000" w:themeColor="text1"/>
          <w14:textFill>
            <w14:solidFill>
              <w14:schemeClr w14:val="tx1"/>
            </w14:solidFill>
          </w14:textFill>
        </w:rPr>
      </w:pPr>
      <w:r>
        <w:rPr>
          <w:color w:val="000000" w:themeColor="text1"/>
          <w14:textFill>
            <w14:solidFill>
              <w14:schemeClr w14:val="tx1"/>
            </w14:solidFill>
          </w14:textFill>
        </w:rPr>
        <w:t>1.3.6.11</w:t>
      </w:r>
      <w:bookmarkStart w:id="72" w:name="_Hlk91143531"/>
      <w:r>
        <w:rPr>
          <w:color w:val="000000" w:themeColor="text1"/>
          <w14:textFill>
            <w14:solidFill>
              <w14:schemeClr w14:val="tx1"/>
            </w14:solidFill>
          </w14:textFill>
        </w:rPr>
        <w:t>《山西省畜禽粪污处理和资源化利用工作方案（2017~2020）》</w:t>
      </w:r>
      <w:bookmarkEnd w:id="72"/>
      <w:r>
        <w:rPr>
          <w:color w:val="000000" w:themeColor="text1"/>
          <w14:textFill>
            <w14:solidFill>
              <w14:schemeClr w14:val="tx1"/>
            </w14:solidFill>
          </w14:textFill>
        </w:rPr>
        <w:t>符合性分析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《山西省畜禽粪污处理和资源化利用工作方案(2017-2020年)》重点任务包括：</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（三）加强规模养殖场粪污处理设施建设。新建畜禽规模养殖场和未配套建设粪污处理设施的规模养殖场，要按照本场条件选择适合的畜禽粪污处理工艺，配备必要的粪污收集、贮存、处理、利用设施。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五）促进畜禽粪污资源化利用。开展畜牧业绿色发展示范县创建活动，以畜禽养殖粪污减量化产生、无害化处理、资源化利用为重点，建设一批整县推进畜禽粪污资源化利用示范县。鼓励散养密集区建设集中处理中心，将粪污全量收集并通过氧化塘贮存进行无害化处理后还田施用，减少化肥施用量。重点推广“粪污全量收集还田利用”“粪污专业化能源利用”“粪便垫料回用”“污水肥料化利用”等模式。</w:t>
      </w:r>
    </w:p>
    <w:p>
      <w:pPr>
        <w:ind w:firstLine="482"/>
        <w:rPr>
          <w:rFonts w:cs="Times New Roman"/>
          <w:b/>
          <w:bCs/>
          <w:color w:val="000000" w:themeColor="text1"/>
          <w:lang w:bidi="en-US"/>
          <w14:textFill>
            <w14:solidFill>
              <w14:schemeClr w14:val="tx1"/>
            </w14:solidFill>
          </w14:textFill>
        </w:rPr>
      </w:pPr>
      <w:r>
        <w:rPr>
          <w:rFonts w:cs="Times New Roman"/>
          <w:b/>
          <w:bCs/>
          <w:color w:val="000000" w:themeColor="text1"/>
          <w:lang w:bidi="en-US"/>
          <w14:textFill>
            <w14:solidFill>
              <w14:schemeClr w14:val="tx1"/>
            </w14:solidFill>
          </w14:textFill>
        </w:rPr>
        <w:t>符合性分析：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配套建设粪污处置区，具体为养殖废水经场区污水管网收集，自流至集粪池。粪污水首先经过固液分离预处理系统，去除大部分固体杂物（粪便、猪毛、沉淀物等），分离出来的固体粪渣收集进行堆肥发酵，制成有机肥。污水经提升泵泵至黑膜沼气池进行厌氧处理，厌氧发酵45天去除大部分有机物，产生沼液在施肥季节根据农作物需求液态施肥，沼渣泵送至固液分离分离机分离，与粪便一起堆肥处理。病死猪及母猪胎盘等目采用集辰（福建）农林发展有限公司生产的病死动物无害化处理设备对进行无害化处理，通过分切、绞碎、发酵、杀菌、干燥五大步骤，在专用微生物菌的作用下，将动物尸体及其废弃物转化为无害粉状有机原料；无害化处理后的固体残渣可运至有机肥粪棚进行堆肥处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综上本项目所采取的粪污处置措施符合《山西省畜禽粪污处理和资源化利用工作方案(2017-2020年)》中“将粪污全量收集并通过氧化塘贮存进行无害化处理后还田施用，减少化肥施用量。”的要求。</w:t>
      </w:r>
    </w:p>
    <w:p>
      <w:pPr>
        <w:pStyle w:val="5"/>
        <w:rPr>
          <w:color w:val="000000" w:themeColor="text1"/>
          <w14:textFill>
            <w14:solidFill>
              <w14:schemeClr w14:val="tx1"/>
            </w14:solidFill>
          </w14:textFill>
        </w:rPr>
      </w:pPr>
      <w:r>
        <w:rPr>
          <w:color w:val="000000" w:themeColor="text1"/>
          <w14:textFill>
            <w14:solidFill>
              <w14:schemeClr w14:val="tx1"/>
            </w14:solidFill>
          </w14:textFill>
        </w:rPr>
        <w:t>1.3.6.12《漳泽湖生态保护与修复规划》（2021-2035年）符合性分析</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漳泽湖生态保护与修复规划》（2021-2035年）规划基准年为2019年，近期水平年2025年，远期水平年2035年。规划范围为漳泽湖周边及上游流域，总面积3233km2。规划重点包含生态空间管控、水资源开发与节水评价、湖泊生态水量水位恢复、水生生物保护与修复、水污染防治、库岸生态修复与整治、水文化与景观规划、环境影响评价、体制机制建设等方面。通过漳泽湖生态保护与修复，最终实现漳泽湖水质优于Ⅲ类、水量持续恢复、防洪安全可靠、生物多样性丰富、景观舒适怡人，建成河湖健康、水城共融的生态共享空间，创建山水林田湖草生态系统国家示范区。</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水污染防治中的农业面源污染治理包括农村生活污水治理、农村生活垃圾治理、畜禽养殖污染治理等；其中畜禽养殖污染治理提出长治市实际情况，规划采用种养结合、异位发酵床、有机肥加工、养殖标准化等策略，对畜禽粪污进行资源化利用，发展生态循环健康养殖。</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本项目与</w:t>
      </w:r>
      <w:r>
        <w:rPr>
          <w:rFonts w:cs="Times New Roman"/>
          <w:color w:val="000000" w:themeColor="text1"/>
          <w:lang w:bidi="en-US"/>
          <w14:textFill>
            <w14:solidFill>
              <w14:schemeClr w14:val="tx1"/>
            </w14:solidFill>
          </w14:textFill>
        </w:rPr>
        <w:t>《漳泽湖生态保护与修复规划》（2021-2035年）中</w:t>
      </w:r>
      <w:r>
        <w:rPr>
          <w:rFonts w:cs="Times New Roman"/>
          <w:b/>
          <w:bCs/>
          <w:color w:val="000000" w:themeColor="text1"/>
          <w:kern w:val="0"/>
          <w:szCs w:val="21"/>
          <w14:textFill>
            <w14:solidFill>
              <w14:schemeClr w14:val="tx1"/>
            </w14:solidFill>
          </w14:textFill>
        </w:rPr>
        <w:t>8.6.4</w:t>
      </w:r>
      <w:r>
        <w:rPr>
          <w:rFonts w:cs="Times New Roman"/>
          <w:color w:val="000000" w:themeColor="text1"/>
          <w:kern w:val="0"/>
          <w:szCs w:val="21"/>
          <w14:textFill>
            <w14:solidFill>
              <w14:schemeClr w14:val="tx1"/>
            </w14:solidFill>
          </w14:textFill>
        </w:rPr>
        <w:t>畜禽养殖污染治理</w:t>
      </w:r>
      <w:r>
        <w:rPr>
          <w:rFonts w:cs="Times New Roman"/>
          <w:color w:val="000000" w:themeColor="text1"/>
          <w:lang w:bidi="en-US"/>
          <w14:textFill>
            <w14:solidFill>
              <w14:schemeClr w14:val="tx1"/>
            </w14:solidFill>
          </w14:textFill>
        </w:rPr>
        <w:t>的要求</w:t>
      </w:r>
      <w:r>
        <w:rPr>
          <w:rFonts w:cs="Times New Roman"/>
          <w:color w:val="000000" w:themeColor="text1"/>
          <w14:textFill>
            <w14:solidFill>
              <w14:schemeClr w14:val="tx1"/>
            </w14:solidFill>
          </w14:textFill>
        </w:rPr>
        <w:t>符合性分析见表1.3-7。</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表1.3-7 本项目与</w:t>
      </w:r>
      <w:r>
        <w:rPr>
          <w:rFonts w:cs="Times New Roman"/>
          <w:color w:val="000000" w:themeColor="text1"/>
          <w:lang w:bidi="en-US"/>
          <w14:textFill>
            <w14:solidFill>
              <w14:schemeClr w14:val="tx1"/>
            </w14:solidFill>
          </w14:textFill>
        </w:rPr>
        <w:t>《漳泽湖生态保护与修复规划》（2021-2035年）</w:t>
      </w:r>
      <w:r>
        <w:rPr>
          <w:rFonts w:cs="Times New Roman"/>
          <w:color w:val="000000" w:themeColor="text1"/>
          <w14:textFill>
            <w14:solidFill>
              <w14:schemeClr w14:val="tx1"/>
            </w14:solidFill>
          </w14:textFill>
        </w:rPr>
        <w:t>符合性分析</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4124"/>
        <w:gridCol w:w="3312"/>
        <w:gridCol w:w="6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5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30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相关规定</w:t>
            </w:r>
          </w:p>
        </w:tc>
        <w:tc>
          <w:tcPr>
            <w:tcW w:w="1853"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本项目建设情况</w:t>
            </w:r>
          </w:p>
        </w:tc>
        <w:tc>
          <w:tcPr>
            <w:tcW w:w="382"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7" w:type="pct"/>
            <w:vAlign w:val="center"/>
          </w:tcPr>
          <w:p>
            <w:pPr>
              <w:pStyle w:val="332"/>
              <w:widowControl w:val="0"/>
              <w:rPr>
                <w:color w:val="000000" w:themeColor="text1"/>
                <w14:textFill>
                  <w14:solidFill>
                    <w14:schemeClr w14:val="tx1"/>
                  </w14:solidFill>
                </w14:textFill>
              </w:rPr>
            </w:pPr>
            <w:r>
              <w:rPr>
                <w:b/>
                <w:bCs/>
                <w:color w:val="000000" w:themeColor="text1"/>
                <w14:textFill>
                  <w14:solidFill>
                    <w14:schemeClr w14:val="tx1"/>
                  </w14:solidFill>
                </w14:textFill>
              </w:rPr>
              <w:t>8.6.4.1种养结合</w:t>
            </w:r>
          </w:p>
        </w:tc>
        <w:tc>
          <w:tcPr>
            <w:tcW w:w="2307" w:type="pct"/>
            <w:vAlign w:val="center"/>
          </w:tcPr>
          <w:p>
            <w:pPr>
              <w:pStyle w:val="332"/>
              <w:widowControl w:val="0"/>
              <w:jc w:val="both"/>
              <w:rPr>
                <w:color w:val="000000" w:themeColor="text1"/>
                <w:lang w:bidi="en-US"/>
                <w14:textFill>
                  <w14:solidFill>
                    <w14:schemeClr w14:val="tx1"/>
                  </w14:solidFill>
                </w14:textFill>
              </w:rPr>
            </w:pPr>
            <w:r>
              <w:rPr>
                <w:color w:val="000000" w:themeColor="text1"/>
                <w:lang w:bidi="en-US"/>
                <w14:textFill>
                  <w14:solidFill>
                    <w14:schemeClr w14:val="tx1"/>
                  </w14:solidFill>
                </w14:textFill>
              </w:rPr>
              <w:t>打造“粪污制沼、沼气供户、沼液（渣）种菜（树）”的种养结合、循环利用模式。具体为猪舍的粪污通过管道排到贮粪池中，经过干湿分离并发酵后，沼气发电用于猪场用电及饮料加工，粪水则在厌氧池中发酵成沼液肥，再与一定比例的水进行搭配稀释，通过地下管网，为种养基地农田供肥，固体则可直接用于还田或加工成有机肥，对接农户田地、对接种植基地或者林地资源，形成“猪-沼-菜”、“猪-沼-林”、“猪-沼-果”等模式。</w:t>
            </w:r>
          </w:p>
        </w:tc>
        <w:tc>
          <w:tcPr>
            <w:tcW w:w="1853"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本项目为新建项目，</w:t>
            </w:r>
            <w:r>
              <w:rPr>
                <w:rFonts w:cs="Times New Roman"/>
                <w:color w:val="000000" w:themeColor="text1"/>
                <w:kern w:val="0"/>
                <w:sz w:val="21"/>
                <w:szCs w:val="21"/>
                <w:lang w:bidi="en-US"/>
                <w14:textFill>
                  <w14:solidFill>
                    <w14:schemeClr w14:val="tx1"/>
                  </w14:solidFill>
                </w14:textFill>
              </w:rPr>
              <w:t>猪舍的粪污通过管道排到贮粪池中，经过干湿分离，分离出的猪粪、</w:t>
            </w:r>
            <w:r>
              <w:rPr>
                <w:rFonts w:cs="Times New Roman"/>
                <w:color w:val="000000" w:themeColor="text1"/>
                <w:kern w:val="0"/>
                <w:sz w:val="21"/>
                <w:szCs w:val="21"/>
                <w14:textFill>
                  <w14:solidFill>
                    <w14:schemeClr w14:val="tx1"/>
                  </w14:solidFill>
                </w14:textFill>
              </w:rPr>
              <w:t>沼渣及无害化处理残渣进行好氧堆肥，制成有机肥；废水处理采用“预处理+厌氧发酵（黑膜沼气池）”工艺，沼液作为农肥就近还田；产生的沼气用于发电。项目沼液配水稀释后，由自建的管网输送至田间，实现种养结合及畜禽养殖废弃物资化利用。</w:t>
            </w:r>
          </w:p>
        </w:tc>
        <w:tc>
          <w:tcPr>
            <w:tcW w:w="38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7" w:type="pct"/>
            <w:vAlign w:val="center"/>
          </w:tcPr>
          <w:p>
            <w:pPr>
              <w:pStyle w:val="332"/>
              <w:widowControl w:val="0"/>
              <w:rPr>
                <w:color w:val="000000" w:themeColor="text1"/>
                <w14:textFill>
                  <w14:solidFill>
                    <w14:schemeClr w14:val="tx1"/>
                  </w14:solidFill>
                </w14:textFill>
              </w:rPr>
            </w:pPr>
            <w:r>
              <w:rPr>
                <w:b/>
                <w:bCs/>
                <w:color w:val="000000" w:themeColor="text1"/>
                <w:kern w:val="0"/>
                <w:szCs w:val="21"/>
                <w:lang w:bidi="en-US"/>
                <w14:textFill>
                  <w14:solidFill>
                    <w14:schemeClr w14:val="tx1"/>
                  </w14:solidFill>
                </w14:textFill>
              </w:rPr>
              <w:t>8.6.4.3有机肥加工</w:t>
            </w:r>
          </w:p>
        </w:tc>
        <w:tc>
          <w:tcPr>
            <w:tcW w:w="2307" w:type="pct"/>
            <w:vAlign w:val="center"/>
          </w:tcPr>
          <w:p>
            <w:pPr>
              <w:pStyle w:val="332"/>
              <w:widowControl w:val="0"/>
              <w:jc w:val="both"/>
              <w:rPr>
                <w:color w:val="000000" w:themeColor="text1"/>
                <w:lang w:bidi="en-US"/>
                <w14:textFill>
                  <w14:solidFill>
                    <w14:schemeClr w14:val="tx1"/>
                  </w14:solidFill>
                </w14:textFill>
              </w:rPr>
            </w:pPr>
            <w:r>
              <w:rPr>
                <w:color w:val="000000" w:themeColor="text1"/>
                <w:lang w:bidi="en-US"/>
                <w14:textFill>
                  <w14:solidFill>
                    <w14:schemeClr w14:val="tx1"/>
                  </w14:solidFill>
                </w14:textFill>
              </w:rPr>
              <w:t>合理处理粪污则可将粪污转化为资源，获得经济生态效益，有机肥加工则是粪污资源化的重要方面。对于大中型规模养殖场，周边田地、林地等不足难以完全承纳自身粪污，可采用好氧堆肥发酵生产有机肥以及有机无机复合肥。粪污处理中心处理后未利用部分、生态发酵床垫料等进行统一收集处理，粪污剩余量大者可配套建设有机肥厂，生产有机肥出售。</w:t>
            </w:r>
          </w:p>
        </w:tc>
        <w:tc>
          <w:tcPr>
            <w:tcW w:w="1853" w:type="pct"/>
            <w:vAlign w:val="center"/>
          </w:tcPr>
          <w:p>
            <w:pPr>
              <w:pStyle w:val="332"/>
              <w:widowControl w:val="0"/>
              <w:jc w:val="both"/>
              <w:rPr>
                <w:color w:val="000000" w:themeColor="text1"/>
                <w14:textFill>
                  <w14:solidFill>
                    <w14:schemeClr w14:val="tx1"/>
                  </w14:solidFill>
                </w14:textFill>
              </w:rPr>
            </w:pPr>
            <w:r>
              <w:rPr>
                <w:bCs/>
                <w:color w:val="000000" w:themeColor="text1"/>
                <w:kern w:val="0"/>
                <w:szCs w:val="21"/>
                <w14:textFill>
                  <w14:solidFill>
                    <w14:schemeClr w14:val="tx1"/>
                  </w14:solidFill>
                </w14:textFill>
              </w:rPr>
              <w:t>本项目产生的猪粪、沼渣等经堆肥发酵后产生的有机肥约</w:t>
            </w:r>
            <w:r>
              <w:rPr>
                <w:bCs/>
                <w:color w:val="000000" w:themeColor="text1"/>
                <w:kern w:val="0"/>
                <w:szCs w:val="21"/>
                <w:lang w:bidi="en-US"/>
                <w14:textFill>
                  <w14:solidFill>
                    <w14:schemeClr w14:val="tx1"/>
                  </w14:solidFill>
                </w14:textFill>
              </w:rPr>
              <w:t>967.25t/a，数量有限，直接由周边农户拉走，用于农田施肥</w:t>
            </w:r>
            <w:r>
              <w:rPr>
                <w:bCs/>
                <w:color w:val="000000" w:themeColor="text1"/>
                <w:kern w:val="0"/>
                <w:szCs w:val="21"/>
                <w14:textFill>
                  <w14:solidFill>
                    <w14:schemeClr w14:val="tx1"/>
                  </w14:solidFill>
                </w14:textFill>
              </w:rPr>
              <w:t>；</w:t>
            </w:r>
          </w:p>
        </w:tc>
        <w:tc>
          <w:tcPr>
            <w:tcW w:w="38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7" w:type="pct"/>
            <w:vAlign w:val="center"/>
          </w:tcPr>
          <w:p>
            <w:pPr>
              <w:pStyle w:val="332"/>
              <w:widowControl w:val="0"/>
              <w:rPr>
                <w:color w:val="000000" w:themeColor="text1"/>
                <w14:textFill>
                  <w14:solidFill>
                    <w14:schemeClr w14:val="tx1"/>
                  </w14:solidFill>
                </w14:textFill>
              </w:rPr>
            </w:pPr>
            <w:r>
              <w:rPr>
                <w:b/>
                <w:bCs/>
                <w:color w:val="000000" w:themeColor="text1"/>
                <w:kern w:val="0"/>
                <w:szCs w:val="21"/>
                <w:lang w:bidi="en-US"/>
                <w14:textFill>
                  <w14:solidFill>
                    <w14:schemeClr w14:val="tx1"/>
                  </w14:solidFill>
                </w14:textFill>
              </w:rPr>
              <w:t>8.6.4.4养殖标准化</w:t>
            </w:r>
          </w:p>
        </w:tc>
        <w:tc>
          <w:tcPr>
            <w:tcW w:w="2307" w:type="pct"/>
            <w:vAlign w:val="center"/>
          </w:tcPr>
          <w:p>
            <w:pPr>
              <w:pStyle w:val="332"/>
              <w:widowControl w:val="0"/>
              <w:jc w:val="both"/>
              <w:rPr>
                <w:color w:val="000000" w:themeColor="text1"/>
                <w:lang w:bidi="en-US"/>
                <w14:textFill>
                  <w14:solidFill>
                    <w14:schemeClr w14:val="tx1"/>
                  </w14:solidFill>
                </w14:textFill>
              </w:rPr>
            </w:pPr>
            <w:r>
              <w:rPr>
                <w:color w:val="000000" w:themeColor="text1"/>
                <w:lang w:bidi="en-US"/>
                <w14:textFill>
                  <w14:solidFill>
                    <w14:schemeClr w14:val="tx1"/>
                  </w14:solidFill>
                </w14:textFill>
              </w:rPr>
              <w:t>新建养殖场朝标准化模式方向建设，在场址布局、栏舍建设、生产设施配备、良种选择、投人品使用、卫生防疫、粪污处理等方面严格执行相关标准，畜禽粪污处理方法应得当，设施齐全且运转正常，达到相关排放标准，实现粪污处理无害化或资源化利用。</w:t>
            </w:r>
          </w:p>
        </w:tc>
        <w:tc>
          <w:tcPr>
            <w:tcW w:w="1853"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本项目为新建年出栏生猪1.5万头的规模化养殖场，选址符合《屯留区畜禽养殖禁养区划定方案》、《</w:t>
            </w:r>
            <w:r>
              <w:rPr>
                <w:bCs/>
                <w:color w:val="000000" w:themeColor="text1"/>
                <w14:textFill>
                  <w14:solidFill>
                    <w14:schemeClr w14:val="tx1"/>
                  </w14:solidFill>
                </w14:textFill>
              </w:rPr>
              <w:t>屯留县县城总体规划》等要求；建设标准化</w:t>
            </w:r>
            <w:r>
              <w:rPr>
                <w:color w:val="000000" w:themeColor="text1"/>
                <w:lang w:bidi="en-US"/>
                <w14:textFill>
                  <w14:solidFill>
                    <w14:schemeClr w14:val="tx1"/>
                  </w14:solidFill>
                </w14:textFill>
              </w:rPr>
              <w:t>栏猪舍、配套相关生产设施、选择优良品种、按标准投入药品、卫生防疫；粪污处理符合</w:t>
            </w:r>
            <w:r>
              <w:rPr>
                <w:bCs/>
                <w:color w:val="000000" w:themeColor="text1"/>
                <w:kern w:val="0"/>
                <w:szCs w:val="21"/>
                <w14:textFill>
                  <w14:solidFill>
                    <w14:schemeClr w14:val="tx1"/>
                  </w14:solidFill>
                </w14:textFill>
              </w:rPr>
              <w:t>《畜禽粪便无害化处理技术规范》、《山西省畜禽粪污处理和资源化利用工作方案（2017~2020）》等的要求，可以实现</w:t>
            </w:r>
            <w:r>
              <w:rPr>
                <w:color w:val="000000" w:themeColor="text1"/>
                <w:lang w:bidi="en-US"/>
                <w14:textFill>
                  <w14:solidFill>
                    <w14:schemeClr w14:val="tx1"/>
                  </w14:solidFill>
                </w14:textFill>
              </w:rPr>
              <w:t>粪污处理资源化利用。</w:t>
            </w:r>
          </w:p>
        </w:tc>
        <w:tc>
          <w:tcPr>
            <w:tcW w:w="38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符合</w:t>
            </w:r>
          </w:p>
        </w:tc>
      </w:tr>
    </w:tbl>
    <w:p>
      <w:pPr>
        <w:pStyle w:val="3"/>
        <w:spacing w:before="120" w:after="120"/>
        <w:rPr>
          <w:rFonts w:cs="Times New Roman"/>
          <w:color w:val="000000" w:themeColor="text1"/>
          <w14:textFill>
            <w14:solidFill>
              <w14:schemeClr w14:val="tx1"/>
            </w14:solidFill>
          </w14:textFill>
        </w:rPr>
      </w:pPr>
      <w:bookmarkStart w:id="73" w:name="_Toc91163822"/>
      <w:r>
        <w:rPr>
          <w:rFonts w:cs="Times New Roman"/>
          <w:color w:val="000000" w:themeColor="text1"/>
          <w14:textFill>
            <w14:solidFill>
              <w14:schemeClr w14:val="tx1"/>
            </w14:solidFill>
          </w14:textFill>
        </w:rPr>
        <w:t>1.4  关注的主要环境问题及环境影响</w:t>
      </w:r>
      <w:bookmarkEnd w:id="65"/>
      <w:bookmarkEnd w:id="66"/>
      <w:bookmarkEnd w:id="67"/>
      <w:bookmarkEnd w:id="68"/>
      <w:bookmarkEnd w:id="69"/>
      <w:bookmarkEnd w:id="70"/>
      <w:bookmarkEnd w:id="71"/>
      <w:bookmarkEnd w:id="73"/>
    </w:p>
    <w:p>
      <w:pPr>
        <w:ind w:firstLine="480"/>
        <w:rPr>
          <w:rFonts w:cs="Times New Roman"/>
          <w:color w:val="000000" w:themeColor="text1"/>
          <w14:textFill>
            <w14:solidFill>
              <w14:schemeClr w14:val="tx1"/>
            </w14:solidFill>
          </w14:textFill>
        </w:rPr>
      </w:pPr>
      <w:bookmarkStart w:id="74" w:name="_Toc47619451"/>
      <w:bookmarkStart w:id="75" w:name="_Toc47619106"/>
      <w:bookmarkStart w:id="76" w:name="_Toc58362722"/>
      <w:bookmarkStart w:id="77" w:name="_Toc47619345"/>
      <w:bookmarkStart w:id="78" w:name="_Toc47619768"/>
      <w:bookmarkStart w:id="79" w:name="_Toc47619954"/>
      <w:bookmarkStart w:id="80" w:name="_Toc52791823"/>
      <w:r>
        <w:rPr>
          <w:rFonts w:cs="Times New Roman"/>
          <w:color w:val="000000" w:themeColor="text1"/>
          <w14:textFill>
            <w14:solidFill>
              <w14:schemeClr w14:val="tx1"/>
            </w14:solidFill>
          </w14:textFill>
        </w:rPr>
        <w:t>本项目环评关注的主要环境问题包括：</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1、废气方面：主要关注运营期育肥舍和堆肥工程、病死猪无害化处理产生的NH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S，沼气发电机产生的烟尘、SO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、NO</w:t>
      </w:r>
      <w:r>
        <w:rPr>
          <w:rFonts w:cs="Times New Roman"/>
          <w:color w:val="000000" w:themeColor="text1"/>
          <w:vertAlign w:val="subscript"/>
          <w14:textFill>
            <w14:solidFill>
              <w14:schemeClr w14:val="tx1"/>
            </w14:solidFill>
          </w14:textFill>
        </w:rPr>
        <w:t>x</w:t>
      </w:r>
      <w:r>
        <w:rPr>
          <w:rFonts w:cs="Times New Roman"/>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重点分析废气源强、治理措施的可行性及对周边大气环境的影响。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2、废水方面：主要关注运营过程中养殖废水、无害化处理设备冷凝水、堆肥渗滤液及生活污水。废水污染因子为SS、COD、BOD</w:t>
      </w:r>
      <w:r>
        <w:rPr>
          <w:rFonts w:cs="Times New Roman"/>
          <w:color w:val="000000" w:themeColor="text1"/>
          <w:vertAlign w:val="subscript"/>
          <w14:textFill>
            <w14:solidFill>
              <w14:schemeClr w14:val="tx1"/>
            </w14:solidFill>
          </w14:textFill>
        </w:rPr>
        <w:t>5</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-N、动植物油、粪大肠菌群等。</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重点分析废水水量、水质及处理工艺的可行性，废水处理后农田回用的可靠性以及防渗措施的可行性。</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3、噪声方面：关注运营期边界噪声和敏感目标是否可以达到相应的标准要求。重点分析噪声控制措施的可行性及厂界的达标可行性。</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4、固废方面：关注本项目运营过程中猪粪、病死猪尸体、母猪胎盘、废脱硫剂、防疫医疗垃圾和生活垃圾的产生情况、暂存要求和处理去向。</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重点分析固废的产生情况、暂存设施设置的规范要求及处置是否符合环保要求。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5、土壤方面：关注运营期场区及沼液还田区土壤污染途径及防治措施。</w:t>
      </w:r>
    </w:p>
    <w:p>
      <w:pPr>
        <w:pStyle w:val="3"/>
        <w:spacing w:before="120" w:after="120"/>
        <w:rPr>
          <w:rFonts w:cs="Times New Roman"/>
          <w:color w:val="000000" w:themeColor="text1"/>
          <w14:textFill>
            <w14:solidFill>
              <w14:schemeClr w14:val="tx1"/>
            </w14:solidFill>
          </w14:textFill>
        </w:rPr>
      </w:pPr>
      <w:bookmarkStart w:id="81" w:name="_Toc91163823"/>
      <w:r>
        <w:rPr>
          <w:rFonts w:cs="Times New Roman"/>
          <w:color w:val="000000" w:themeColor="text1"/>
          <w14:textFill>
            <w14:solidFill>
              <w14:schemeClr w14:val="tx1"/>
            </w14:solidFill>
          </w14:textFill>
        </w:rPr>
        <w:t>1.5  环境影响评价的主要结论</w:t>
      </w:r>
      <w:bookmarkEnd w:id="74"/>
      <w:bookmarkEnd w:id="75"/>
      <w:bookmarkEnd w:id="76"/>
      <w:bookmarkEnd w:id="77"/>
      <w:bookmarkEnd w:id="78"/>
      <w:bookmarkEnd w:id="79"/>
      <w:bookmarkEnd w:id="80"/>
      <w:bookmarkEnd w:id="81"/>
    </w:p>
    <w:p>
      <w:pPr>
        <w:ind w:firstLine="480"/>
        <w:rPr>
          <w:rFonts w:cs="Times New Roman"/>
          <w:color w:val="000000" w:themeColor="text1"/>
          <w14:textFill>
            <w14:solidFill>
              <w14:schemeClr w14:val="tx1"/>
            </w14:solidFill>
          </w14:textFill>
        </w:rPr>
      </w:pPr>
      <w:r>
        <w:rPr>
          <w:rFonts w:cs="Times New Roman"/>
          <w:color w:val="000000" w:themeColor="text1"/>
          <w:kern w:val="24"/>
          <w14:textFill>
            <w14:solidFill>
              <w14:schemeClr w14:val="tx1"/>
            </w14:solidFill>
          </w14:textFill>
        </w:rPr>
        <w:t>山西鑫达农牧有限公司1.5万头生猪产业化项目位于</w:t>
      </w:r>
      <w:r>
        <w:rPr>
          <w:rFonts w:cs="Times New Roman"/>
          <w:bCs/>
          <w:color w:val="000000" w:themeColor="text1"/>
          <w:kern w:val="24"/>
          <w:szCs w:val="20"/>
          <w14:textFill>
            <w14:solidFill>
              <w14:schemeClr w14:val="tx1"/>
            </w14:solidFill>
          </w14:textFill>
        </w:rPr>
        <w:t>屯留区杜村村北约630 m处</w:t>
      </w:r>
      <w:r>
        <w:rPr>
          <w:rFonts w:cs="Times New Roman"/>
          <w:bCs/>
          <w:color w:val="000000" w:themeColor="text1"/>
          <w:kern w:val="24"/>
          <w14:textFill>
            <w14:solidFill>
              <w14:schemeClr w14:val="tx1"/>
            </w14:solidFill>
          </w14:textFill>
        </w:rPr>
        <w:t>，项目符合国家产业政策和当地发展规划，选址位于农村地区，不在</w:t>
      </w:r>
      <w:r>
        <w:rPr>
          <w:rFonts w:cs="Times New Roman"/>
          <w:bCs/>
          <w:color w:val="000000" w:themeColor="text1"/>
          <w:kern w:val="24"/>
          <w:szCs w:val="20"/>
          <w14:textFill>
            <w14:solidFill>
              <w14:schemeClr w14:val="tx1"/>
            </w14:solidFill>
          </w14:textFill>
        </w:rPr>
        <w:t>屯留区</w:t>
      </w:r>
      <w:r>
        <w:rPr>
          <w:rFonts w:cs="Times New Roman"/>
          <w:bCs/>
          <w:color w:val="000000" w:themeColor="text1"/>
          <w:kern w:val="24"/>
          <w14:textFill>
            <w14:solidFill>
              <w14:schemeClr w14:val="tx1"/>
            </w14:solidFill>
          </w14:textFill>
        </w:rPr>
        <w:t>畜禽养殖禁养区范围内，不违背</w:t>
      </w:r>
      <w:r>
        <w:rPr>
          <w:rFonts w:cs="Times New Roman"/>
          <w:bCs/>
          <w:color w:val="000000" w:themeColor="text1"/>
          <w:kern w:val="24"/>
          <w:szCs w:val="20"/>
          <w14:textFill>
            <w14:solidFill>
              <w14:schemeClr w14:val="tx1"/>
            </w14:solidFill>
          </w14:textFill>
        </w:rPr>
        <w:t>屯留区</w:t>
      </w:r>
      <w:r>
        <w:rPr>
          <w:rFonts w:cs="Times New Roman"/>
          <w:bCs/>
          <w:color w:val="000000" w:themeColor="text1"/>
          <w:kern w:val="24"/>
          <w14:textFill>
            <w14:solidFill>
              <w14:schemeClr w14:val="tx1"/>
            </w14:solidFill>
          </w14:textFill>
        </w:rPr>
        <w:t>城市总体规划要求，不存在重大环境制约因素。工程建设所选工艺路线污染物产生量小，在采取了完善的污染治理措施后，可实现长期稳定达标，有效减少污染物排放量，对域环境影响可接受。项目严格工程环保设计，确保施工安装质量，严格执行“三同时”制度、排污许可制度，在落实本报告中提出的各项污染防治措施和风险防治措施的前提下，从环境影响角度出发，项目的建设和运行可行。</w:t>
      </w:r>
    </w:p>
    <w:p>
      <w:pPr>
        <w:ind w:firstLine="480"/>
        <w:rPr>
          <w:rFonts w:cs="Times New Roman"/>
          <w:color w:val="000000" w:themeColor="text1"/>
          <w14:textFill>
            <w14:solidFill>
              <w14:schemeClr w14:val="tx1"/>
            </w14:solidFill>
          </w14:textFill>
        </w:rPr>
        <w:sectPr>
          <w:pgSz w:w="11906" w:h="16838"/>
          <w:pgMar w:top="1418" w:right="1588" w:bottom="1560" w:left="1588" w:header="851" w:footer="992" w:gutter="0"/>
          <w:pgNumType w:fmt="numberInDash"/>
          <w:cols w:space="720" w:num="1"/>
          <w:docGrid w:linePitch="400" w:charSpace="0"/>
        </w:sectPr>
      </w:pPr>
    </w:p>
    <w:p>
      <w:pPr>
        <w:pStyle w:val="2"/>
        <w:spacing w:before="240" w:after="120"/>
        <w:rPr>
          <w:rFonts w:cs="Times New Roman"/>
          <w:color w:val="000000" w:themeColor="text1"/>
          <w14:textFill>
            <w14:solidFill>
              <w14:schemeClr w14:val="tx1"/>
            </w14:solidFill>
          </w14:textFill>
        </w:rPr>
      </w:pPr>
      <w:bookmarkStart w:id="82" w:name="_Toc249090476"/>
      <w:bookmarkStart w:id="83" w:name="_Toc47619452"/>
      <w:bookmarkStart w:id="84" w:name="_Toc47619955"/>
      <w:bookmarkStart w:id="85" w:name="_Toc47619107"/>
      <w:bookmarkStart w:id="86" w:name="_Toc47619769"/>
      <w:bookmarkStart w:id="87" w:name="_Toc91163824"/>
      <w:bookmarkStart w:id="88" w:name="_Toc47619346"/>
      <w:bookmarkStart w:id="89" w:name="_Toc52791824"/>
      <w:bookmarkStart w:id="90" w:name="_Toc58362723"/>
      <w:r>
        <w:rPr>
          <w:rFonts w:cs="Times New Roman"/>
          <w:color w:val="000000" w:themeColor="text1"/>
          <w14:textFill>
            <w14:solidFill>
              <w14:schemeClr w14:val="tx1"/>
            </w14:solidFill>
          </w14:textFill>
        </w:rPr>
        <w:t xml:space="preserve">第二章 </w:t>
      </w:r>
      <w:bookmarkEnd w:id="82"/>
      <w:r>
        <w:rPr>
          <w:rFonts w:cs="Times New Roman"/>
          <w:color w:val="000000" w:themeColor="text1"/>
          <w14:textFill>
            <w14:solidFill>
              <w14:schemeClr w14:val="tx1"/>
            </w14:solidFill>
          </w14:textFill>
        </w:rPr>
        <w:t>总则</w:t>
      </w:r>
      <w:bookmarkEnd w:id="83"/>
      <w:bookmarkEnd w:id="84"/>
      <w:bookmarkEnd w:id="85"/>
      <w:bookmarkEnd w:id="86"/>
      <w:bookmarkEnd w:id="87"/>
      <w:bookmarkEnd w:id="88"/>
      <w:bookmarkEnd w:id="89"/>
      <w:bookmarkEnd w:id="90"/>
      <w:bookmarkStart w:id="91" w:name="_Toc47619956"/>
      <w:bookmarkStart w:id="92" w:name="_Toc52791825"/>
      <w:bookmarkStart w:id="93" w:name="_Toc47619453"/>
      <w:bookmarkStart w:id="94" w:name="_Toc47619108"/>
      <w:bookmarkStart w:id="95" w:name="_Toc47619770"/>
      <w:bookmarkStart w:id="96" w:name="_Toc47619347"/>
      <w:bookmarkStart w:id="97" w:name="_Toc58362724"/>
      <w:bookmarkStart w:id="98" w:name="_Toc228067747"/>
      <w:bookmarkStart w:id="99" w:name="_Toc249090477"/>
    </w:p>
    <w:p>
      <w:pPr>
        <w:pStyle w:val="3"/>
        <w:spacing w:before="120" w:after="120"/>
        <w:rPr>
          <w:rFonts w:cs="Times New Roman"/>
          <w:color w:val="000000" w:themeColor="text1"/>
          <w14:textFill>
            <w14:solidFill>
              <w14:schemeClr w14:val="tx1"/>
            </w14:solidFill>
          </w14:textFill>
        </w:rPr>
      </w:pPr>
      <w:bookmarkStart w:id="100" w:name="_Toc91163825"/>
      <w:r>
        <w:rPr>
          <w:rFonts w:cs="Times New Roman"/>
          <w:color w:val="000000" w:themeColor="text1"/>
          <w14:textFill>
            <w14:solidFill>
              <w14:schemeClr w14:val="tx1"/>
            </w14:solidFill>
          </w14:textFill>
        </w:rPr>
        <w:t xml:space="preserve">2.1  </w:t>
      </w:r>
      <w:bookmarkEnd w:id="91"/>
      <w:bookmarkEnd w:id="92"/>
      <w:bookmarkEnd w:id="93"/>
      <w:bookmarkEnd w:id="94"/>
      <w:bookmarkEnd w:id="95"/>
      <w:bookmarkEnd w:id="96"/>
      <w:bookmarkEnd w:id="97"/>
      <w:bookmarkStart w:id="101" w:name="_Toc47619109"/>
      <w:bookmarkStart w:id="102" w:name="_Toc47619348"/>
      <w:bookmarkStart w:id="103" w:name="_Toc52791826"/>
      <w:bookmarkStart w:id="104" w:name="_Toc58362725"/>
      <w:bookmarkStart w:id="105" w:name="_Toc47619454"/>
      <w:bookmarkStart w:id="106" w:name="_Toc47619771"/>
      <w:bookmarkStart w:id="107" w:name="_Toc47619957"/>
      <w:r>
        <w:rPr>
          <w:rFonts w:cs="Times New Roman"/>
          <w:color w:val="000000" w:themeColor="text1"/>
          <w14:textFill>
            <w14:solidFill>
              <w14:schemeClr w14:val="tx1"/>
            </w14:solidFill>
          </w14:textFill>
        </w:rPr>
        <w:t>编制依据</w:t>
      </w:r>
      <w:bookmarkEnd w:id="100"/>
      <w:bookmarkEnd w:id="101"/>
      <w:bookmarkEnd w:id="102"/>
      <w:bookmarkEnd w:id="103"/>
      <w:bookmarkEnd w:id="104"/>
      <w:bookmarkEnd w:id="105"/>
      <w:bookmarkEnd w:id="106"/>
      <w:bookmarkEnd w:id="107"/>
    </w:p>
    <w:p>
      <w:pPr>
        <w:pStyle w:val="4"/>
        <w:rPr>
          <w:rFonts w:cs="Times New Roman"/>
          <w:color w:val="000000" w:themeColor="text1"/>
          <w14:textFill>
            <w14:solidFill>
              <w14:schemeClr w14:val="tx1"/>
            </w14:solidFill>
          </w14:textFill>
        </w:rPr>
      </w:pPr>
      <w:bookmarkStart w:id="108" w:name="_Toc91163826"/>
      <w:bookmarkStart w:id="109" w:name="_Toc52791827"/>
      <w:bookmarkStart w:id="110" w:name="_Toc58362726"/>
      <w:bookmarkStart w:id="111" w:name="_Toc47619772"/>
      <w:bookmarkStart w:id="112" w:name="_Toc47619110"/>
      <w:bookmarkStart w:id="113" w:name="_Toc47619958"/>
      <w:bookmarkStart w:id="114" w:name="_Toc228067726"/>
      <w:bookmarkStart w:id="115" w:name="_Toc249090456"/>
      <w:r>
        <w:rPr>
          <w:rFonts w:cs="Times New Roman"/>
          <w:color w:val="000000" w:themeColor="text1"/>
          <w14:textFill>
            <w14:solidFill>
              <w14:schemeClr w14:val="tx1"/>
            </w14:solidFill>
          </w14:textFill>
        </w:rPr>
        <w:t>2.1.1 任务依据</w:t>
      </w:r>
      <w:bookmarkEnd w:id="108"/>
      <w:bookmarkEnd w:id="109"/>
      <w:bookmarkEnd w:id="110"/>
      <w:bookmarkEnd w:id="111"/>
      <w:bookmarkEnd w:id="112"/>
      <w:bookmarkEnd w:id="113"/>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r>
        <w:rPr>
          <w:rFonts w:eastAsia="新宋体" w:cs="Times New Roman"/>
          <w:color w:val="000000" w:themeColor="text1"/>
          <w14:textFill>
            <w14:solidFill>
              <w14:schemeClr w14:val="tx1"/>
            </w14:solidFill>
          </w14:textFill>
        </w:rPr>
        <w:t>山西鑫达农牧有限公司1.5万头生猪产业化项目</w:t>
      </w:r>
      <w:r>
        <w:rPr>
          <w:rFonts w:cs="Times New Roman"/>
          <w:color w:val="000000" w:themeColor="text1"/>
          <w14:textFill>
            <w14:solidFill>
              <w14:schemeClr w14:val="tx1"/>
            </w14:solidFill>
          </w14:textFill>
        </w:rPr>
        <w:t>环境影响评价委托书，2021年6月28日；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（2）山西省企业投资项目备案证（2106-140405-89-01-892643），2021年6月25日。</w:t>
      </w:r>
    </w:p>
    <w:p>
      <w:pPr>
        <w:pStyle w:val="4"/>
        <w:rPr>
          <w:rFonts w:cs="Times New Roman"/>
          <w:color w:val="000000" w:themeColor="text1"/>
          <w14:textFill>
            <w14:solidFill>
              <w14:schemeClr w14:val="tx1"/>
            </w14:solidFill>
          </w14:textFill>
        </w:rPr>
      </w:pPr>
      <w:bookmarkStart w:id="116" w:name="_Toc91163827"/>
      <w:bookmarkStart w:id="117" w:name="_Toc52791828"/>
      <w:bookmarkStart w:id="118" w:name="_Toc58362727"/>
      <w:bookmarkStart w:id="119" w:name="_Toc47619959"/>
      <w:bookmarkStart w:id="120" w:name="_Toc47619111"/>
      <w:bookmarkStart w:id="121" w:name="_Toc47619773"/>
      <w:r>
        <w:rPr>
          <w:rFonts w:cs="Times New Roman"/>
          <w:color w:val="000000" w:themeColor="text1"/>
          <w14:textFill>
            <w14:solidFill>
              <w14:schemeClr w14:val="tx1"/>
            </w14:solidFill>
          </w14:textFill>
        </w:rPr>
        <w:t>2.1.2 法律法规</w:t>
      </w:r>
      <w:bookmarkEnd w:id="114"/>
      <w:bookmarkEnd w:id="115"/>
      <w:bookmarkEnd w:id="116"/>
      <w:bookmarkEnd w:id="117"/>
      <w:bookmarkEnd w:id="118"/>
      <w:bookmarkEnd w:id="119"/>
      <w:bookmarkEnd w:id="120"/>
      <w:bookmarkEnd w:id="121"/>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（1）《中华人民共和国环境保护法》，2015年1月1日；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（2）《中华人民共和国环境影响评价法》，2016年9月1日；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（3）《中华人民共和国大气污染防治法》，2016年1月1日；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（4）《中华人民共和国水污染防治法》，2018年12月29日；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（5）《中华人民共和国水法》，2016年7月2日；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（6）《中华人民共和国土壤污染防治法》，2019年1月1日；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（7）《中华人民共和国固体废物污染环境防治法》，</w:t>
      </w:r>
      <w:r>
        <w:rPr>
          <w:rFonts w:cs="Times New Roman"/>
          <w:bCs/>
          <w:color w:val="000000" w:themeColor="text1"/>
          <w14:textFill>
            <w14:solidFill>
              <w14:schemeClr w14:val="tx1"/>
            </w14:solidFill>
          </w14:textFill>
        </w:rPr>
        <w:t>2020年9月1日；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（8）《中华人民共和国环境噪声污染防治法》，2018年12月29日；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（9）《中华人民共和国水土保持法》，2011年3月1日；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（10）《中华人民共和国土地管理法》，2020年1月1日；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（11）《中华人民共和国野生动物保护法》，2018年10月26日；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（12）《建设项目环境保护管理条例》，2017年10月1日；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（13）《基本农田保护条例》，1998年12月24日；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（14）《畜禽养殖污染防治管理办法》，2013年10月8日；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（15）《家畜家禽防疫条例实施细则》（中华人民共和国农业部令第10号），1992年4月8日；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（16）《畜禽规模养殖污染防治条例》（国务院令643号），2014年1月1日；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（17）《山西省环境保护条例》（2016年修订），2017年3月1日；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（18）《山西省大气污染防治条例》，2019年1月1日；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（19）《山西省水污染防治条例》，2019年7月31日；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w:t>
      </w:r>
      <w:r>
        <w:rPr>
          <w:rFonts w:cs="Times New Roman"/>
          <w:bCs/>
          <w:color w:val="000000" w:themeColor="text1"/>
          <w14:textFill>
            <w14:solidFill>
              <w14:schemeClr w14:val="tx1"/>
            </w14:solidFill>
          </w14:textFill>
        </w:rPr>
        <w:t>《中华人民共和国畜牧法》，2015年4月24日修订。</w:t>
      </w:r>
    </w:p>
    <w:p>
      <w:pPr>
        <w:pStyle w:val="4"/>
        <w:rPr>
          <w:rFonts w:cs="Times New Roman"/>
          <w:color w:val="000000" w:themeColor="text1"/>
          <w14:textFill>
            <w14:solidFill>
              <w14:schemeClr w14:val="tx1"/>
            </w14:solidFill>
          </w14:textFill>
        </w:rPr>
      </w:pPr>
      <w:bookmarkStart w:id="122" w:name="_Toc47619774"/>
      <w:bookmarkStart w:id="123" w:name="_Toc47619960"/>
      <w:bookmarkStart w:id="124" w:name="_Toc91163828"/>
      <w:bookmarkStart w:id="125" w:name="_Toc58362728"/>
      <w:bookmarkStart w:id="126" w:name="_Toc52791829"/>
      <w:bookmarkStart w:id="127" w:name="_Toc47619112"/>
      <w:r>
        <w:rPr>
          <w:rFonts w:cs="Times New Roman"/>
          <w:color w:val="000000" w:themeColor="text1"/>
          <w14:textFill>
            <w14:solidFill>
              <w14:schemeClr w14:val="tx1"/>
            </w14:solidFill>
          </w14:textFill>
        </w:rPr>
        <w:t>2.1.3 规章及规范性文件</w:t>
      </w:r>
      <w:bookmarkEnd w:id="122"/>
      <w:bookmarkEnd w:id="123"/>
      <w:bookmarkEnd w:id="124"/>
      <w:bookmarkEnd w:id="125"/>
      <w:bookmarkEnd w:id="126"/>
      <w:bookmarkEnd w:id="12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（1）《建设项目环境影响评价分类管理名录》（2021年版），2021年1月1日；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cs="Times New Roman"/>
          <w:color w:val="000000" w:themeColor="text1"/>
          <w:lang w:val="en"/>
          <w14:textFill>
            <w14:solidFill>
              <w14:schemeClr w14:val="tx1"/>
            </w14:solidFill>
          </w14:textFill>
        </w:rPr>
        <w:t>环境影响评价公众参与办法</w:t>
      </w:r>
      <w:r>
        <w:rPr>
          <w:rFonts w:cs="Times New Roman"/>
          <w:color w:val="000000" w:themeColor="text1"/>
          <w14:textFill>
            <w14:solidFill>
              <w14:schemeClr w14:val="tx1"/>
            </w14:solidFill>
          </w14:textFill>
        </w:rPr>
        <w:t>》（部令第4号），2019年1月1日；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（3）生态环境部办公厅《关于进一步做好当前生猪规模养殖环评管理相关工作的通知》（环办环评[2019]872号），2019年11月29日；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（4）山西省生态环境厅《关于进一步做好生猪养殖项目环评管理工作的紧急通知》（晋环环评函[2020]81号），2020年2月28日；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（5）农业部农牧发〔2017〕11号“关于印发《畜禽粪污资源化利用行动方案（2017-2020年）》的通知”，2017年7月7日；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（6）农业部办公厅农办牧〔2017〕65号“关于统筹做好畜牧业发展和畜禽粪污治理工作的通知”，2017年12月25日；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（7）《关于在畜禽养殖废弃物资源化利用过程中加强环境监管的通知》（环水体[2017]120号），2017年9月6日；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（8）农业部办公厅关于印发《畜禽规模养殖场粪污资源化利用设施建设规范（试行）》，2018年1月5日；</w:t>
      </w:r>
    </w:p>
    <w:p>
      <w:pPr>
        <w:ind w:firstLine="480"/>
        <w:rPr>
          <w:rFonts w:cs="Times New Roman"/>
          <w:color w:val="000000" w:themeColor="text1"/>
          <w14:textFill>
            <w14:solidFill>
              <w14:schemeClr w14:val="tx1"/>
            </w14:solidFill>
          </w14:textFill>
        </w:rPr>
      </w:pPr>
      <w:r>
        <w:rPr>
          <w:rFonts w:cs="Times New Roman"/>
          <w:color w:val="000000" w:themeColor="text1"/>
          <w:kern w:val="0"/>
          <w:szCs w:val="24"/>
          <w14:textFill>
            <w14:solidFill>
              <w14:schemeClr w14:val="tx1"/>
            </w14:solidFill>
          </w14:textFill>
        </w:rPr>
        <w:t>（9）</w:t>
      </w:r>
      <w:r>
        <w:rPr>
          <w:rFonts w:cs="Times New Roman"/>
          <w:color w:val="000000" w:themeColor="text1"/>
          <w14:textFill>
            <w14:solidFill>
              <w14:schemeClr w14:val="tx1"/>
            </w14:solidFill>
          </w14:textFill>
        </w:rPr>
        <w:t>《关于加快推进畜禽养殖废弃物资源化利用的意见》（国办发[2017]48号）；</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（10）《大中型畜禽养殖场能源环境工程建设规划》，农业部；</w:t>
      </w:r>
    </w:p>
    <w:p>
      <w:pPr>
        <w:ind w:firstLine="48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（11）</w:t>
      </w:r>
      <w:bookmarkStart w:id="128" w:name="_Hlk90307648"/>
      <w:r>
        <w:rPr>
          <w:rFonts w:cs="Times New Roman"/>
          <w:bCs/>
          <w:color w:val="000000" w:themeColor="text1"/>
          <w14:textFill>
            <w14:solidFill>
              <w14:schemeClr w14:val="tx1"/>
            </w14:solidFill>
          </w14:textFill>
        </w:rPr>
        <w:t>《农业农村部关于印发〈</w:t>
      </w:r>
      <w:bookmarkStart w:id="129" w:name="_Hlk90457664"/>
      <w:r>
        <w:rPr>
          <w:rFonts w:cs="Times New Roman"/>
          <w:bCs/>
          <w:color w:val="000000" w:themeColor="text1"/>
          <w14:textFill>
            <w14:solidFill>
              <w14:schemeClr w14:val="tx1"/>
            </w14:solidFill>
          </w14:textFill>
        </w:rPr>
        <w:t>加快生猪生产恢复发展三年行动方案</w:t>
      </w:r>
      <w:bookmarkEnd w:id="129"/>
      <w:r>
        <w:rPr>
          <w:rFonts w:cs="Times New Roman"/>
          <w:bCs/>
          <w:color w:val="000000" w:themeColor="text1"/>
          <w14:textFill>
            <w14:solidFill>
              <w14:schemeClr w14:val="tx1"/>
            </w14:solidFill>
          </w14:textFill>
        </w:rPr>
        <w:t>〉的通知》</w:t>
      </w:r>
      <w:bookmarkEnd w:id="128"/>
      <w:r>
        <w:rPr>
          <w:rFonts w:cs="Times New Roman"/>
          <w:bCs/>
          <w:color w:val="000000" w:themeColor="text1"/>
          <w14:textFill>
            <w14:solidFill>
              <w14:schemeClr w14:val="tx1"/>
            </w14:solidFill>
          </w14:textFill>
        </w:rPr>
        <w:t>（农牧发[2019]39号），2019年12月4日。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（12）《国务院办公厅关于加快推进畜禽养殖废物资源化利用的意见》（国办发[2017]48号）；</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（13）《关于做好畜禽规模养殖项目环境影响评价管理工作的通知》（环办环评[2018]31号）；</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（14）《山西省生态环境厅关于贯彻落实&lt;关于做好畜禽养殖规模养殖项目环境影响评价管理工作的通知关于做好畜禽养殖规模养殖项目环境影响评价管理工作的通知&gt; 》（晋环环评函[2018]34号）；</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（15）《农业农村部办公厅 生态环境部办公厅关于进一步明确畜禽粪污还田利用要求强化养殖污染监管的通知》（农办牧[2020]23号）；</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（16）国务院关于印发《大气污染防治行动计划的通知》，国发[2013]37号，2013年9月10日；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（17）国务院关于印发《水污染行动防治计划的通知》，国发[2015]17号，2015年2月；</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（18）国务院关于印发《土壤污染防治行动计划的通知》，国发[2016]31号，2016年5月28日；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（19）《国务院打赢蓝天保卫战三年行动计划》国发[2018]22号，2018年6年27日；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（20）《山西省水污染防治2020年行动计划》（晋水防办发〔2020〕16号</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（21）《关于在全省范围执行大气污染物特别排放限值的公告》，山西省环境保护厅、山西省质量技术监督局公告2018年第1号；</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（22）《山西省人民政府办公厅关于印发山西省打赢蓝天保卫战2020年决战计划的通知》晋政办发[2020]17号，2020年3月12日；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（23）长治市水污染防治工作领导小组办公室关于印发《长治市水污染防治2020年行动计划》的通知，2020年8月31日；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（24）山西省环境保护厅“关于印发《山西省环境保护厅建设项目主要污染物排放总量核定办法》的通知”，晋环发[2015]25号文，2015年2月28日；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（25）山西省生态环境厅关于印发《山西省建设项目环境影响评价文件审批事项实施告知承诺制相关配套制度（试行）》的通知，晋环审批[2019]150号；</w:t>
      </w:r>
    </w:p>
    <w:p>
      <w:pPr>
        <w:pStyle w:val="4"/>
        <w:rPr>
          <w:rFonts w:cs="Times New Roman"/>
          <w:color w:val="000000" w:themeColor="text1"/>
          <w14:textFill>
            <w14:solidFill>
              <w14:schemeClr w14:val="tx1"/>
            </w14:solidFill>
          </w14:textFill>
        </w:rPr>
      </w:pPr>
      <w:bookmarkStart w:id="130" w:name="_Toc249090457"/>
      <w:bookmarkStart w:id="131" w:name="_Toc228067727"/>
      <w:bookmarkStart w:id="132" w:name="_Toc52791830"/>
      <w:bookmarkStart w:id="133" w:name="_Toc47619113"/>
      <w:bookmarkStart w:id="134" w:name="_Toc91163829"/>
      <w:bookmarkStart w:id="135" w:name="_Toc58362729"/>
      <w:bookmarkStart w:id="136" w:name="_Toc47619775"/>
      <w:bookmarkStart w:id="137" w:name="_Toc47619961"/>
      <w:r>
        <w:rPr>
          <w:rFonts w:cs="Times New Roman"/>
          <w:color w:val="000000" w:themeColor="text1"/>
          <w14:textFill>
            <w14:solidFill>
              <w14:schemeClr w14:val="tx1"/>
            </w14:solidFill>
          </w14:textFill>
        </w:rPr>
        <w:t>2.1.4 技术</w:t>
      </w:r>
      <w:bookmarkEnd w:id="130"/>
      <w:bookmarkEnd w:id="131"/>
      <w:r>
        <w:rPr>
          <w:rFonts w:cs="Times New Roman"/>
          <w:color w:val="000000" w:themeColor="text1"/>
          <w14:textFill>
            <w14:solidFill>
              <w14:schemeClr w14:val="tx1"/>
            </w14:solidFill>
          </w14:textFill>
        </w:rPr>
        <w:t>规范</w:t>
      </w:r>
      <w:bookmarkEnd w:id="132"/>
      <w:bookmarkEnd w:id="133"/>
      <w:bookmarkEnd w:id="134"/>
      <w:bookmarkEnd w:id="135"/>
      <w:bookmarkEnd w:id="136"/>
      <w:bookmarkEnd w:id="13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（1）《环境影响评价技术导则 总纲》（HJ2.1-2016）；</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（2）《环境影响评价技术导则 大气环境》（HJ2.2-2018）；</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（3）《环境影响评价技术导则 地表水环境》（HJ/2.3-2018）；</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（4）《环境影响评价技术导则 声环境》（HJ2.4-2009）；</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（5）《环境影响评价技术导则 地下水环境》（HJ610-2016）；</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（6）《环境影响评价技术导则 生态影响》（HJ19- 2011）；</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r>
        <w:rPr>
          <w:rFonts w:cs="Times New Roman"/>
          <w:color w:val="000000" w:themeColor="text1"/>
          <w:kern w:val="0"/>
          <w:szCs w:val="24"/>
          <w14:textFill>
            <w14:solidFill>
              <w14:schemeClr w14:val="tx1"/>
            </w14:solidFill>
          </w14:textFill>
        </w:rPr>
        <w:t>《环境影响评价技术导则 土壤环境（试行）》（HJ964-2018）；</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（8）《建设项目环境风险评价技术导则》（HJ/169-2018）；</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（9）《畜禽养殖产地环境评价规范》（HJ568-2010）；</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（10）《固体废物处理处置工程技术导则》（HJ2035-2013）；</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（11）《危险废物处置工程技术导则》（HJ2042-2014）；</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（12）《排污单位自行监测技术指南 总则》（HJ819-2017）；</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（13）《排污许可证申请与核发技术规范 畜禽养殖行业》（HJ1029-2019）；</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（14）《规模化畜禽养殖场沼气工程设计规范》（NY/T1222-2006）；</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（15）《畜禽养殖业污染防治技术规范》（HJ/T81-2001）；</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（16）《畜禽养殖业污染治理工程技术规范》（HJ 497-2009）；</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（17）《畜禽粪便无害化处理技术规范》（GB⁄T36195-2018）；</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（18）《粪便无害化卫生条件》（GB 7959-2012）；</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（19）《畜禽粪便农田利用环境影响评价准则》（GB/T26622-2011）；</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（20）《畜禽粪便还田技术规范》（GB/T25246-2010）。</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（21）《规模畜禽养殖场污染防治最佳可行技术指南》（HJ-BAT-10）；</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（22）《畜禽粪污土地承载力测算技术指南》，2018年1月15日；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（23）《病死及病害动物无害化处理技术规范》，农医发[2017]25号；</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（24）《畜禽养殖业污染防治技术政策》（环发[2010]151号）；</w:t>
      </w:r>
    </w:p>
    <w:p>
      <w:pPr>
        <w:pStyle w:val="4"/>
        <w:rPr>
          <w:rFonts w:cs="Times New Roman"/>
          <w:color w:val="000000" w:themeColor="text1"/>
          <w14:textFill>
            <w14:solidFill>
              <w14:schemeClr w14:val="tx1"/>
            </w14:solidFill>
          </w14:textFill>
        </w:rPr>
      </w:pPr>
      <w:bookmarkStart w:id="138" w:name="_Toc47619776"/>
      <w:bookmarkStart w:id="139" w:name="_Toc47619114"/>
      <w:bookmarkStart w:id="140" w:name="_Toc91163830"/>
      <w:bookmarkStart w:id="141" w:name="_Toc58362730"/>
      <w:bookmarkStart w:id="142" w:name="_Toc47619962"/>
      <w:bookmarkStart w:id="143" w:name="_Toc52791831"/>
      <w:r>
        <w:rPr>
          <w:rFonts w:cs="Times New Roman"/>
          <w:color w:val="000000" w:themeColor="text1"/>
          <w14:textFill>
            <w14:solidFill>
              <w14:schemeClr w14:val="tx1"/>
            </w14:solidFill>
          </w14:textFill>
        </w:rPr>
        <w:t>2.1.5 相关规划及区划</w:t>
      </w:r>
      <w:bookmarkEnd w:id="138"/>
      <w:bookmarkEnd w:id="139"/>
      <w:bookmarkEnd w:id="140"/>
      <w:bookmarkEnd w:id="141"/>
      <w:bookmarkEnd w:id="142"/>
      <w:bookmarkEnd w:id="143"/>
    </w:p>
    <w:p>
      <w:pPr>
        <w:pStyle w:val="90"/>
        <w:spacing w:line="360" w:lineRule="auto"/>
        <w:ind w:firstLine="488"/>
        <w:rPr>
          <w:rFonts w:ascii="Times New Roman" w:hAnsi="Times New Roman" w:cs="Times New Roman"/>
          <w:color w:val="000000" w:themeColor="text1"/>
          <w:spacing w:val="4"/>
          <w:sz w:val="24"/>
          <w:szCs w:val="24"/>
          <w14:textFill>
            <w14:solidFill>
              <w14:schemeClr w14:val="tx1"/>
            </w14:solidFill>
          </w14:textFill>
        </w:rPr>
      </w:pPr>
      <w:r>
        <w:rPr>
          <w:rFonts w:ascii="Times New Roman" w:hAnsi="Times New Roman" w:cs="Times New Roman"/>
          <w:color w:val="000000" w:themeColor="text1"/>
          <w:spacing w:val="4"/>
          <w:sz w:val="24"/>
          <w:szCs w:val="24"/>
          <w14:textFill>
            <w14:solidFill>
              <w14:schemeClr w14:val="tx1"/>
            </w14:solidFill>
          </w14:textFill>
        </w:rPr>
        <w:t>（1）《山西省主体功能区划》；</w:t>
      </w:r>
    </w:p>
    <w:p>
      <w:pPr>
        <w:ind w:firstLine="488"/>
        <w:rPr>
          <w:rFonts w:cs="Times New Roman"/>
          <w:color w:val="000000" w:themeColor="text1"/>
          <w14:textFill>
            <w14:solidFill>
              <w14:schemeClr w14:val="tx1"/>
            </w14:solidFill>
          </w14:textFill>
        </w:rPr>
      </w:pPr>
      <w:r>
        <w:rPr>
          <w:rFonts w:cs="Times New Roman"/>
          <w:bCs/>
          <w:color w:val="000000" w:themeColor="text1"/>
          <w:spacing w:val="4"/>
          <w:szCs w:val="24"/>
          <w14:textFill>
            <w14:solidFill>
              <w14:schemeClr w14:val="tx1"/>
            </w14:solidFill>
          </w14:textFill>
        </w:rPr>
        <w:t>（2）</w:t>
      </w:r>
      <w:r>
        <w:rPr>
          <w:rFonts w:cs="Times New Roman"/>
          <w:color w:val="000000" w:themeColor="text1"/>
          <w14:textFill>
            <w14:solidFill>
              <w14:schemeClr w14:val="tx1"/>
            </w14:solidFill>
          </w14:textFill>
        </w:rPr>
        <w:t>《山西省地表水水环境功能区划》（DB14/67-2019）；</w:t>
      </w:r>
    </w:p>
    <w:p>
      <w:pPr>
        <w:pStyle w:val="90"/>
        <w:spacing w:line="360" w:lineRule="auto"/>
        <w:ind w:firstLine="488"/>
        <w:rPr>
          <w:rFonts w:ascii="Times New Roman" w:hAnsi="Times New Roman" w:cs="Times New Roman"/>
          <w:bCs/>
          <w:color w:val="000000" w:themeColor="text1"/>
          <w:spacing w:val="4"/>
          <w:sz w:val="24"/>
          <w:szCs w:val="24"/>
          <w14:textFill>
            <w14:solidFill>
              <w14:schemeClr w14:val="tx1"/>
            </w14:solidFill>
          </w14:textFill>
        </w:rPr>
      </w:pPr>
      <w:r>
        <w:rPr>
          <w:rFonts w:ascii="Times New Roman" w:hAnsi="Times New Roman" w:cs="Times New Roman"/>
          <w:bCs/>
          <w:color w:val="000000" w:themeColor="text1"/>
          <w:spacing w:val="4"/>
          <w:sz w:val="24"/>
          <w:szCs w:val="24"/>
          <w14:textFill>
            <w14:solidFill>
              <w14:schemeClr w14:val="tx1"/>
            </w14:solidFill>
          </w14:textFill>
        </w:rPr>
        <w:t>（3）《漳泽湖生态保护与修复规划（2021~2035年）》；</w:t>
      </w:r>
    </w:p>
    <w:p>
      <w:pPr>
        <w:pStyle w:val="90"/>
        <w:spacing w:line="360" w:lineRule="auto"/>
        <w:ind w:firstLine="488"/>
        <w:rPr>
          <w:rFonts w:ascii="Times New Roman" w:hAnsi="Times New Roman" w:cs="Times New Roman"/>
          <w:color w:val="000000" w:themeColor="text1"/>
          <w:spacing w:val="4"/>
          <w:sz w:val="24"/>
          <w:szCs w:val="24"/>
          <w14:textFill>
            <w14:solidFill>
              <w14:schemeClr w14:val="tx1"/>
            </w14:solidFill>
          </w14:textFill>
        </w:rPr>
      </w:pPr>
      <w:r>
        <w:rPr>
          <w:rFonts w:ascii="Times New Roman" w:hAnsi="Times New Roman" w:cs="Times New Roman"/>
          <w:bCs/>
          <w:color w:val="000000" w:themeColor="text1"/>
          <w:spacing w:val="4"/>
          <w:sz w:val="24"/>
          <w:szCs w:val="24"/>
          <w14:textFill>
            <w14:solidFill>
              <w14:schemeClr w14:val="tx1"/>
            </w14:solidFill>
          </w14:textFill>
        </w:rPr>
        <w:t>（4）《屯留区畜禽养殖禁养区划分方案》（2020年）；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r>
        <w:rPr>
          <w:rFonts w:cs="Times New Roman"/>
          <w:bCs/>
          <w:color w:val="000000" w:themeColor="text1"/>
          <w14:textFill>
            <w14:solidFill>
              <w14:schemeClr w14:val="tx1"/>
            </w14:solidFill>
          </w14:textFill>
        </w:rPr>
        <w:t>《屯留县县城总体规划》（2012-2030年）；</w:t>
      </w:r>
    </w:p>
    <w:p>
      <w:pPr>
        <w:pStyle w:val="90"/>
        <w:spacing w:line="360" w:lineRule="auto"/>
        <w:ind w:firstLine="488"/>
        <w:rPr>
          <w:rFonts w:ascii="Times New Roman" w:hAnsi="Times New Roman" w:cs="Times New Roman"/>
          <w:color w:val="000000" w:themeColor="text1"/>
          <w:spacing w:val="4"/>
          <w:sz w:val="24"/>
          <w:szCs w:val="24"/>
          <w14:textFill>
            <w14:solidFill>
              <w14:schemeClr w14:val="tx1"/>
            </w14:solidFill>
          </w14:textFill>
        </w:rPr>
      </w:pPr>
      <w:r>
        <w:rPr>
          <w:rFonts w:ascii="Times New Roman" w:hAnsi="Times New Roman" w:cs="Times New Roman"/>
          <w:color w:val="000000" w:themeColor="text1"/>
          <w:spacing w:val="4"/>
          <w:sz w:val="24"/>
          <w:szCs w:val="24"/>
          <w14:textFill>
            <w14:solidFill>
              <w14:schemeClr w14:val="tx1"/>
            </w14:solidFill>
          </w14:textFill>
        </w:rPr>
        <w:t>（6）</w:t>
      </w:r>
      <w:r>
        <w:rPr>
          <w:rFonts w:ascii="Times New Roman" w:hAnsi="Times New Roman" w:cs="Times New Roman"/>
          <w:bCs/>
          <w:color w:val="000000" w:themeColor="text1"/>
          <w:spacing w:val="4"/>
          <w:sz w:val="24"/>
          <w:szCs w:val="24"/>
          <w14:textFill>
            <w14:solidFill>
              <w14:schemeClr w14:val="tx1"/>
            </w14:solidFill>
          </w14:textFill>
        </w:rPr>
        <w:t>《屯留县生态功能区划》；</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r>
        <w:rPr>
          <w:rFonts w:cs="Times New Roman"/>
          <w:bCs/>
          <w:color w:val="000000" w:themeColor="text1"/>
          <w:spacing w:val="4"/>
          <w:szCs w:val="24"/>
          <w14:textFill>
            <w14:solidFill>
              <w14:schemeClr w14:val="tx1"/>
            </w14:solidFill>
          </w14:textFill>
        </w:rPr>
        <w:t>《屯留县生态经济区划》</w:t>
      </w:r>
      <w:r>
        <w:rPr>
          <w:rFonts w:cs="Times New Roman"/>
          <w:color w:val="000000" w:themeColor="text1"/>
          <w:spacing w:val="4"/>
          <w14:textFill>
            <w14:solidFill>
              <w14:schemeClr w14:val="tx1"/>
            </w14:solidFill>
          </w14:textFill>
        </w:rPr>
        <w:t>。</w:t>
      </w:r>
    </w:p>
    <w:p>
      <w:pPr>
        <w:pStyle w:val="3"/>
        <w:spacing w:before="120" w:after="120"/>
        <w:rPr>
          <w:rFonts w:cs="Times New Roman"/>
          <w:color w:val="000000" w:themeColor="text1"/>
          <w14:textFill>
            <w14:solidFill>
              <w14:schemeClr w14:val="tx1"/>
            </w14:solidFill>
          </w14:textFill>
        </w:rPr>
      </w:pPr>
      <w:bookmarkStart w:id="144" w:name="_Toc58362732"/>
      <w:bookmarkStart w:id="145" w:name="_Toc91163831"/>
      <w:bookmarkStart w:id="146" w:name="_Toc47619778"/>
      <w:bookmarkStart w:id="147" w:name="_Toc47619964"/>
      <w:bookmarkStart w:id="148" w:name="_Toc52791833"/>
      <w:bookmarkStart w:id="149" w:name="_Toc47619455"/>
      <w:bookmarkStart w:id="150" w:name="_Toc47619116"/>
      <w:bookmarkStart w:id="151" w:name="_Toc47619349"/>
      <w:r>
        <w:rPr>
          <w:rFonts w:cs="Times New Roman"/>
          <w:color w:val="000000" w:themeColor="text1"/>
          <w14:textFill>
            <w14:solidFill>
              <w14:schemeClr w14:val="tx1"/>
            </w14:solidFill>
          </w14:textFill>
        </w:rPr>
        <w:t>2.2  环境影响识别与评价因子筛选</w:t>
      </w:r>
      <w:bookmarkEnd w:id="144"/>
      <w:bookmarkEnd w:id="145"/>
      <w:bookmarkEnd w:id="146"/>
      <w:bookmarkEnd w:id="147"/>
      <w:bookmarkEnd w:id="148"/>
      <w:bookmarkEnd w:id="149"/>
      <w:bookmarkEnd w:id="150"/>
      <w:bookmarkEnd w:id="151"/>
    </w:p>
    <w:p>
      <w:pPr>
        <w:pStyle w:val="4"/>
        <w:rPr>
          <w:rFonts w:cs="Times New Roman"/>
          <w:color w:val="000000" w:themeColor="text1"/>
          <w14:textFill>
            <w14:solidFill>
              <w14:schemeClr w14:val="tx1"/>
            </w14:solidFill>
          </w14:textFill>
        </w:rPr>
      </w:pPr>
      <w:bookmarkStart w:id="152" w:name="_Toc47619965"/>
      <w:bookmarkStart w:id="153" w:name="_Toc47619779"/>
      <w:bookmarkStart w:id="154" w:name="_Toc52791834"/>
      <w:bookmarkStart w:id="155" w:name="_Toc58362733"/>
      <w:bookmarkStart w:id="156" w:name="_Toc91163832"/>
      <w:bookmarkStart w:id="157" w:name="_Toc47619117"/>
      <w:r>
        <w:rPr>
          <w:rFonts w:cs="Times New Roman"/>
          <w:color w:val="000000" w:themeColor="text1"/>
          <w14:textFill>
            <w14:solidFill>
              <w14:schemeClr w14:val="tx1"/>
            </w14:solidFill>
          </w14:textFill>
        </w:rPr>
        <w:t>2.2.1 环境影响因素识别</w:t>
      </w:r>
      <w:bookmarkEnd w:id="152"/>
      <w:bookmarkEnd w:id="153"/>
      <w:bookmarkEnd w:id="154"/>
      <w:bookmarkEnd w:id="155"/>
      <w:bookmarkEnd w:id="156"/>
      <w:bookmarkEnd w:id="157"/>
    </w:p>
    <w:p>
      <w:pPr>
        <w:pStyle w:val="5"/>
        <w:rPr>
          <w:color w:val="000000" w:themeColor="text1"/>
          <w14:textFill>
            <w14:solidFill>
              <w14:schemeClr w14:val="tx1"/>
            </w14:solidFill>
          </w14:textFill>
        </w:rPr>
      </w:pPr>
      <w:r>
        <w:rPr>
          <w:color w:val="000000" w:themeColor="text1"/>
          <w14:textFill>
            <w14:solidFill>
              <w14:schemeClr w14:val="tx1"/>
            </w14:solidFill>
          </w14:textFill>
        </w:rPr>
        <w:t>2.2.1.1识别与筛选的目的</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本项目建设期、</w:t>
      </w:r>
      <w:r>
        <w:rPr>
          <w:rFonts w:cs="Times New Roman"/>
          <w:bCs/>
          <w:color w:val="000000" w:themeColor="text1"/>
          <w:kern w:val="24"/>
          <w14:textFill>
            <w14:solidFill>
              <w14:schemeClr w14:val="tx1"/>
            </w14:solidFill>
          </w14:textFill>
        </w:rPr>
        <w:t>运营期</w:t>
      </w:r>
      <w:r>
        <w:rPr>
          <w:rFonts w:cs="Times New Roman"/>
          <w:color w:val="000000" w:themeColor="text1"/>
          <w14:textFill>
            <w14:solidFill>
              <w14:schemeClr w14:val="tx1"/>
            </w14:solidFill>
          </w14:textFill>
        </w:rPr>
        <w:t>都将会给环境带来一定的影响。本评价根据工程类别、规模、工艺特征和建设工程的特点，以及项目所处地区的污染状况，通过区域环境对建设项目的制约因素的分析，识别建设项目对环境影响的主要生产环节、设备和主要的环境敏感因素，确定工程对区域自然环境、社会经济、生态环境等方面的可能影响、影响程度和范围，以确定环境影响评价工作内容、评价重点及预测因子。</w:t>
      </w:r>
    </w:p>
    <w:p>
      <w:pPr>
        <w:pStyle w:val="5"/>
        <w:rPr>
          <w:color w:val="000000" w:themeColor="text1"/>
          <w14:textFill>
            <w14:solidFill>
              <w14:schemeClr w14:val="tx1"/>
            </w14:solidFill>
          </w14:textFill>
        </w:rPr>
      </w:pPr>
      <w:r>
        <w:rPr>
          <w:color w:val="000000" w:themeColor="text1"/>
          <w14:textFill>
            <w14:solidFill>
              <w14:schemeClr w14:val="tx1"/>
            </w14:solidFill>
          </w14:textFill>
        </w:rPr>
        <w:t>2.3.1.2拟建工程周围环境的制约因素识别</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本项目建设及运营会对周边自然物理环境、生态环境、地方经济及生活质量等产生一定的影响。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（1）对自然物理资源的影响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建设期主要影响表现在对环境空气、声环境、地表水环境及土壤的不利影响上。主要表现为施工过程中清理场地、场地平整、场地开挖、地基处理、搅拌、运料等施工机械和运输车辆产生的废气、废水、噪声等污染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运营期对环境产生的主要影响包括废气、废水、固体废物排放及生态影响，工程虽然采用了较严格的污染治理措施，但仍不能完全排除对周围环境产生不利影响的可能。生产运行期的这些影响为长期的、直接的影响，具体包括：</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对环境空气的影响主要有猪舍、污水处理过程（黑膜沼气池、沼液储存池）、固粪处理区、无害化处理车间产生的恶臭，沼气发电燃烧废气，食堂油烟等；</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对水环境的影响主要是职工办公生活废水、养殖废水（猪尿、冲洗废水、）、</w:t>
      </w:r>
      <w:r>
        <w:rPr>
          <w:rFonts w:cs="Times New Roman"/>
          <w:color w:val="000000" w:themeColor="text1"/>
          <w:lang w:bidi="en-US"/>
          <w14:textFill>
            <w14:solidFill>
              <w14:schemeClr w14:val="tx1"/>
            </w14:solidFill>
          </w14:textFill>
        </w:rPr>
        <w:t>无害化设备冷凝水及堆肥发酵场滤液等</w:t>
      </w:r>
      <w:r>
        <w:rPr>
          <w:rFonts w:cs="Times New Roman"/>
          <w:color w:val="000000" w:themeColor="text1"/>
          <w14:textFill>
            <w14:solidFill>
              <w14:schemeClr w14:val="tx1"/>
            </w14:solidFill>
          </w14:textFill>
        </w:rPr>
        <w:t>，通过下渗有可能污染地下水。</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t>对声环境的影响主要是猪叫、风机、泵、机械设备等产生的噪声。</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cs="Times New Roman"/>
          <w:color w:val="000000" w:themeColor="text1"/>
          <w14:textFill>
            <w14:solidFill>
              <w14:schemeClr w14:val="tx1"/>
            </w14:solidFill>
          </w14:textFill>
        </w:rPr>
        <w:t>固体废物对环境的影响主要为猪粪便、病死猪尸体、母猪胎盘、沼渣、防疫医疗垃圾、生活垃圾等不合理处置产生的影响。</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rFonts w:cs="Times New Roman"/>
          <w:color w:val="000000" w:themeColor="text1"/>
          <w14:textFill>
            <w14:solidFill>
              <w14:schemeClr w14:val="tx1"/>
            </w14:solidFill>
          </w14:textFill>
        </w:rPr>
        <w:t>对生态环境的影响主要是项目占地对土地功能的改变，项目排放的废气、废水等对环境的不利影响。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施工期对自然物理环境的影响见表2.2-1，运营期对自然物理环境的影响见表2.2-2。</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2.2-1 </w:t>
      </w:r>
      <w:r>
        <w:rPr>
          <w:rFonts w:cs="Times New Roman"/>
          <w:color w:val="000000" w:themeColor="text1"/>
          <w14:textFill>
            <w14:solidFill>
              <w14:schemeClr w14:val="tx1"/>
            </w14:solidFill>
          </w14:textFill>
        </w:rPr>
        <w:t>施工期对自然物理资源的影响</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630"/>
        <w:gridCol w:w="1067"/>
        <w:gridCol w:w="2793"/>
        <w:gridCol w:w="1775"/>
        <w:gridCol w:w="2495"/>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36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编号</w:t>
            </w:r>
          </w:p>
        </w:tc>
        <w:tc>
          <w:tcPr>
            <w:tcW w:w="60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环境要素</w:t>
            </w:r>
          </w:p>
        </w:tc>
        <w:tc>
          <w:tcPr>
            <w:tcW w:w="159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1013"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42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对自然物理环境的影响</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609"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环境空气</w:t>
            </w:r>
          </w:p>
        </w:tc>
        <w:tc>
          <w:tcPr>
            <w:tcW w:w="159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施工机械、运输车辆</w:t>
            </w:r>
          </w:p>
        </w:tc>
        <w:tc>
          <w:tcPr>
            <w:tcW w:w="1013"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扬尘</w:t>
            </w:r>
          </w:p>
        </w:tc>
        <w:tc>
          <w:tcPr>
            <w:tcW w:w="1424" w:type="pct"/>
            <w:vMerge w:val="restart"/>
            <w:tcBorders>
              <w:top w:val="single" w:color="auto" w:sz="1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短期不利影响，随着工程的建成投产、地表硬化和绿化，不利影响将随之结束</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594"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建筑材料、固废堆场</w:t>
            </w:r>
          </w:p>
        </w:tc>
        <w:tc>
          <w:tcPr>
            <w:tcW w:w="1013" w:type="pct"/>
            <w:vMerge w:val="continue"/>
            <w:vAlign w:val="center"/>
          </w:tcPr>
          <w:p>
            <w:pPr>
              <w:pStyle w:val="332"/>
              <w:rPr>
                <w:color w:val="000000" w:themeColor="text1"/>
                <w14:textFill>
                  <w14:solidFill>
                    <w14:schemeClr w14:val="tx1"/>
                  </w14:solidFill>
                </w14:textFill>
              </w:rPr>
            </w:pPr>
          </w:p>
        </w:tc>
        <w:tc>
          <w:tcPr>
            <w:tcW w:w="1424"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594"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场地平整、开挖、植被破坏等地表扰动造成地表裸露</w:t>
            </w:r>
          </w:p>
        </w:tc>
        <w:tc>
          <w:tcPr>
            <w:tcW w:w="1013" w:type="pct"/>
            <w:vMerge w:val="continue"/>
            <w:vAlign w:val="center"/>
          </w:tcPr>
          <w:p>
            <w:pPr>
              <w:pStyle w:val="332"/>
              <w:rPr>
                <w:color w:val="000000" w:themeColor="text1"/>
                <w14:textFill>
                  <w14:solidFill>
                    <w14:schemeClr w14:val="tx1"/>
                  </w14:solidFill>
                </w14:textFill>
              </w:rPr>
            </w:pPr>
          </w:p>
        </w:tc>
        <w:tc>
          <w:tcPr>
            <w:tcW w:w="1424"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水环境</w:t>
            </w:r>
          </w:p>
        </w:tc>
        <w:tc>
          <w:tcPr>
            <w:tcW w:w="1594" w:type="pct"/>
            <w:vAlign w:val="center"/>
          </w:tcPr>
          <w:p>
            <w:pPr>
              <w:pStyle w:val="332"/>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施工废水、生活污水</w:t>
            </w:r>
          </w:p>
        </w:tc>
        <w:tc>
          <w:tcPr>
            <w:tcW w:w="101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SS、COD、BOD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、石油类等</w:t>
            </w:r>
          </w:p>
        </w:tc>
        <w:tc>
          <w:tcPr>
            <w:tcW w:w="1424"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目施工期废水不外排，全部回用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60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生态环境</w:t>
            </w:r>
          </w:p>
        </w:tc>
        <w:tc>
          <w:tcPr>
            <w:tcW w:w="1594" w:type="pct"/>
            <w:vAlign w:val="center"/>
          </w:tcPr>
          <w:p>
            <w:pPr>
              <w:pStyle w:val="332"/>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场地平整、开挖、植被破坏等地表扰动造成地表裸露</w:t>
            </w:r>
          </w:p>
        </w:tc>
        <w:tc>
          <w:tcPr>
            <w:tcW w:w="1013"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植被破坏</w:t>
            </w:r>
          </w:p>
        </w:tc>
        <w:tc>
          <w:tcPr>
            <w:tcW w:w="1424" w:type="pct"/>
            <w:vMerge w:val="restar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加重水土流失、占地</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594" w:type="pct"/>
            <w:vAlign w:val="center"/>
          </w:tcPr>
          <w:p>
            <w:pPr>
              <w:pStyle w:val="332"/>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建筑施工</w:t>
            </w:r>
          </w:p>
        </w:tc>
        <w:tc>
          <w:tcPr>
            <w:tcW w:w="1013"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建筑垃圾</w:t>
            </w:r>
          </w:p>
        </w:tc>
        <w:tc>
          <w:tcPr>
            <w:tcW w:w="1424"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594" w:type="pct"/>
            <w:vAlign w:val="center"/>
          </w:tcPr>
          <w:p>
            <w:pPr>
              <w:pStyle w:val="332"/>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职工生活</w:t>
            </w:r>
          </w:p>
        </w:tc>
        <w:tc>
          <w:tcPr>
            <w:tcW w:w="1013"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生活垃圾</w:t>
            </w:r>
          </w:p>
        </w:tc>
        <w:tc>
          <w:tcPr>
            <w:tcW w:w="1424"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1594" w:type="pct"/>
            <w:vAlign w:val="center"/>
          </w:tcPr>
          <w:p>
            <w:pPr>
              <w:pStyle w:val="332"/>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施工、运输机械设备</w:t>
            </w:r>
          </w:p>
        </w:tc>
        <w:tc>
          <w:tcPr>
            <w:tcW w:w="101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1424"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对场址周围声环境产生不利影响</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表2.2-2 运营期对自然物理资源的影响</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630"/>
        <w:gridCol w:w="1067"/>
        <w:gridCol w:w="2427"/>
        <w:gridCol w:w="2283"/>
        <w:gridCol w:w="2353"/>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36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编号</w:t>
            </w:r>
          </w:p>
        </w:tc>
        <w:tc>
          <w:tcPr>
            <w:tcW w:w="60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环境要素</w:t>
            </w:r>
          </w:p>
        </w:tc>
        <w:tc>
          <w:tcPr>
            <w:tcW w:w="1385"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1303"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343"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对自然物理环境的影响</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609"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环境空气</w:t>
            </w:r>
          </w:p>
        </w:tc>
        <w:tc>
          <w:tcPr>
            <w:tcW w:w="1385"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1303"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S、NH</w:t>
            </w:r>
            <w:r>
              <w:rPr>
                <w:color w:val="000000" w:themeColor="text1"/>
                <w:vertAlign w:val="subscript"/>
                <w14:textFill>
                  <w14:solidFill>
                    <w14:schemeClr w14:val="tx1"/>
                  </w14:solidFill>
                </w14:textFill>
              </w:rPr>
              <w:t>3</w:t>
            </w:r>
          </w:p>
        </w:tc>
        <w:tc>
          <w:tcPr>
            <w:tcW w:w="1343"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对周围环境空气产生影响</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污水处理单元</w:t>
            </w:r>
          </w:p>
        </w:tc>
        <w:tc>
          <w:tcPr>
            <w:tcW w:w="13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S、NH</w:t>
            </w:r>
            <w:r>
              <w:rPr>
                <w:color w:val="000000" w:themeColor="text1"/>
                <w:vertAlign w:val="subscript"/>
                <w14:textFill>
                  <w14:solidFill>
                    <w14:schemeClr w14:val="tx1"/>
                  </w14:solidFill>
                </w14:textFill>
              </w:rPr>
              <w:t>3</w:t>
            </w: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固粪处理区</w:t>
            </w:r>
          </w:p>
        </w:tc>
        <w:tc>
          <w:tcPr>
            <w:tcW w:w="13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S、NH</w:t>
            </w:r>
            <w:r>
              <w:rPr>
                <w:color w:val="000000" w:themeColor="text1"/>
                <w:vertAlign w:val="subscript"/>
                <w14:textFill>
                  <w14:solidFill>
                    <w14:schemeClr w14:val="tx1"/>
                  </w14:solidFill>
                </w14:textFill>
              </w:rPr>
              <w:t>3</w:t>
            </w: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w:t>
            </w:r>
          </w:p>
        </w:tc>
        <w:tc>
          <w:tcPr>
            <w:tcW w:w="13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S、NH</w:t>
            </w:r>
            <w:r>
              <w:rPr>
                <w:color w:val="000000" w:themeColor="text1"/>
                <w:vertAlign w:val="subscript"/>
                <w14:textFill>
                  <w14:solidFill>
                    <w14:schemeClr w14:val="tx1"/>
                  </w14:solidFill>
                </w14:textFill>
              </w:rPr>
              <w:t>3</w:t>
            </w: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沼气发电机</w:t>
            </w:r>
          </w:p>
        </w:tc>
        <w:tc>
          <w:tcPr>
            <w:tcW w:w="13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烟尘、SO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、NOx</w:t>
            </w: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食堂</w:t>
            </w:r>
          </w:p>
        </w:tc>
        <w:tc>
          <w:tcPr>
            <w:tcW w:w="13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油烟</w:t>
            </w: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60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水环境</w:t>
            </w:r>
          </w:p>
        </w:tc>
        <w:tc>
          <w:tcPr>
            <w:tcW w:w="13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猪尿</w:t>
            </w:r>
          </w:p>
        </w:tc>
        <w:tc>
          <w:tcPr>
            <w:tcW w:w="1303"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SS、COD、BOD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-N、粪大肠菌群</w:t>
            </w:r>
          </w:p>
        </w:tc>
        <w:tc>
          <w:tcPr>
            <w:tcW w:w="1343"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废水中各污染物将对水环境产生影响</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14:textFill>
                  <w14:solidFill>
                    <w14:schemeClr w14:val="tx1"/>
                  </w14:solidFill>
                </w14:textFill>
              </w:rPr>
            </w:pPr>
            <w:r>
              <w:rPr>
                <w:color w:val="000000" w:themeColor="text1"/>
                <w:lang w:bidi="en-US"/>
                <w14:textFill>
                  <w14:solidFill>
                    <w14:schemeClr w14:val="tx1"/>
                  </w14:solidFill>
                </w14:textFill>
              </w:rPr>
              <w:t>猪舍冲洗</w:t>
            </w:r>
          </w:p>
        </w:tc>
        <w:tc>
          <w:tcPr>
            <w:tcW w:w="1303" w:type="pct"/>
            <w:vMerge w:val="continue"/>
            <w:vAlign w:val="center"/>
          </w:tcPr>
          <w:p>
            <w:pPr>
              <w:pStyle w:val="332"/>
              <w:rPr>
                <w:color w:val="000000" w:themeColor="text1"/>
                <w14:textFill>
                  <w14:solidFill>
                    <w14:schemeClr w14:val="tx1"/>
                  </w14:solidFill>
                </w14:textFill>
              </w:rPr>
            </w:pP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highlight w:val="yellow"/>
                <w14:textFill>
                  <w14:solidFill>
                    <w14:schemeClr w14:val="tx1"/>
                  </w14:solidFill>
                </w14:textFill>
              </w:rPr>
            </w:pPr>
            <w:r>
              <w:rPr>
                <w:color w:val="000000" w:themeColor="text1"/>
                <w:lang w:bidi="en-US"/>
                <w14:textFill>
                  <w14:solidFill>
                    <w14:schemeClr w14:val="tx1"/>
                  </w14:solidFill>
                </w14:textFill>
              </w:rPr>
              <w:t>分娩猪清洗</w:t>
            </w:r>
          </w:p>
        </w:tc>
        <w:tc>
          <w:tcPr>
            <w:tcW w:w="1303" w:type="pct"/>
            <w:vMerge w:val="continue"/>
            <w:vAlign w:val="center"/>
          </w:tcPr>
          <w:p>
            <w:pPr>
              <w:pStyle w:val="332"/>
              <w:rPr>
                <w:color w:val="000000" w:themeColor="text1"/>
                <w14:textFill>
                  <w14:solidFill>
                    <w14:schemeClr w14:val="tx1"/>
                  </w14:solidFill>
                </w14:textFill>
              </w:rPr>
            </w:pP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highlight w:val="yellow"/>
                <w14:textFill>
                  <w14:solidFill>
                    <w14:schemeClr w14:val="tx1"/>
                  </w14:solidFill>
                </w14:textFill>
              </w:rPr>
            </w:pPr>
            <w:r>
              <w:rPr>
                <w:color w:val="000000" w:themeColor="text1"/>
                <w:kern w:val="0"/>
                <w14:textFill>
                  <w14:solidFill>
                    <w14:schemeClr w14:val="tx1"/>
                  </w14:solidFill>
                </w14:textFill>
              </w:rPr>
              <w:t>器具清洗</w:t>
            </w:r>
          </w:p>
        </w:tc>
        <w:tc>
          <w:tcPr>
            <w:tcW w:w="13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SS</w:t>
            </w: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highlight w:val="yellow"/>
                <w14:textFill>
                  <w14:solidFill>
                    <w14:schemeClr w14:val="tx1"/>
                  </w14:solidFill>
                </w14:textFill>
              </w:rPr>
            </w:pPr>
            <w:r>
              <w:rPr>
                <w:color w:val="000000" w:themeColor="text1"/>
                <w:lang w:bidi="en-US"/>
                <w14:textFill>
                  <w14:solidFill>
                    <w14:schemeClr w14:val="tx1"/>
                  </w14:solidFill>
                </w14:textFill>
              </w:rPr>
              <w:t>无害化设备冷凝水</w:t>
            </w:r>
          </w:p>
        </w:tc>
        <w:tc>
          <w:tcPr>
            <w:tcW w:w="1303"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SS、COD、BOD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-N、粪大肠菌群</w:t>
            </w: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highlight w:val="yellow"/>
                <w14:textFill>
                  <w14:solidFill>
                    <w14:schemeClr w14:val="tx1"/>
                  </w14:solidFill>
                </w14:textFill>
              </w:rPr>
            </w:pPr>
            <w:r>
              <w:rPr>
                <w:color w:val="000000" w:themeColor="text1"/>
                <w:lang w:bidi="en-US"/>
                <w14:textFill>
                  <w14:solidFill>
                    <w14:schemeClr w14:val="tx1"/>
                  </w14:solidFill>
                </w14:textFill>
              </w:rPr>
              <w:t>堆肥发酵场滤液</w:t>
            </w:r>
          </w:p>
        </w:tc>
        <w:tc>
          <w:tcPr>
            <w:tcW w:w="1303" w:type="pct"/>
            <w:vMerge w:val="continue"/>
            <w:vAlign w:val="center"/>
          </w:tcPr>
          <w:p>
            <w:pPr>
              <w:pStyle w:val="332"/>
              <w:rPr>
                <w:color w:val="000000" w:themeColor="text1"/>
                <w14:textFill>
                  <w14:solidFill>
                    <w14:schemeClr w14:val="tx1"/>
                  </w14:solidFill>
                </w14:textFill>
              </w:rPr>
            </w:pP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lang w:bidi="en-US"/>
                <w14:textFill>
                  <w14:solidFill>
                    <w14:schemeClr w14:val="tx1"/>
                  </w14:solidFill>
                </w14:textFill>
              </w:rPr>
            </w:pPr>
            <w:r>
              <w:rPr>
                <w:color w:val="000000" w:themeColor="text1"/>
                <w:lang w:bidi="en-US"/>
                <w14:textFill>
                  <w14:solidFill>
                    <w14:schemeClr w14:val="tx1"/>
                  </w14:solidFill>
                </w14:textFill>
              </w:rPr>
              <w:t>职工办公生活</w:t>
            </w:r>
          </w:p>
        </w:tc>
        <w:tc>
          <w:tcPr>
            <w:tcW w:w="13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SS、COD、BOD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-N、动植物油</w:t>
            </w: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60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13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风机</w:t>
            </w:r>
          </w:p>
        </w:tc>
        <w:tc>
          <w:tcPr>
            <w:tcW w:w="13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1343" w:type="pct"/>
            <w:vMerge w:val="restar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对周围声环境产生影响</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猪叫</w:t>
            </w:r>
          </w:p>
        </w:tc>
        <w:tc>
          <w:tcPr>
            <w:tcW w:w="13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泵类</w:t>
            </w:r>
          </w:p>
        </w:tc>
        <w:tc>
          <w:tcPr>
            <w:tcW w:w="13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机械设备</w:t>
            </w:r>
          </w:p>
        </w:tc>
        <w:tc>
          <w:tcPr>
            <w:tcW w:w="13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60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固体废物</w:t>
            </w:r>
          </w:p>
        </w:tc>
        <w:tc>
          <w:tcPr>
            <w:tcW w:w="13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1303"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猪粪、病死猪、母猪胎盘</w:t>
            </w:r>
          </w:p>
        </w:tc>
        <w:tc>
          <w:tcPr>
            <w:tcW w:w="1343"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对环境空气、地表水、地下水、土壤环境产生影响</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污粪处理系统</w:t>
            </w:r>
          </w:p>
        </w:tc>
        <w:tc>
          <w:tcPr>
            <w:tcW w:w="1303"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沼渣</w:t>
            </w: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防疫</w:t>
            </w:r>
          </w:p>
        </w:tc>
        <w:tc>
          <w:tcPr>
            <w:tcW w:w="1303" w:type="pct"/>
            <w:vAlign w:val="center"/>
          </w:tcPr>
          <w:p>
            <w:pPr>
              <w:pStyle w:val="332"/>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医疗垃圾</w:t>
            </w: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kern w:val="0"/>
                <w:szCs w:val="21"/>
                <w14:textFill>
                  <w14:solidFill>
                    <w14:schemeClr w14:val="tx1"/>
                  </w14:solidFill>
                </w14:textFill>
              </w:rPr>
            </w:pPr>
            <w:r>
              <w:rPr>
                <w:color w:val="000000" w:themeColor="text1"/>
                <w14:textFill>
                  <w14:solidFill>
                    <w14:schemeClr w14:val="tx1"/>
                  </w14:solidFill>
                </w14:textFill>
              </w:rPr>
              <w:t>无害化处理</w:t>
            </w:r>
          </w:p>
        </w:tc>
        <w:tc>
          <w:tcPr>
            <w:tcW w:w="1303" w:type="pct"/>
            <w:vAlign w:val="center"/>
          </w:tcPr>
          <w:p>
            <w:pPr>
              <w:pStyle w:val="332"/>
              <w:rPr>
                <w:color w:val="000000" w:themeColor="text1"/>
                <w:kern w:val="0"/>
                <w:szCs w:val="21"/>
                <w14:textFill>
                  <w14:solidFill>
                    <w14:schemeClr w14:val="tx1"/>
                  </w14:solidFill>
                </w14:textFill>
              </w:rPr>
            </w:pPr>
            <w:r>
              <w:rPr>
                <w:color w:val="000000" w:themeColor="text1"/>
                <w14:textFill>
                  <w14:solidFill>
                    <w14:schemeClr w14:val="tx1"/>
                  </w14:solidFill>
                </w14:textFill>
              </w:rPr>
              <w:t>固体残渣</w:t>
            </w: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职工日常生活、办公</w:t>
            </w:r>
          </w:p>
        </w:tc>
        <w:tc>
          <w:tcPr>
            <w:tcW w:w="1303" w:type="pct"/>
            <w:vAlign w:val="center"/>
          </w:tcPr>
          <w:p>
            <w:pPr>
              <w:pStyle w:val="332"/>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生活垃圾</w:t>
            </w:r>
          </w:p>
        </w:tc>
        <w:tc>
          <w:tcPr>
            <w:tcW w:w="1343"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0"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c>
          <w:tcPr>
            <w:tcW w:w="1385" w:type="pct"/>
            <w:vAlign w:val="center"/>
          </w:tcPr>
          <w:p>
            <w:pPr>
              <w:pStyle w:val="332"/>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沼气脱硫装置</w:t>
            </w:r>
          </w:p>
        </w:tc>
        <w:tc>
          <w:tcPr>
            <w:tcW w:w="1303" w:type="pct"/>
            <w:vAlign w:val="center"/>
          </w:tcPr>
          <w:p>
            <w:pPr>
              <w:pStyle w:val="332"/>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废脱硫剂</w:t>
            </w:r>
          </w:p>
        </w:tc>
        <w:tc>
          <w:tcPr>
            <w:tcW w:w="1343" w:type="pct"/>
            <w:vMerge w:val="continue"/>
            <w:vAlign w:val="center"/>
          </w:tcPr>
          <w:p>
            <w:pPr>
              <w:pStyle w:val="332"/>
              <w:rPr>
                <w:color w:val="000000" w:themeColor="text1"/>
                <w14:textFill>
                  <w14:solidFill>
                    <w14:schemeClr w14:val="tx1"/>
                  </w14:solidFill>
                </w14:textFill>
              </w:rPr>
            </w:pP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（2）对自然生态环境的影响</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水土流失</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本项目养殖区场地开挖以及生产、生活、办公各种建（构）筑物的建设，将对土地产生扰动作用，致使短期水土流失加剧，但随着养殖区内场地硬化、绿化等方案的实施，水土流失将得到有效遏制。</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对农业生态环境的影响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I、不利影响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当地农业生态以种植玉米为主。从工程内容分析，大气污染物主要为猪舍、污水处理过程（黑膜沼气池、沼液储存池）、固粪处理区等产生的恶臭，可能对农业生态环境和周围村庄环境产生影响，在采取环评规定的环保措施后，可将其影响控制在一定的范围内。</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II、有利影响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建设充分考虑了养殖行业的污染特点，废水经处理后的产生的沼液以及猪粪、沼渣堆肥处理后制成有机肥用于周围农田施肥，将大幅度削减区域化肥使用量，对改良土壤、培肥地力、提高农产品品质和产量可以起到积极的作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工程施工及运行对自然生态环境的影响见表2.2-3。</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2.2-3 </w:t>
      </w:r>
      <w:r>
        <w:rPr>
          <w:rFonts w:cs="Times New Roman"/>
          <w:color w:val="000000" w:themeColor="text1"/>
          <w14:textFill>
            <w14:solidFill>
              <w14:schemeClr w14:val="tx1"/>
            </w14:solidFill>
          </w14:textFill>
        </w:rPr>
        <w:t>工程施工及运营对生态环境的影响</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1149"/>
        <w:gridCol w:w="2066"/>
        <w:gridCol w:w="1480"/>
        <w:gridCol w:w="4065"/>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65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环境要素</w:t>
            </w:r>
          </w:p>
        </w:tc>
        <w:tc>
          <w:tcPr>
            <w:tcW w:w="117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845"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232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对生活环境的影响</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6"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生态环境</w:t>
            </w:r>
          </w:p>
        </w:tc>
        <w:tc>
          <w:tcPr>
            <w:tcW w:w="1179"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场地平整、场地开挖</w:t>
            </w:r>
          </w:p>
        </w:tc>
        <w:tc>
          <w:tcPr>
            <w:tcW w:w="845"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地表植被破坏</w:t>
            </w:r>
          </w:p>
        </w:tc>
        <w:tc>
          <w:tcPr>
            <w:tcW w:w="2320"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造成水土流失，土地利用结构发生改变</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6" w:type="pct"/>
            <w:vMerge w:val="continue"/>
            <w:vAlign w:val="center"/>
          </w:tcPr>
          <w:p>
            <w:pPr>
              <w:pStyle w:val="332"/>
              <w:rPr>
                <w:color w:val="000000" w:themeColor="text1"/>
                <w14:textFill>
                  <w14:solidFill>
                    <w14:schemeClr w14:val="tx1"/>
                  </w14:solidFill>
                </w14:textFill>
              </w:rPr>
            </w:pPr>
          </w:p>
        </w:tc>
        <w:tc>
          <w:tcPr>
            <w:tcW w:w="117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8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恶臭、猪粪</w:t>
            </w:r>
          </w:p>
        </w:tc>
        <w:tc>
          <w:tcPr>
            <w:tcW w:w="2320"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对农村居民生活环境产生不利影响；对农业生态环境和动植物生长产生长期不利影响</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6" w:type="pct"/>
            <w:vMerge w:val="continue"/>
            <w:vAlign w:val="center"/>
          </w:tcPr>
          <w:p>
            <w:pPr>
              <w:pStyle w:val="332"/>
              <w:rPr>
                <w:color w:val="000000" w:themeColor="text1"/>
                <w14:textFill>
                  <w14:solidFill>
                    <w14:schemeClr w14:val="tx1"/>
                  </w14:solidFill>
                </w14:textFill>
              </w:rPr>
            </w:pPr>
          </w:p>
        </w:tc>
        <w:tc>
          <w:tcPr>
            <w:tcW w:w="117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污水处理</w:t>
            </w:r>
          </w:p>
        </w:tc>
        <w:tc>
          <w:tcPr>
            <w:tcW w:w="8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恶臭</w:t>
            </w:r>
          </w:p>
        </w:tc>
        <w:tc>
          <w:tcPr>
            <w:tcW w:w="2320" w:type="pct"/>
            <w:vMerge w:val="continue"/>
            <w:vAlign w:val="center"/>
          </w:tcPr>
          <w:p>
            <w:pPr>
              <w:pStyle w:val="332"/>
              <w:rPr>
                <w:color w:val="000000" w:themeColor="text1"/>
                <w14:textFill>
                  <w14:solidFill>
                    <w14:schemeClr w14:val="tx1"/>
                  </w14:solidFill>
                </w14:textFill>
              </w:rPr>
            </w:pP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（3）对生活质量的影响</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本工程投产后可为当地经济发展作出较大贡献。本项目的建设可增加就业机会，使本场职工和当地居民生活质量得到一定改善。</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在污染控制方面，本工程针对工程特点，均配套了必要的污染物治理措施，对当地环境质量影响很小。</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t>景观美学和文物古迹</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本项目周围大部分为农田，景观美学价值较低。项目所在地区不属于风景名胜区和自然保护区，也没有文物和古迹分布于区内。</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项目各个时期环境影响分析见表2.2-4。</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2.2-4 </w:t>
      </w:r>
      <w:r>
        <w:rPr>
          <w:rFonts w:cs="Times New Roman"/>
          <w:color w:val="000000" w:themeColor="text1"/>
          <w14:textFill>
            <w14:solidFill>
              <w14:schemeClr w14:val="tx1"/>
            </w14:solidFill>
          </w14:textFill>
        </w:rPr>
        <w:t>项目各时期环境影响分析</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493"/>
        <w:gridCol w:w="1674"/>
        <w:gridCol w:w="824"/>
        <w:gridCol w:w="824"/>
        <w:gridCol w:w="824"/>
        <w:gridCol w:w="825"/>
        <w:gridCol w:w="824"/>
        <w:gridCol w:w="824"/>
        <w:gridCol w:w="824"/>
        <w:gridCol w:w="82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28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阶</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段</w:t>
            </w:r>
          </w:p>
        </w:tc>
        <w:tc>
          <w:tcPr>
            <w:tcW w:w="95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环境要素</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影响分析</w:t>
            </w:r>
          </w:p>
        </w:tc>
        <w:tc>
          <w:tcPr>
            <w:tcW w:w="47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短期</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影响</w:t>
            </w:r>
          </w:p>
        </w:tc>
        <w:tc>
          <w:tcPr>
            <w:tcW w:w="47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长期</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影响</w:t>
            </w:r>
          </w:p>
        </w:tc>
        <w:tc>
          <w:tcPr>
            <w:tcW w:w="47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可逆</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影响</w:t>
            </w:r>
          </w:p>
        </w:tc>
        <w:tc>
          <w:tcPr>
            <w:tcW w:w="471"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不可逆</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影响</w:t>
            </w:r>
          </w:p>
        </w:tc>
        <w:tc>
          <w:tcPr>
            <w:tcW w:w="47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直接</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影响</w:t>
            </w:r>
          </w:p>
        </w:tc>
        <w:tc>
          <w:tcPr>
            <w:tcW w:w="47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间接</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影响</w:t>
            </w:r>
          </w:p>
        </w:tc>
        <w:tc>
          <w:tcPr>
            <w:tcW w:w="47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不利</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影响</w:t>
            </w:r>
          </w:p>
        </w:tc>
        <w:tc>
          <w:tcPr>
            <w:tcW w:w="47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有利</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影响</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施 工 期</w:t>
            </w:r>
          </w:p>
        </w:tc>
        <w:tc>
          <w:tcPr>
            <w:tcW w:w="95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环境空气</w:t>
            </w:r>
          </w:p>
        </w:tc>
        <w:tc>
          <w:tcPr>
            <w:tcW w:w="470"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tcBorders>
              <w:top w:val="single" w:color="auto" w:sz="12" w:space="0"/>
            </w:tcBorders>
            <w:vAlign w:val="center"/>
          </w:tcPr>
          <w:p>
            <w:pPr>
              <w:pStyle w:val="332"/>
              <w:rPr>
                <w:color w:val="000000" w:themeColor="text1"/>
                <w14:textFill>
                  <w14:solidFill>
                    <w14:schemeClr w14:val="tx1"/>
                  </w14:solidFill>
                </w14:textFill>
              </w:rPr>
            </w:pPr>
          </w:p>
        </w:tc>
        <w:tc>
          <w:tcPr>
            <w:tcW w:w="470"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1" w:type="pct"/>
            <w:tcBorders>
              <w:top w:val="single" w:color="auto" w:sz="12" w:space="0"/>
            </w:tcBorders>
            <w:vAlign w:val="center"/>
          </w:tcPr>
          <w:p>
            <w:pPr>
              <w:pStyle w:val="332"/>
              <w:rPr>
                <w:color w:val="000000" w:themeColor="text1"/>
                <w14:textFill>
                  <w14:solidFill>
                    <w14:schemeClr w14:val="tx1"/>
                  </w14:solidFill>
                </w14:textFill>
              </w:rPr>
            </w:pPr>
          </w:p>
        </w:tc>
        <w:tc>
          <w:tcPr>
            <w:tcW w:w="470"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tcBorders>
              <w:top w:val="single" w:color="auto" w:sz="12" w:space="0"/>
            </w:tcBorders>
            <w:vAlign w:val="center"/>
          </w:tcPr>
          <w:p>
            <w:pPr>
              <w:pStyle w:val="332"/>
              <w:rPr>
                <w:color w:val="000000" w:themeColor="text1"/>
                <w14:textFill>
                  <w14:solidFill>
                    <w14:schemeClr w14:val="tx1"/>
                  </w14:solidFill>
                </w14:textFill>
              </w:rPr>
            </w:pPr>
          </w:p>
        </w:tc>
        <w:tc>
          <w:tcPr>
            <w:tcW w:w="470"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tcBorders>
              <w:top w:val="single" w:color="auto" w:sz="12" w:space="0"/>
            </w:tcBorders>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 w:type="pct"/>
            <w:vMerge w:val="continue"/>
            <w:vAlign w:val="center"/>
          </w:tcPr>
          <w:p>
            <w:pPr>
              <w:pStyle w:val="332"/>
              <w:rPr>
                <w:color w:val="000000" w:themeColor="text1"/>
                <w14:textFill>
                  <w14:solidFill>
                    <w14:schemeClr w14:val="tx1"/>
                  </w14:solidFill>
                </w14:textFill>
              </w:rPr>
            </w:pPr>
          </w:p>
        </w:tc>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地表水环境</w:t>
            </w: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1"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 w:type="pct"/>
            <w:vMerge w:val="continue"/>
            <w:vAlign w:val="center"/>
          </w:tcPr>
          <w:p>
            <w:pPr>
              <w:pStyle w:val="332"/>
              <w:rPr>
                <w:color w:val="000000" w:themeColor="text1"/>
                <w14:textFill>
                  <w14:solidFill>
                    <w14:schemeClr w14:val="tx1"/>
                  </w14:solidFill>
                </w14:textFill>
              </w:rPr>
            </w:pPr>
          </w:p>
        </w:tc>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1"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 w:type="pct"/>
            <w:vMerge w:val="continue"/>
            <w:vAlign w:val="center"/>
          </w:tcPr>
          <w:p>
            <w:pPr>
              <w:pStyle w:val="332"/>
              <w:rPr>
                <w:color w:val="000000" w:themeColor="text1"/>
                <w14:textFill>
                  <w14:solidFill>
                    <w14:schemeClr w14:val="tx1"/>
                  </w14:solidFill>
                </w14:textFill>
              </w:rPr>
            </w:pPr>
          </w:p>
        </w:tc>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土壤环境</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 w:type="pct"/>
            <w:vMerge w:val="continue"/>
            <w:vAlign w:val="center"/>
          </w:tcPr>
          <w:p>
            <w:pPr>
              <w:pStyle w:val="332"/>
              <w:rPr>
                <w:color w:val="000000" w:themeColor="text1"/>
                <w14:textFill>
                  <w14:solidFill>
                    <w14:schemeClr w14:val="tx1"/>
                  </w14:solidFill>
                </w14:textFill>
              </w:rPr>
            </w:pPr>
          </w:p>
        </w:tc>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农业生态</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 w:type="pct"/>
            <w:vMerge w:val="continue"/>
            <w:vAlign w:val="center"/>
          </w:tcPr>
          <w:p>
            <w:pPr>
              <w:pStyle w:val="332"/>
              <w:rPr>
                <w:color w:val="000000" w:themeColor="text1"/>
                <w14:textFill>
                  <w14:solidFill>
                    <w14:schemeClr w14:val="tx1"/>
                  </w14:solidFill>
                </w14:textFill>
              </w:rPr>
            </w:pPr>
          </w:p>
        </w:tc>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土地利用</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 w:type="pct"/>
            <w:vMerge w:val="continue"/>
            <w:vAlign w:val="center"/>
          </w:tcPr>
          <w:p>
            <w:pPr>
              <w:pStyle w:val="332"/>
              <w:rPr>
                <w:color w:val="000000" w:themeColor="text1"/>
                <w14:textFill>
                  <w14:solidFill>
                    <w14:schemeClr w14:val="tx1"/>
                  </w14:solidFill>
                </w14:textFill>
              </w:rPr>
            </w:pPr>
          </w:p>
        </w:tc>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地表形态变化</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运 营 期</w:t>
            </w:r>
          </w:p>
        </w:tc>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环境空气</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 w:type="pct"/>
            <w:vMerge w:val="continue"/>
            <w:vAlign w:val="center"/>
          </w:tcPr>
          <w:p>
            <w:pPr>
              <w:pStyle w:val="332"/>
              <w:rPr>
                <w:color w:val="000000" w:themeColor="text1"/>
                <w14:textFill>
                  <w14:solidFill>
                    <w14:schemeClr w14:val="tx1"/>
                  </w14:solidFill>
                </w14:textFill>
              </w:rPr>
            </w:pPr>
          </w:p>
        </w:tc>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地表水环境</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 w:type="pct"/>
            <w:vMerge w:val="continue"/>
            <w:vAlign w:val="center"/>
          </w:tcPr>
          <w:p>
            <w:pPr>
              <w:pStyle w:val="332"/>
              <w:rPr>
                <w:color w:val="000000" w:themeColor="text1"/>
                <w14:textFill>
                  <w14:solidFill>
                    <w14:schemeClr w14:val="tx1"/>
                  </w14:solidFill>
                </w14:textFill>
              </w:rPr>
            </w:pPr>
          </w:p>
        </w:tc>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地下水环境</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 w:type="pct"/>
            <w:vMerge w:val="continue"/>
            <w:vAlign w:val="center"/>
          </w:tcPr>
          <w:p>
            <w:pPr>
              <w:pStyle w:val="332"/>
              <w:rPr>
                <w:color w:val="000000" w:themeColor="text1"/>
                <w14:textFill>
                  <w14:solidFill>
                    <w14:schemeClr w14:val="tx1"/>
                  </w14:solidFill>
                </w14:textFill>
              </w:rPr>
            </w:pPr>
          </w:p>
        </w:tc>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 w:type="pct"/>
            <w:vMerge w:val="continue"/>
            <w:vAlign w:val="center"/>
          </w:tcPr>
          <w:p>
            <w:pPr>
              <w:pStyle w:val="332"/>
              <w:rPr>
                <w:color w:val="000000" w:themeColor="text1"/>
                <w14:textFill>
                  <w14:solidFill>
                    <w14:schemeClr w14:val="tx1"/>
                  </w14:solidFill>
                </w14:textFill>
              </w:rPr>
            </w:pPr>
          </w:p>
        </w:tc>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土壤环境</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 w:type="pct"/>
            <w:vMerge w:val="continue"/>
            <w:vAlign w:val="center"/>
          </w:tcPr>
          <w:p>
            <w:pPr>
              <w:pStyle w:val="332"/>
              <w:rPr>
                <w:color w:val="000000" w:themeColor="text1"/>
                <w14:textFill>
                  <w14:solidFill>
                    <w14:schemeClr w14:val="tx1"/>
                  </w14:solidFill>
                </w14:textFill>
              </w:rPr>
            </w:pPr>
          </w:p>
        </w:tc>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农业生态</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2" w:type="pct"/>
            <w:vMerge w:val="continue"/>
            <w:vAlign w:val="center"/>
          </w:tcPr>
          <w:p>
            <w:pPr>
              <w:pStyle w:val="332"/>
              <w:rPr>
                <w:color w:val="000000" w:themeColor="text1"/>
                <w14:textFill>
                  <w14:solidFill>
                    <w14:schemeClr w14:val="tx1"/>
                  </w14:solidFill>
                </w14:textFill>
              </w:rPr>
            </w:pPr>
          </w:p>
        </w:tc>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土地利用</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0" w:type="pct"/>
            <w:vAlign w:val="center"/>
          </w:tcPr>
          <w:p>
            <w:pPr>
              <w:pStyle w:val="332"/>
              <w:rPr>
                <w:color w:val="000000" w:themeColor="text1"/>
                <w14:textFill>
                  <w14:solidFill>
                    <w14:schemeClr w14:val="tx1"/>
                  </w14:solidFill>
                </w14:textFill>
              </w:rPr>
            </w:pP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2.3.1.3区域环境制约因素分析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根据环境现状和工程特征，经环境对建设项目的制约和建设项目对环境的影响因子相互作用分析，得出区域环境对本项目制约因素见表2.2-5。</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2.2-5 </w:t>
      </w:r>
      <w:r>
        <w:rPr>
          <w:rFonts w:cs="Times New Roman"/>
          <w:color w:val="000000" w:themeColor="text1"/>
          <w14:textFill>
            <w14:solidFill>
              <w14:schemeClr w14:val="tx1"/>
            </w14:solidFill>
          </w14:textFill>
        </w:rPr>
        <w:t>区域环境制约因素</w:t>
      </w:r>
    </w:p>
    <w:p>
      <w:pPr>
        <w:kinsoku w:val="0"/>
        <w:overflowPunct w:val="0"/>
        <w:autoSpaceDE w:val="0"/>
        <w:autoSpaceDN w:val="0"/>
        <w:adjustRightInd w:val="0"/>
        <w:spacing w:before="3" w:line="240" w:lineRule="auto"/>
        <w:ind w:firstLine="0" w:firstLineChars="0"/>
        <w:jc w:val="left"/>
        <w:rPr>
          <w:rFonts w:cs="Times New Roman"/>
          <w:color w:val="000000" w:themeColor="text1"/>
          <w:kern w:val="0"/>
          <w:sz w:val="7"/>
          <w:szCs w:val="7"/>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4793"/>
        <w:gridCol w:w="396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73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环境因素</w:t>
            </w:r>
          </w:p>
        </w:tc>
        <w:tc>
          <w:tcPr>
            <w:tcW w:w="226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对项目制约程度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73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环境空气</w:t>
            </w:r>
          </w:p>
        </w:tc>
        <w:tc>
          <w:tcPr>
            <w:tcW w:w="226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73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地表水</w:t>
            </w:r>
          </w:p>
        </w:tc>
        <w:tc>
          <w:tcPr>
            <w:tcW w:w="226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73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226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73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226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73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自然生态</w:t>
            </w:r>
          </w:p>
        </w:tc>
        <w:tc>
          <w:tcPr>
            <w:tcW w:w="226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r>
    </w:tbl>
    <w:p>
      <w:pPr>
        <w:spacing w:line="240" w:lineRule="auto"/>
        <w:ind w:firstLine="0" w:firstLineChars="0"/>
        <w:rPr>
          <w:rFonts w:eastAsia="仿宋" w:cs="Times New Roman"/>
          <w:color w:val="000000" w:themeColor="text1"/>
          <w:sz w:val="21"/>
          <w:szCs w:val="20"/>
          <w14:textFill>
            <w14:solidFill>
              <w14:schemeClr w14:val="tx1"/>
            </w14:solidFill>
          </w14:textFill>
        </w:rPr>
      </w:pPr>
      <w:r>
        <w:rPr>
          <w:rFonts w:eastAsia="仿宋" w:cs="Times New Roman"/>
          <w:color w:val="000000" w:themeColor="text1"/>
          <w:sz w:val="21"/>
          <w:szCs w:val="20"/>
          <w14:textFill>
            <w14:solidFill>
              <w14:schemeClr w14:val="tx1"/>
            </w14:solidFill>
          </w14:textFill>
        </w:rPr>
        <w:t>注：表中数字为区域环境对本项目的制约程度，1表示外环境对项目影响较小，2表示对项目有一定制约。</w:t>
      </w:r>
    </w:p>
    <w:p>
      <w:pPr>
        <w:pStyle w:val="5"/>
        <w:rPr>
          <w:color w:val="000000" w:themeColor="text1"/>
          <w14:textFill>
            <w14:solidFill>
              <w14:schemeClr w14:val="tx1"/>
            </w14:solidFill>
          </w14:textFill>
        </w:rPr>
      </w:pPr>
      <w:r>
        <w:rPr>
          <w:color w:val="000000" w:themeColor="text1"/>
          <w14:textFill>
            <w14:solidFill>
              <w14:schemeClr w14:val="tx1"/>
            </w14:solidFill>
          </w14:textFill>
        </w:rPr>
        <w:t>2.2.1.4环境影响因子识别</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本次工程的施工和运行将会对周围自然环境、社会环境和人群生活质量产生一定的影响，只是不同时段影响程度和性质不同。经分析其生产及排污特征可看出，生产运营期对环境的影响最为严重。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采用矩阵法建设项目对环境的影响因子进行识别，识别结果见表2.2-6。</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2.2-6 </w:t>
      </w:r>
      <w:r>
        <w:rPr>
          <w:rFonts w:cs="Times New Roman"/>
          <w:color w:val="000000" w:themeColor="text1"/>
          <w14:textFill>
            <w14:solidFill>
              <w14:schemeClr w14:val="tx1"/>
            </w14:solidFill>
          </w14:textFill>
        </w:rPr>
        <w:t>项目环境影响因子识别矩阵</w:t>
      </w:r>
    </w:p>
    <w:p>
      <w:pPr>
        <w:kinsoku w:val="0"/>
        <w:overflowPunct w:val="0"/>
        <w:autoSpaceDE w:val="0"/>
        <w:autoSpaceDN w:val="0"/>
        <w:adjustRightInd w:val="0"/>
        <w:spacing w:before="5" w:line="240" w:lineRule="auto"/>
        <w:ind w:firstLine="0" w:firstLineChars="0"/>
        <w:jc w:val="left"/>
        <w:rPr>
          <w:rFonts w:cs="Times New Roman"/>
          <w:color w:val="000000" w:themeColor="text1"/>
          <w:kern w:val="0"/>
          <w:sz w:val="6"/>
          <w:szCs w:val="6"/>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616"/>
        <w:gridCol w:w="963"/>
        <w:gridCol w:w="1048"/>
        <w:gridCol w:w="878"/>
        <w:gridCol w:w="880"/>
        <w:gridCol w:w="876"/>
        <w:gridCol w:w="881"/>
        <w:gridCol w:w="880"/>
        <w:gridCol w:w="815"/>
        <w:gridCol w:w="923"/>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902" w:type="pct"/>
            <w:gridSpan w:val="2"/>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环境要素</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工程活动</w:t>
            </w:r>
          </w:p>
        </w:tc>
        <w:tc>
          <w:tcPr>
            <w:tcW w:w="2604"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施工期</w:t>
            </w:r>
          </w:p>
        </w:tc>
        <w:tc>
          <w:tcPr>
            <w:tcW w:w="1494"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运营期</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902" w:type="pct"/>
            <w:gridSpan w:val="2"/>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59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清理场地</w:t>
            </w:r>
          </w:p>
        </w:tc>
        <w:tc>
          <w:tcPr>
            <w:tcW w:w="501"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挖填土</w:t>
            </w:r>
            <w:r>
              <w:rPr>
                <w:color w:val="000000" w:themeColor="text1"/>
                <w:spacing w:val="-102"/>
                <w14:textFill>
                  <w14:solidFill>
                    <w14:schemeClr w14:val="tx1"/>
                  </w14:solidFill>
                </w14:textFill>
              </w:rPr>
              <w:t xml:space="preserve"> </w:t>
            </w:r>
            <w:r>
              <w:rPr>
                <w:color w:val="000000" w:themeColor="text1"/>
                <w14:textFill>
                  <w14:solidFill>
                    <w14:schemeClr w14:val="tx1"/>
                  </w14:solidFill>
                </w14:textFill>
              </w:rPr>
              <w:t>方</w:t>
            </w:r>
          </w:p>
        </w:tc>
        <w:tc>
          <w:tcPr>
            <w:tcW w:w="502"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建材运</w:t>
            </w:r>
            <w:r>
              <w:rPr>
                <w:color w:val="000000" w:themeColor="text1"/>
                <w:spacing w:val="-102"/>
                <w14:textFill>
                  <w14:solidFill>
                    <w14:schemeClr w14:val="tx1"/>
                  </w14:solidFill>
                </w14:textFill>
              </w:rPr>
              <w:t xml:space="preserve"> </w:t>
            </w:r>
            <w:r>
              <w:rPr>
                <w:color w:val="000000" w:themeColor="text1"/>
                <w14:textFill>
                  <w14:solidFill>
                    <w14:schemeClr w14:val="tx1"/>
                  </w14:solidFill>
                </w14:textFill>
              </w:rPr>
              <w:t>输</w:t>
            </w:r>
          </w:p>
        </w:tc>
        <w:tc>
          <w:tcPr>
            <w:tcW w:w="500"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设备安</w:t>
            </w:r>
            <w:r>
              <w:rPr>
                <w:color w:val="000000" w:themeColor="text1"/>
                <w:spacing w:val="-102"/>
                <w14:textFill>
                  <w14:solidFill>
                    <w14:schemeClr w14:val="tx1"/>
                  </w14:solidFill>
                </w14:textFill>
              </w:rPr>
              <w:t xml:space="preserve"> </w:t>
            </w:r>
            <w:r>
              <w:rPr>
                <w:color w:val="000000" w:themeColor="text1"/>
                <w14:textFill>
                  <w14:solidFill>
                    <w14:schemeClr w14:val="tx1"/>
                  </w14:solidFill>
                </w14:textFill>
              </w:rPr>
              <w:t>装</w:t>
            </w:r>
          </w:p>
        </w:tc>
        <w:tc>
          <w:tcPr>
            <w:tcW w:w="503"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材料堆</w:t>
            </w:r>
            <w:r>
              <w:rPr>
                <w:color w:val="000000" w:themeColor="text1"/>
                <w:spacing w:val="-102"/>
                <w14:textFill>
                  <w14:solidFill>
                    <w14:schemeClr w14:val="tx1"/>
                  </w14:solidFill>
                </w14:textFill>
              </w:rPr>
              <w:t xml:space="preserve"> </w:t>
            </w:r>
            <w:r>
              <w:rPr>
                <w:color w:val="000000" w:themeColor="text1"/>
                <w14:textFill>
                  <w14:solidFill>
                    <w14:schemeClr w14:val="tx1"/>
                  </w14:solidFill>
                </w14:textFill>
              </w:rPr>
              <w:t>放</w:t>
            </w:r>
          </w:p>
        </w:tc>
        <w:tc>
          <w:tcPr>
            <w:tcW w:w="502"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w:t>
            </w:r>
          </w:p>
        </w:tc>
        <w:tc>
          <w:tcPr>
            <w:tcW w:w="465"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治污</w:t>
            </w:r>
          </w:p>
        </w:tc>
        <w:tc>
          <w:tcPr>
            <w:tcW w:w="527"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生活管理</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2"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自然</w:t>
            </w:r>
            <w:r>
              <w:rPr>
                <w:color w:val="000000" w:themeColor="text1"/>
                <w:spacing w:val="-103"/>
                <w14:textFill>
                  <w14:solidFill>
                    <w14:schemeClr w14:val="tx1"/>
                  </w14:solidFill>
                </w14:textFill>
              </w:rPr>
              <w:t xml:space="preserve"> </w:t>
            </w:r>
            <w:r>
              <w:rPr>
                <w:color w:val="000000" w:themeColor="text1"/>
                <w14:textFill>
                  <w14:solidFill>
                    <w14:schemeClr w14:val="tx1"/>
                  </w14:solidFill>
                </w14:textFill>
              </w:rPr>
              <w:t>物理</w:t>
            </w:r>
            <w:r>
              <w:rPr>
                <w:color w:val="000000" w:themeColor="text1"/>
                <w:spacing w:val="-103"/>
                <w14:textFill>
                  <w14:solidFill>
                    <w14:schemeClr w14:val="tx1"/>
                  </w14:solidFill>
                </w14:textFill>
              </w:rPr>
              <w:t xml:space="preserve"> </w:t>
            </w:r>
            <w:r>
              <w:rPr>
                <w:color w:val="000000" w:themeColor="text1"/>
                <w14:textFill>
                  <w14:solidFill>
                    <w14:schemeClr w14:val="tx1"/>
                  </w14:solidFill>
                </w14:textFill>
              </w:rPr>
              <w:t>环境</w:t>
            </w:r>
          </w:p>
        </w:tc>
        <w:tc>
          <w:tcPr>
            <w:tcW w:w="550"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环境空气</w:t>
            </w:r>
          </w:p>
        </w:tc>
        <w:tc>
          <w:tcPr>
            <w:tcW w:w="59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1"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2"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0"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p>
        </w:tc>
        <w:tc>
          <w:tcPr>
            <w:tcW w:w="503"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2"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-2L↓</w:t>
            </w:r>
          </w:p>
        </w:tc>
        <w:tc>
          <w:tcPr>
            <w:tcW w:w="465"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-2L↓</w:t>
            </w:r>
          </w:p>
        </w:tc>
        <w:tc>
          <w:tcPr>
            <w:tcW w:w="527"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-1L↓</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2" w:type="pct"/>
            <w:vMerge w:val="continue"/>
            <w:vAlign w:val="center"/>
          </w:tcPr>
          <w:p>
            <w:pPr>
              <w:pStyle w:val="332"/>
              <w:rPr>
                <w:color w:val="000000" w:themeColor="text1"/>
                <w14:textFill>
                  <w14:solidFill>
                    <w14:schemeClr w14:val="tx1"/>
                  </w14:solidFill>
                </w14:textFill>
              </w:rPr>
            </w:pPr>
          </w:p>
        </w:tc>
        <w:tc>
          <w:tcPr>
            <w:tcW w:w="550"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地表水</w:t>
            </w:r>
          </w:p>
        </w:tc>
        <w:tc>
          <w:tcPr>
            <w:tcW w:w="598" w:type="pct"/>
            <w:tcBorders>
              <w:top w:val="single" w:color="000000" w:sz="4" w:space="0"/>
            </w:tcBorders>
            <w:vAlign w:val="center"/>
          </w:tcPr>
          <w:p>
            <w:pPr>
              <w:pStyle w:val="332"/>
              <w:rPr>
                <w:color w:val="000000" w:themeColor="text1"/>
                <w14:textFill>
                  <w14:solidFill>
                    <w14:schemeClr w14:val="tx1"/>
                  </w14:solidFill>
                </w14:textFill>
              </w:rPr>
            </w:pPr>
          </w:p>
        </w:tc>
        <w:tc>
          <w:tcPr>
            <w:tcW w:w="501" w:type="pct"/>
            <w:tcBorders>
              <w:top w:val="single" w:color="000000" w:sz="4" w:space="0"/>
            </w:tcBorders>
            <w:vAlign w:val="center"/>
          </w:tcPr>
          <w:p>
            <w:pPr>
              <w:pStyle w:val="332"/>
              <w:rPr>
                <w:color w:val="000000" w:themeColor="text1"/>
                <w14:textFill>
                  <w14:solidFill>
                    <w14:schemeClr w14:val="tx1"/>
                  </w14:solidFill>
                </w14:textFill>
              </w:rPr>
            </w:pPr>
          </w:p>
        </w:tc>
        <w:tc>
          <w:tcPr>
            <w:tcW w:w="502" w:type="pct"/>
            <w:tcBorders>
              <w:top w:val="single" w:color="000000" w:sz="4" w:space="0"/>
            </w:tcBorders>
            <w:vAlign w:val="center"/>
          </w:tcPr>
          <w:p>
            <w:pPr>
              <w:pStyle w:val="332"/>
              <w:rPr>
                <w:color w:val="000000" w:themeColor="text1"/>
                <w14:textFill>
                  <w14:solidFill>
                    <w14:schemeClr w14:val="tx1"/>
                  </w14:solidFill>
                </w14:textFill>
              </w:rPr>
            </w:pPr>
          </w:p>
        </w:tc>
        <w:tc>
          <w:tcPr>
            <w:tcW w:w="500" w:type="pct"/>
            <w:tcBorders>
              <w:top w:val="single" w:color="000000" w:sz="4" w:space="0"/>
            </w:tcBorders>
            <w:vAlign w:val="center"/>
          </w:tcPr>
          <w:p>
            <w:pPr>
              <w:pStyle w:val="332"/>
              <w:rPr>
                <w:color w:val="000000" w:themeColor="text1"/>
                <w14:textFill>
                  <w14:solidFill>
                    <w14:schemeClr w14:val="tx1"/>
                  </w14:solidFill>
                </w14:textFill>
              </w:rPr>
            </w:pPr>
          </w:p>
        </w:tc>
        <w:tc>
          <w:tcPr>
            <w:tcW w:w="503" w:type="pct"/>
            <w:tcBorders>
              <w:top w:val="single" w:color="000000" w:sz="4" w:space="0"/>
            </w:tcBorders>
            <w:vAlign w:val="center"/>
          </w:tcPr>
          <w:p>
            <w:pPr>
              <w:pStyle w:val="332"/>
              <w:rPr>
                <w:color w:val="000000" w:themeColor="text1"/>
                <w14:textFill>
                  <w14:solidFill>
                    <w14:schemeClr w14:val="tx1"/>
                  </w14:solidFill>
                </w14:textFill>
              </w:rPr>
            </w:pPr>
          </w:p>
        </w:tc>
        <w:tc>
          <w:tcPr>
            <w:tcW w:w="502"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-2L↓</w:t>
            </w:r>
          </w:p>
        </w:tc>
        <w:tc>
          <w:tcPr>
            <w:tcW w:w="465" w:type="pct"/>
            <w:tcBorders>
              <w:top w:val="single" w:color="000000" w:sz="4" w:space="0"/>
            </w:tcBorders>
            <w:vAlign w:val="center"/>
          </w:tcPr>
          <w:p>
            <w:pPr>
              <w:pStyle w:val="332"/>
              <w:rPr>
                <w:color w:val="000000" w:themeColor="text1"/>
                <w14:textFill>
                  <w14:solidFill>
                    <w14:schemeClr w14:val="tx1"/>
                  </w14:solidFill>
                </w14:textFill>
              </w:rPr>
            </w:pPr>
          </w:p>
        </w:tc>
        <w:tc>
          <w:tcPr>
            <w:tcW w:w="527"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-1L↓</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2" w:type="pct"/>
            <w:vMerge w:val="continue"/>
            <w:vAlign w:val="center"/>
          </w:tcPr>
          <w:p>
            <w:pPr>
              <w:pStyle w:val="332"/>
              <w:rPr>
                <w:color w:val="000000" w:themeColor="text1"/>
                <w14:textFill>
                  <w14:solidFill>
                    <w14:schemeClr w14:val="tx1"/>
                  </w14:solidFill>
                </w14:textFill>
              </w:rPr>
            </w:pPr>
          </w:p>
        </w:tc>
        <w:tc>
          <w:tcPr>
            <w:tcW w:w="55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598" w:type="pct"/>
            <w:vAlign w:val="center"/>
          </w:tcPr>
          <w:p>
            <w:pPr>
              <w:pStyle w:val="332"/>
              <w:rPr>
                <w:color w:val="000000" w:themeColor="text1"/>
                <w14:textFill>
                  <w14:solidFill>
                    <w14:schemeClr w14:val="tx1"/>
                  </w14:solidFill>
                </w14:textFill>
              </w:rPr>
            </w:pPr>
          </w:p>
        </w:tc>
        <w:tc>
          <w:tcPr>
            <w:tcW w:w="501" w:type="pct"/>
            <w:vAlign w:val="center"/>
          </w:tcPr>
          <w:p>
            <w:pPr>
              <w:pStyle w:val="332"/>
              <w:rPr>
                <w:color w:val="000000" w:themeColor="text1"/>
                <w14:textFill>
                  <w14:solidFill>
                    <w14:schemeClr w14:val="tx1"/>
                  </w14:solidFill>
                </w14:textFill>
              </w:rPr>
            </w:pPr>
          </w:p>
        </w:tc>
        <w:tc>
          <w:tcPr>
            <w:tcW w:w="502" w:type="pct"/>
            <w:vAlign w:val="center"/>
          </w:tcPr>
          <w:p>
            <w:pPr>
              <w:pStyle w:val="332"/>
              <w:rPr>
                <w:color w:val="000000" w:themeColor="text1"/>
                <w14:textFill>
                  <w14:solidFill>
                    <w14:schemeClr w14:val="tx1"/>
                  </w14:solidFill>
                </w14:textFill>
              </w:rPr>
            </w:pPr>
          </w:p>
        </w:tc>
        <w:tc>
          <w:tcPr>
            <w:tcW w:w="500" w:type="pct"/>
            <w:vAlign w:val="center"/>
          </w:tcPr>
          <w:p>
            <w:pPr>
              <w:pStyle w:val="332"/>
              <w:rPr>
                <w:color w:val="000000" w:themeColor="text1"/>
                <w14:textFill>
                  <w14:solidFill>
                    <w14:schemeClr w14:val="tx1"/>
                  </w14:solidFill>
                </w14:textFill>
              </w:rPr>
            </w:pPr>
          </w:p>
        </w:tc>
        <w:tc>
          <w:tcPr>
            <w:tcW w:w="5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-1L↓</w:t>
            </w:r>
          </w:p>
        </w:tc>
        <w:tc>
          <w:tcPr>
            <w:tcW w:w="46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-2L↓</w:t>
            </w:r>
          </w:p>
        </w:tc>
        <w:tc>
          <w:tcPr>
            <w:tcW w:w="527"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2"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自然</w:t>
            </w:r>
            <w:r>
              <w:rPr>
                <w:color w:val="000000" w:themeColor="text1"/>
                <w:spacing w:val="-103"/>
                <w14:textFill>
                  <w14:solidFill>
                    <w14:schemeClr w14:val="tx1"/>
                  </w14:solidFill>
                </w14:textFill>
              </w:rPr>
              <w:t xml:space="preserve"> </w:t>
            </w:r>
            <w:r>
              <w:rPr>
                <w:color w:val="000000" w:themeColor="text1"/>
                <w14:textFill>
                  <w14:solidFill>
                    <w14:schemeClr w14:val="tx1"/>
                  </w14:solidFill>
                </w14:textFill>
              </w:rPr>
              <w:t>物理</w:t>
            </w:r>
            <w:r>
              <w:rPr>
                <w:color w:val="000000" w:themeColor="text1"/>
                <w:spacing w:val="-103"/>
                <w14:textFill>
                  <w14:solidFill>
                    <w14:schemeClr w14:val="tx1"/>
                  </w14:solidFill>
                </w14:textFill>
              </w:rPr>
              <w:t xml:space="preserve"> </w:t>
            </w:r>
            <w:r>
              <w:rPr>
                <w:color w:val="000000" w:themeColor="text1"/>
                <w14:textFill>
                  <w14:solidFill>
                    <w14:schemeClr w14:val="tx1"/>
                  </w14:solidFill>
                </w14:textFill>
              </w:rPr>
              <w:t>环境</w:t>
            </w:r>
          </w:p>
        </w:tc>
        <w:tc>
          <w:tcPr>
            <w:tcW w:w="55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598" w:type="pct"/>
            <w:vAlign w:val="center"/>
          </w:tcPr>
          <w:p>
            <w:pPr>
              <w:pStyle w:val="332"/>
              <w:rPr>
                <w:color w:val="000000" w:themeColor="text1"/>
                <w14:textFill>
                  <w14:solidFill>
                    <w14:schemeClr w14:val="tx1"/>
                  </w14:solidFill>
                </w14:textFill>
              </w:rPr>
            </w:pPr>
          </w:p>
        </w:tc>
        <w:tc>
          <w:tcPr>
            <w:tcW w:w="50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3" w:type="pct"/>
            <w:vAlign w:val="center"/>
          </w:tcPr>
          <w:p>
            <w:pPr>
              <w:pStyle w:val="332"/>
              <w:rPr>
                <w:color w:val="000000" w:themeColor="text1"/>
                <w14:textFill>
                  <w14:solidFill>
                    <w14:schemeClr w14:val="tx1"/>
                  </w14:solidFill>
                </w14:textFill>
              </w:rPr>
            </w:pPr>
          </w:p>
        </w:tc>
        <w:tc>
          <w:tcPr>
            <w:tcW w:w="5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-1L↓</w:t>
            </w:r>
          </w:p>
        </w:tc>
        <w:tc>
          <w:tcPr>
            <w:tcW w:w="46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-1L↓</w:t>
            </w:r>
          </w:p>
        </w:tc>
        <w:tc>
          <w:tcPr>
            <w:tcW w:w="527"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2" w:type="pct"/>
            <w:vMerge w:val="continue"/>
            <w:vAlign w:val="center"/>
          </w:tcPr>
          <w:p>
            <w:pPr>
              <w:pStyle w:val="332"/>
              <w:rPr>
                <w:color w:val="000000" w:themeColor="text1"/>
                <w14:textFill>
                  <w14:solidFill>
                    <w14:schemeClr w14:val="tx1"/>
                  </w14:solidFill>
                </w14:textFill>
              </w:rPr>
            </w:pPr>
          </w:p>
        </w:tc>
        <w:tc>
          <w:tcPr>
            <w:tcW w:w="55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土壤</w:t>
            </w:r>
          </w:p>
        </w:tc>
        <w:tc>
          <w:tcPr>
            <w:tcW w:w="598" w:type="pct"/>
            <w:vAlign w:val="center"/>
          </w:tcPr>
          <w:p>
            <w:pPr>
              <w:pStyle w:val="332"/>
              <w:rPr>
                <w:color w:val="000000" w:themeColor="text1"/>
                <w14:textFill>
                  <w14:solidFill>
                    <w14:schemeClr w14:val="tx1"/>
                  </w14:solidFill>
                </w14:textFill>
              </w:rPr>
            </w:pPr>
          </w:p>
        </w:tc>
        <w:tc>
          <w:tcPr>
            <w:tcW w:w="501" w:type="pct"/>
            <w:vAlign w:val="center"/>
          </w:tcPr>
          <w:p>
            <w:pPr>
              <w:pStyle w:val="332"/>
              <w:rPr>
                <w:color w:val="000000" w:themeColor="text1"/>
                <w14:textFill>
                  <w14:solidFill>
                    <w14:schemeClr w14:val="tx1"/>
                  </w14:solidFill>
                </w14:textFill>
              </w:rPr>
            </w:pPr>
          </w:p>
        </w:tc>
        <w:tc>
          <w:tcPr>
            <w:tcW w:w="502" w:type="pct"/>
            <w:vAlign w:val="center"/>
          </w:tcPr>
          <w:p>
            <w:pPr>
              <w:pStyle w:val="332"/>
              <w:rPr>
                <w:color w:val="000000" w:themeColor="text1"/>
                <w14:textFill>
                  <w14:solidFill>
                    <w14:schemeClr w14:val="tx1"/>
                  </w14:solidFill>
                </w14:textFill>
              </w:rPr>
            </w:pPr>
          </w:p>
        </w:tc>
        <w:tc>
          <w:tcPr>
            <w:tcW w:w="500" w:type="pct"/>
            <w:vAlign w:val="center"/>
          </w:tcPr>
          <w:p>
            <w:pPr>
              <w:pStyle w:val="332"/>
              <w:rPr>
                <w:color w:val="000000" w:themeColor="text1"/>
                <w14:textFill>
                  <w14:solidFill>
                    <w14:schemeClr w14:val="tx1"/>
                  </w14:solidFill>
                </w14:textFill>
              </w:rPr>
            </w:pPr>
          </w:p>
        </w:tc>
        <w:tc>
          <w:tcPr>
            <w:tcW w:w="5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2" w:type="pct"/>
            <w:vAlign w:val="center"/>
          </w:tcPr>
          <w:p>
            <w:pPr>
              <w:pStyle w:val="332"/>
              <w:rPr>
                <w:color w:val="000000" w:themeColor="text1"/>
                <w14:textFill>
                  <w14:solidFill>
                    <w14:schemeClr w14:val="tx1"/>
                  </w14:solidFill>
                </w14:textFill>
              </w:rPr>
            </w:pPr>
          </w:p>
        </w:tc>
        <w:tc>
          <w:tcPr>
            <w:tcW w:w="46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-1L↓</w:t>
            </w:r>
          </w:p>
        </w:tc>
        <w:tc>
          <w:tcPr>
            <w:tcW w:w="527"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2" w:type="pct"/>
            <w:vMerge w:val="continue"/>
            <w:vAlign w:val="center"/>
          </w:tcPr>
          <w:p>
            <w:pPr>
              <w:pStyle w:val="332"/>
              <w:rPr>
                <w:color w:val="000000" w:themeColor="text1"/>
                <w14:textFill>
                  <w14:solidFill>
                    <w14:schemeClr w14:val="tx1"/>
                  </w14:solidFill>
                </w14:textFill>
              </w:rPr>
            </w:pPr>
          </w:p>
        </w:tc>
        <w:tc>
          <w:tcPr>
            <w:tcW w:w="55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农作物</w:t>
            </w:r>
          </w:p>
        </w:tc>
        <w:tc>
          <w:tcPr>
            <w:tcW w:w="59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1" w:type="pct"/>
            <w:vAlign w:val="center"/>
          </w:tcPr>
          <w:p>
            <w:pPr>
              <w:pStyle w:val="332"/>
              <w:rPr>
                <w:color w:val="000000" w:themeColor="text1"/>
                <w14:textFill>
                  <w14:solidFill>
                    <w14:schemeClr w14:val="tx1"/>
                  </w14:solidFill>
                </w14:textFill>
              </w:rPr>
            </w:pPr>
          </w:p>
        </w:tc>
        <w:tc>
          <w:tcPr>
            <w:tcW w:w="5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0" w:type="pct"/>
            <w:vAlign w:val="center"/>
          </w:tcPr>
          <w:p>
            <w:pPr>
              <w:pStyle w:val="332"/>
              <w:rPr>
                <w:color w:val="000000" w:themeColor="text1"/>
                <w14:textFill>
                  <w14:solidFill>
                    <w14:schemeClr w14:val="tx1"/>
                  </w14:solidFill>
                </w14:textFill>
              </w:rPr>
            </w:pPr>
          </w:p>
        </w:tc>
        <w:tc>
          <w:tcPr>
            <w:tcW w:w="5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2" w:type="pct"/>
            <w:vAlign w:val="center"/>
          </w:tcPr>
          <w:p>
            <w:pPr>
              <w:pStyle w:val="332"/>
              <w:rPr>
                <w:color w:val="000000" w:themeColor="text1"/>
                <w14:textFill>
                  <w14:solidFill>
                    <w14:schemeClr w14:val="tx1"/>
                  </w14:solidFill>
                </w14:textFill>
              </w:rPr>
            </w:pPr>
          </w:p>
        </w:tc>
        <w:tc>
          <w:tcPr>
            <w:tcW w:w="46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+1L</w:t>
            </w:r>
          </w:p>
        </w:tc>
        <w:tc>
          <w:tcPr>
            <w:tcW w:w="527"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2" w:type="pct"/>
            <w:vMerge w:val="continue"/>
            <w:vAlign w:val="center"/>
          </w:tcPr>
          <w:p>
            <w:pPr>
              <w:pStyle w:val="332"/>
              <w:rPr>
                <w:color w:val="000000" w:themeColor="text1"/>
                <w14:textFill>
                  <w14:solidFill>
                    <w14:schemeClr w14:val="tx1"/>
                  </w14:solidFill>
                </w14:textFill>
              </w:rPr>
            </w:pPr>
          </w:p>
        </w:tc>
        <w:tc>
          <w:tcPr>
            <w:tcW w:w="55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地表植物</w:t>
            </w:r>
          </w:p>
        </w:tc>
        <w:tc>
          <w:tcPr>
            <w:tcW w:w="59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1" w:type="pct"/>
            <w:vAlign w:val="center"/>
          </w:tcPr>
          <w:p>
            <w:pPr>
              <w:pStyle w:val="332"/>
              <w:rPr>
                <w:color w:val="000000" w:themeColor="text1"/>
                <w14:textFill>
                  <w14:solidFill>
                    <w14:schemeClr w14:val="tx1"/>
                  </w14:solidFill>
                </w14:textFill>
              </w:rPr>
            </w:pPr>
          </w:p>
        </w:tc>
        <w:tc>
          <w:tcPr>
            <w:tcW w:w="5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0" w:type="pct"/>
            <w:vAlign w:val="center"/>
          </w:tcPr>
          <w:p>
            <w:pPr>
              <w:pStyle w:val="332"/>
              <w:rPr>
                <w:color w:val="000000" w:themeColor="text1"/>
                <w14:textFill>
                  <w14:solidFill>
                    <w14:schemeClr w14:val="tx1"/>
                  </w14:solidFill>
                </w14:textFill>
              </w:rPr>
            </w:pPr>
          </w:p>
        </w:tc>
        <w:tc>
          <w:tcPr>
            <w:tcW w:w="5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2" w:type="pct"/>
            <w:vAlign w:val="center"/>
          </w:tcPr>
          <w:p>
            <w:pPr>
              <w:pStyle w:val="332"/>
              <w:rPr>
                <w:color w:val="000000" w:themeColor="text1"/>
                <w14:textFill>
                  <w14:solidFill>
                    <w14:schemeClr w14:val="tx1"/>
                  </w14:solidFill>
                </w14:textFill>
              </w:rPr>
            </w:pPr>
          </w:p>
        </w:tc>
        <w:tc>
          <w:tcPr>
            <w:tcW w:w="465" w:type="pct"/>
            <w:vAlign w:val="center"/>
          </w:tcPr>
          <w:p>
            <w:pPr>
              <w:pStyle w:val="332"/>
              <w:rPr>
                <w:color w:val="000000" w:themeColor="text1"/>
                <w14:textFill>
                  <w14:solidFill>
                    <w14:schemeClr w14:val="tx1"/>
                  </w14:solidFill>
                </w14:textFill>
              </w:rPr>
            </w:pPr>
          </w:p>
        </w:tc>
        <w:tc>
          <w:tcPr>
            <w:tcW w:w="527"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2" w:type="pct"/>
            <w:vMerge w:val="continue"/>
            <w:vAlign w:val="center"/>
          </w:tcPr>
          <w:p>
            <w:pPr>
              <w:pStyle w:val="332"/>
              <w:rPr>
                <w:color w:val="000000" w:themeColor="text1"/>
                <w14:textFill>
                  <w14:solidFill>
                    <w14:schemeClr w14:val="tx1"/>
                  </w14:solidFill>
                </w14:textFill>
              </w:rPr>
            </w:pPr>
          </w:p>
        </w:tc>
        <w:tc>
          <w:tcPr>
            <w:tcW w:w="55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土地利用</w:t>
            </w:r>
          </w:p>
        </w:tc>
        <w:tc>
          <w:tcPr>
            <w:tcW w:w="598" w:type="pct"/>
            <w:vAlign w:val="center"/>
          </w:tcPr>
          <w:p>
            <w:pPr>
              <w:pStyle w:val="332"/>
              <w:rPr>
                <w:color w:val="000000" w:themeColor="text1"/>
                <w14:textFill>
                  <w14:solidFill>
                    <w14:schemeClr w14:val="tx1"/>
                  </w14:solidFill>
                </w14:textFill>
              </w:rPr>
            </w:pPr>
          </w:p>
        </w:tc>
        <w:tc>
          <w:tcPr>
            <w:tcW w:w="50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2" w:type="pct"/>
            <w:vAlign w:val="center"/>
          </w:tcPr>
          <w:p>
            <w:pPr>
              <w:pStyle w:val="332"/>
              <w:rPr>
                <w:color w:val="000000" w:themeColor="text1"/>
                <w14:textFill>
                  <w14:solidFill>
                    <w14:schemeClr w14:val="tx1"/>
                  </w14:solidFill>
                </w14:textFill>
              </w:rPr>
            </w:pPr>
          </w:p>
        </w:tc>
        <w:tc>
          <w:tcPr>
            <w:tcW w:w="500" w:type="pct"/>
            <w:vAlign w:val="center"/>
          </w:tcPr>
          <w:p>
            <w:pPr>
              <w:pStyle w:val="332"/>
              <w:rPr>
                <w:color w:val="000000" w:themeColor="text1"/>
                <w14:textFill>
                  <w14:solidFill>
                    <w14:schemeClr w14:val="tx1"/>
                  </w14:solidFill>
                </w14:textFill>
              </w:rPr>
            </w:pPr>
          </w:p>
        </w:tc>
        <w:tc>
          <w:tcPr>
            <w:tcW w:w="503" w:type="pct"/>
            <w:vAlign w:val="center"/>
          </w:tcPr>
          <w:p>
            <w:pPr>
              <w:pStyle w:val="332"/>
              <w:rPr>
                <w:color w:val="000000" w:themeColor="text1"/>
                <w14:textFill>
                  <w14:solidFill>
                    <w14:schemeClr w14:val="tx1"/>
                  </w14:solidFill>
                </w14:textFill>
              </w:rPr>
            </w:pPr>
          </w:p>
        </w:tc>
        <w:tc>
          <w:tcPr>
            <w:tcW w:w="502" w:type="pct"/>
            <w:vAlign w:val="center"/>
          </w:tcPr>
          <w:p>
            <w:pPr>
              <w:pStyle w:val="332"/>
              <w:rPr>
                <w:color w:val="000000" w:themeColor="text1"/>
                <w14:textFill>
                  <w14:solidFill>
                    <w14:schemeClr w14:val="tx1"/>
                  </w14:solidFill>
                </w14:textFill>
              </w:rPr>
            </w:pPr>
          </w:p>
        </w:tc>
        <w:tc>
          <w:tcPr>
            <w:tcW w:w="465" w:type="pct"/>
            <w:vAlign w:val="center"/>
          </w:tcPr>
          <w:p>
            <w:pPr>
              <w:pStyle w:val="332"/>
              <w:rPr>
                <w:color w:val="000000" w:themeColor="text1"/>
                <w14:textFill>
                  <w14:solidFill>
                    <w14:schemeClr w14:val="tx1"/>
                  </w14:solidFill>
                </w14:textFill>
              </w:rPr>
            </w:pPr>
          </w:p>
        </w:tc>
        <w:tc>
          <w:tcPr>
            <w:tcW w:w="527"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2"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w:t>
            </w:r>
            <w:r>
              <w:rPr>
                <w:color w:val="000000" w:themeColor="text1"/>
                <w:spacing w:val="-103"/>
                <w14:textFill>
                  <w14:solidFill>
                    <w14:schemeClr w14:val="tx1"/>
                  </w14:solidFill>
                </w14:textFill>
              </w:rPr>
              <w:t xml:space="preserve"> </w:t>
            </w:r>
            <w:r>
              <w:rPr>
                <w:color w:val="000000" w:themeColor="text1"/>
                <w14:textFill>
                  <w14:solidFill>
                    <w14:schemeClr w14:val="tx1"/>
                  </w14:solidFill>
                </w14:textFill>
              </w:rPr>
              <w:t>质量</w:t>
            </w:r>
          </w:p>
        </w:tc>
        <w:tc>
          <w:tcPr>
            <w:tcW w:w="55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公众健康</w:t>
            </w:r>
          </w:p>
        </w:tc>
        <w:tc>
          <w:tcPr>
            <w:tcW w:w="598" w:type="pct"/>
            <w:vAlign w:val="center"/>
          </w:tcPr>
          <w:p>
            <w:pPr>
              <w:pStyle w:val="332"/>
              <w:rPr>
                <w:color w:val="000000" w:themeColor="text1"/>
                <w14:textFill>
                  <w14:solidFill>
                    <w14:schemeClr w14:val="tx1"/>
                  </w14:solidFill>
                </w14:textFill>
              </w:rPr>
            </w:pPr>
          </w:p>
        </w:tc>
        <w:tc>
          <w:tcPr>
            <w:tcW w:w="501" w:type="pct"/>
            <w:vAlign w:val="center"/>
          </w:tcPr>
          <w:p>
            <w:pPr>
              <w:pStyle w:val="332"/>
              <w:rPr>
                <w:color w:val="000000" w:themeColor="text1"/>
                <w14:textFill>
                  <w14:solidFill>
                    <w14:schemeClr w14:val="tx1"/>
                  </w14:solidFill>
                </w14:textFill>
              </w:rPr>
            </w:pPr>
          </w:p>
        </w:tc>
        <w:tc>
          <w:tcPr>
            <w:tcW w:w="502" w:type="pct"/>
            <w:vAlign w:val="center"/>
          </w:tcPr>
          <w:p>
            <w:pPr>
              <w:pStyle w:val="332"/>
              <w:rPr>
                <w:color w:val="000000" w:themeColor="text1"/>
                <w14:textFill>
                  <w14:solidFill>
                    <w14:schemeClr w14:val="tx1"/>
                  </w14:solidFill>
                </w14:textFill>
              </w:rPr>
            </w:pPr>
          </w:p>
        </w:tc>
        <w:tc>
          <w:tcPr>
            <w:tcW w:w="500" w:type="pct"/>
            <w:vAlign w:val="center"/>
          </w:tcPr>
          <w:p>
            <w:pPr>
              <w:pStyle w:val="332"/>
              <w:rPr>
                <w:color w:val="000000" w:themeColor="text1"/>
                <w14:textFill>
                  <w14:solidFill>
                    <w14:schemeClr w14:val="tx1"/>
                  </w14:solidFill>
                </w14:textFill>
              </w:rPr>
            </w:pPr>
          </w:p>
        </w:tc>
        <w:tc>
          <w:tcPr>
            <w:tcW w:w="503" w:type="pct"/>
            <w:vAlign w:val="center"/>
          </w:tcPr>
          <w:p>
            <w:pPr>
              <w:pStyle w:val="332"/>
              <w:rPr>
                <w:color w:val="000000" w:themeColor="text1"/>
                <w14:textFill>
                  <w14:solidFill>
                    <w14:schemeClr w14:val="tx1"/>
                  </w14:solidFill>
                </w14:textFill>
              </w:rPr>
            </w:pPr>
          </w:p>
        </w:tc>
        <w:tc>
          <w:tcPr>
            <w:tcW w:w="502" w:type="pct"/>
            <w:vAlign w:val="center"/>
          </w:tcPr>
          <w:p>
            <w:pPr>
              <w:pStyle w:val="332"/>
              <w:rPr>
                <w:color w:val="000000" w:themeColor="text1"/>
                <w14:textFill>
                  <w14:solidFill>
                    <w14:schemeClr w14:val="tx1"/>
                  </w14:solidFill>
                </w14:textFill>
              </w:rPr>
            </w:pPr>
          </w:p>
        </w:tc>
        <w:tc>
          <w:tcPr>
            <w:tcW w:w="465" w:type="pct"/>
            <w:vAlign w:val="center"/>
          </w:tcPr>
          <w:p>
            <w:pPr>
              <w:pStyle w:val="332"/>
              <w:rPr>
                <w:color w:val="000000" w:themeColor="text1"/>
                <w14:textFill>
                  <w14:solidFill>
                    <w14:schemeClr w14:val="tx1"/>
                  </w14:solidFill>
                </w14:textFill>
              </w:rPr>
            </w:pPr>
          </w:p>
        </w:tc>
        <w:tc>
          <w:tcPr>
            <w:tcW w:w="527"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2" w:type="pct"/>
            <w:vMerge w:val="continue"/>
            <w:vAlign w:val="center"/>
          </w:tcPr>
          <w:p>
            <w:pPr>
              <w:pStyle w:val="332"/>
              <w:rPr>
                <w:color w:val="000000" w:themeColor="text1"/>
                <w14:textFill>
                  <w14:solidFill>
                    <w14:schemeClr w14:val="tx1"/>
                  </w14:solidFill>
                </w14:textFill>
              </w:rPr>
            </w:pPr>
          </w:p>
        </w:tc>
        <w:tc>
          <w:tcPr>
            <w:tcW w:w="55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生活水平</w:t>
            </w:r>
          </w:p>
        </w:tc>
        <w:tc>
          <w:tcPr>
            <w:tcW w:w="598" w:type="pct"/>
            <w:vAlign w:val="center"/>
          </w:tcPr>
          <w:p>
            <w:pPr>
              <w:pStyle w:val="332"/>
              <w:rPr>
                <w:color w:val="000000" w:themeColor="text1"/>
                <w14:textFill>
                  <w14:solidFill>
                    <w14:schemeClr w14:val="tx1"/>
                  </w14:solidFill>
                </w14:textFill>
              </w:rPr>
            </w:pPr>
          </w:p>
        </w:tc>
        <w:tc>
          <w:tcPr>
            <w:tcW w:w="501" w:type="pct"/>
            <w:vAlign w:val="center"/>
          </w:tcPr>
          <w:p>
            <w:pPr>
              <w:pStyle w:val="332"/>
              <w:rPr>
                <w:color w:val="000000" w:themeColor="text1"/>
                <w14:textFill>
                  <w14:solidFill>
                    <w14:schemeClr w14:val="tx1"/>
                  </w14:solidFill>
                </w14:textFill>
              </w:rPr>
            </w:pPr>
          </w:p>
        </w:tc>
        <w:tc>
          <w:tcPr>
            <w:tcW w:w="502" w:type="pct"/>
            <w:vAlign w:val="center"/>
          </w:tcPr>
          <w:p>
            <w:pPr>
              <w:pStyle w:val="332"/>
              <w:rPr>
                <w:color w:val="000000" w:themeColor="text1"/>
                <w14:textFill>
                  <w14:solidFill>
                    <w14:schemeClr w14:val="tx1"/>
                  </w14:solidFill>
                </w14:textFill>
              </w:rPr>
            </w:pPr>
          </w:p>
        </w:tc>
        <w:tc>
          <w:tcPr>
            <w:tcW w:w="500" w:type="pct"/>
            <w:vAlign w:val="center"/>
          </w:tcPr>
          <w:p>
            <w:pPr>
              <w:pStyle w:val="332"/>
              <w:rPr>
                <w:color w:val="000000" w:themeColor="text1"/>
                <w14:textFill>
                  <w14:solidFill>
                    <w14:schemeClr w14:val="tx1"/>
                  </w14:solidFill>
                </w14:textFill>
              </w:rPr>
            </w:pPr>
          </w:p>
        </w:tc>
        <w:tc>
          <w:tcPr>
            <w:tcW w:w="503" w:type="pct"/>
            <w:vAlign w:val="center"/>
          </w:tcPr>
          <w:p>
            <w:pPr>
              <w:pStyle w:val="332"/>
              <w:rPr>
                <w:color w:val="000000" w:themeColor="text1"/>
                <w14:textFill>
                  <w14:solidFill>
                    <w14:schemeClr w14:val="tx1"/>
                  </w14:solidFill>
                </w14:textFill>
              </w:rPr>
            </w:pPr>
          </w:p>
        </w:tc>
        <w:tc>
          <w:tcPr>
            <w:tcW w:w="5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+1L</w:t>
            </w:r>
          </w:p>
        </w:tc>
        <w:tc>
          <w:tcPr>
            <w:tcW w:w="46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+1L</w:t>
            </w:r>
          </w:p>
        </w:tc>
        <w:tc>
          <w:tcPr>
            <w:tcW w:w="52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+1L</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52" w:type="pct"/>
            <w:vMerge w:val="continue"/>
            <w:vAlign w:val="center"/>
          </w:tcPr>
          <w:p>
            <w:pPr>
              <w:pStyle w:val="332"/>
              <w:rPr>
                <w:color w:val="000000" w:themeColor="text1"/>
                <w14:textFill>
                  <w14:solidFill>
                    <w14:schemeClr w14:val="tx1"/>
                  </w14:solidFill>
                </w14:textFill>
              </w:rPr>
            </w:pPr>
          </w:p>
        </w:tc>
        <w:tc>
          <w:tcPr>
            <w:tcW w:w="55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环境美学</w:t>
            </w:r>
          </w:p>
        </w:tc>
        <w:tc>
          <w:tcPr>
            <w:tcW w:w="59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-1S</w:t>
            </w:r>
          </w:p>
        </w:tc>
        <w:tc>
          <w:tcPr>
            <w:tcW w:w="502" w:type="pct"/>
            <w:vAlign w:val="center"/>
          </w:tcPr>
          <w:p>
            <w:pPr>
              <w:pStyle w:val="332"/>
              <w:rPr>
                <w:color w:val="000000" w:themeColor="text1"/>
                <w14:textFill>
                  <w14:solidFill>
                    <w14:schemeClr w14:val="tx1"/>
                  </w14:solidFill>
                </w14:textFill>
              </w:rPr>
            </w:pPr>
          </w:p>
        </w:tc>
        <w:tc>
          <w:tcPr>
            <w:tcW w:w="465" w:type="pct"/>
            <w:vAlign w:val="center"/>
          </w:tcPr>
          <w:p>
            <w:pPr>
              <w:pStyle w:val="332"/>
              <w:rPr>
                <w:color w:val="000000" w:themeColor="text1"/>
                <w14:textFill>
                  <w14:solidFill>
                    <w14:schemeClr w14:val="tx1"/>
                  </w14:solidFill>
                </w14:textFill>
              </w:rPr>
            </w:pPr>
          </w:p>
        </w:tc>
        <w:tc>
          <w:tcPr>
            <w:tcW w:w="527" w:type="pct"/>
            <w:vAlign w:val="center"/>
          </w:tcPr>
          <w:p>
            <w:pPr>
              <w:pStyle w:val="332"/>
              <w:rPr>
                <w:color w:val="000000" w:themeColor="text1"/>
                <w14:textFill>
                  <w14:solidFill>
                    <w14:schemeClr w14:val="tx1"/>
                  </w14:solidFill>
                </w14:textFill>
              </w:rPr>
            </w:pPr>
          </w:p>
        </w:tc>
      </w:tr>
    </w:tbl>
    <w:p>
      <w:pPr>
        <w:spacing w:line="240" w:lineRule="auto"/>
        <w:ind w:firstLine="0" w:firstLineChars="0"/>
        <w:rPr>
          <w:rFonts w:eastAsia="仿宋" w:cs="Times New Roman"/>
          <w:color w:val="000000" w:themeColor="text1"/>
          <w:sz w:val="21"/>
          <w:szCs w:val="20"/>
          <w14:textFill>
            <w14:solidFill>
              <w14:schemeClr w14:val="tx1"/>
            </w14:solidFill>
          </w14:textFill>
        </w:rPr>
      </w:pPr>
      <w:r>
        <w:rPr>
          <w:rFonts w:eastAsia="仿宋" w:cs="Times New Roman"/>
          <w:color w:val="000000" w:themeColor="text1"/>
          <w:sz w:val="21"/>
          <w:szCs w:val="20"/>
          <w14:textFill>
            <w14:solidFill>
              <w14:schemeClr w14:val="tx1"/>
            </w14:solidFill>
          </w14:textFill>
        </w:rPr>
        <w:t>注：+正效应、-负效应；3、2、1影响程度由大到小；L长期影响、S短期影响；↑可逆影响；↓不可逆影响。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表2.2-6可知，本项目施工期主要是废气、噪声、生态景观等方面对周围环境造成负面影响，但影响都为短期影响，待施工期结束后，影响便消失。运营期主要是废气、废水、固废等方面对周围环境的负面影响，而项目运营对区域社会环境和生活质量方面的影响以正效益为主。</w:t>
      </w:r>
    </w:p>
    <w:p>
      <w:pPr>
        <w:pStyle w:val="4"/>
        <w:rPr>
          <w:rFonts w:cs="Times New Roman"/>
          <w:color w:val="000000" w:themeColor="text1"/>
          <w14:textFill>
            <w14:solidFill>
              <w14:schemeClr w14:val="tx1"/>
            </w14:solidFill>
          </w14:textFill>
        </w:rPr>
      </w:pPr>
      <w:bookmarkStart w:id="158" w:name="_Toc47619780"/>
      <w:bookmarkStart w:id="159" w:name="_Toc47619966"/>
      <w:bookmarkStart w:id="160" w:name="_Toc52791835"/>
      <w:bookmarkStart w:id="161" w:name="_Toc58362734"/>
      <w:bookmarkStart w:id="162" w:name="_Toc91163833"/>
      <w:bookmarkStart w:id="163" w:name="_Toc47619118"/>
      <w:r>
        <w:rPr>
          <w:rFonts w:cs="Times New Roman"/>
          <w:color w:val="000000" w:themeColor="text1"/>
          <w14:textFill>
            <w14:solidFill>
              <w14:schemeClr w14:val="tx1"/>
            </w14:solidFill>
          </w14:textFill>
        </w:rPr>
        <w:t>2.3.2 评价因子筛选</w:t>
      </w:r>
      <w:bookmarkEnd w:id="158"/>
      <w:bookmarkEnd w:id="159"/>
      <w:bookmarkEnd w:id="160"/>
      <w:bookmarkEnd w:id="161"/>
      <w:bookmarkEnd w:id="162"/>
      <w:bookmarkEnd w:id="163"/>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对评价因子的选择将在考虑工程污染物排放特征和区域环境质量现状水平两方面因素的基础上进行，经筛选，确定本项目主要的环境现状评价因子与预测因子见表2.2-7。</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表2.2-7 评价因子筛选一览表</w:t>
      </w:r>
    </w:p>
    <w:p>
      <w:pPr>
        <w:kinsoku w:val="0"/>
        <w:overflowPunct w:val="0"/>
        <w:autoSpaceDE w:val="0"/>
        <w:autoSpaceDN w:val="0"/>
        <w:adjustRightInd w:val="0"/>
        <w:spacing w:before="7" w:line="240" w:lineRule="auto"/>
        <w:ind w:firstLine="0" w:firstLineChars="0"/>
        <w:jc w:val="left"/>
        <w:rPr>
          <w:rFonts w:cs="Times New Roman"/>
          <w:color w:val="000000" w:themeColor="text1"/>
          <w:kern w:val="0"/>
          <w:sz w:val="5"/>
          <w:szCs w:val="5"/>
          <w14:textFill>
            <w14:solidFill>
              <w14:schemeClr w14:val="tx1"/>
            </w14:solidFill>
          </w14:textFill>
        </w:rPr>
      </w:pPr>
    </w:p>
    <w:tbl>
      <w:tblPr>
        <w:tblStyle w:val="53"/>
        <w:tblW w:w="5000" w:type="pct"/>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851"/>
        <w:gridCol w:w="4559"/>
        <w:gridCol w:w="3350"/>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486"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w:t>
            </w:r>
          </w:p>
          <w:p>
            <w:pPr>
              <w:pStyle w:val="332"/>
              <w:rPr>
                <w:color w:val="000000" w:themeColor="text1"/>
                <w14:textFill>
                  <w14:solidFill>
                    <w14:schemeClr w14:val="tx1"/>
                  </w14:solidFill>
                </w14:textFill>
              </w:rPr>
            </w:pPr>
            <w:r>
              <w:rPr>
                <w:color w:val="000000" w:themeColor="text1"/>
                <w:spacing w:val="-101"/>
                <w14:textFill>
                  <w14:solidFill>
                    <w14:schemeClr w14:val="tx1"/>
                  </w14:solidFill>
                </w14:textFill>
              </w:rPr>
              <w:t xml:space="preserve"> </w:t>
            </w:r>
            <w:r>
              <w:rPr>
                <w:color w:val="000000" w:themeColor="text1"/>
                <w14:textFill>
                  <w14:solidFill>
                    <w14:schemeClr w14:val="tx1"/>
                  </w14:solidFill>
                </w14:textFill>
              </w:rPr>
              <w:t>因素</w:t>
            </w:r>
          </w:p>
        </w:tc>
        <w:tc>
          <w:tcPr>
            <w:tcW w:w="4514"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评价因子</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486"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2602"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现状评价</w:t>
            </w:r>
          </w:p>
        </w:tc>
        <w:tc>
          <w:tcPr>
            <w:tcW w:w="1912"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影响评价</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6"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w:t>
            </w:r>
          </w:p>
          <w:p>
            <w:pPr>
              <w:pStyle w:val="332"/>
              <w:rPr>
                <w:color w:val="000000" w:themeColor="text1"/>
                <w14:textFill>
                  <w14:solidFill>
                    <w14:schemeClr w14:val="tx1"/>
                  </w14:solidFill>
                </w14:textFill>
              </w:rPr>
            </w:pPr>
            <w:r>
              <w:rPr>
                <w:color w:val="000000" w:themeColor="text1"/>
                <w:spacing w:val="-101"/>
                <w14:textFill>
                  <w14:solidFill>
                    <w14:schemeClr w14:val="tx1"/>
                  </w14:solidFill>
                </w14:textFill>
              </w:rPr>
              <w:t xml:space="preserve"> </w:t>
            </w:r>
            <w:r>
              <w:rPr>
                <w:color w:val="000000" w:themeColor="text1"/>
                <w14:textFill>
                  <w14:solidFill>
                    <w14:schemeClr w14:val="tx1"/>
                  </w14:solidFill>
                </w14:textFill>
              </w:rPr>
              <w:t>空气</w:t>
            </w:r>
          </w:p>
        </w:tc>
        <w:tc>
          <w:tcPr>
            <w:tcW w:w="2602"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spacing w:val="-6"/>
                <w14:textFill>
                  <w14:solidFill>
                    <w14:schemeClr w14:val="tx1"/>
                  </w14:solidFill>
                </w14:textFill>
              </w:rPr>
              <w:t>PM</w:t>
            </w:r>
            <w:r>
              <w:rPr>
                <w:color w:val="000000" w:themeColor="text1"/>
                <w:spacing w:val="-6"/>
                <w:position w:val="-3"/>
                <w:sz w:val="14"/>
                <w:szCs w:val="14"/>
                <w14:textFill>
                  <w14:solidFill>
                    <w14:schemeClr w14:val="tx1"/>
                  </w14:solidFill>
                </w14:textFill>
              </w:rPr>
              <w:t>10</w:t>
            </w:r>
            <w:r>
              <w:rPr>
                <w:color w:val="000000" w:themeColor="text1"/>
                <w:spacing w:val="-6"/>
                <w14:textFill>
                  <w14:solidFill>
                    <w14:schemeClr w14:val="tx1"/>
                  </w14:solidFill>
                </w14:textFill>
              </w:rPr>
              <w:t>、PM</w:t>
            </w:r>
            <w:r>
              <w:rPr>
                <w:color w:val="000000" w:themeColor="text1"/>
                <w:spacing w:val="-6"/>
                <w:position w:val="-3"/>
                <w:sz w:val="14"/>
                <w:szCs w:val="14"/>
                <w14:textFill>
                  <w14:solidFill>
                    <w14:schemeClr w14:val="tx1"/>
                  </w14:solidFill>
                </w14:textFill>
              </w:rPr>
              <w:t>2.5</w:t>
            </w:r>
            <w:r>
              <w:rPr>
                <w:color w:val="000000" w:themeColor="text1"/>
                <w:spacing w:val="-6"/>
                <w14:textFill>
                  <w14:solidFill>
                    <w14:schemeClr w14:val="tx1"/>
                  </w14:solidFill>
                </w14:textFill>
              </w:rPr>
              <w:t>、SO</w:t>
            </w:r>
            <w:r>
              <w:rPr>
                <w:color w:val="000000" w:themeColor="text1"/>
                <w:spacing w:val="-6"/>
                <w:position w:val="-3"/>
                <w:sz w:val="14"/>
                <w:szCs w:val="14"/>
                <w14:textFill>
                  <w14:solidFill>
                    <w14:schemeClr w14:val="tx1"/>
                  </w14:solidFill>
                </w14:textFill>
              </w:rPr>
              <w:t>2</w:t>
            </w:r>
            <w:r>
              <w:rPr>
                <w:color w:val="000000" w:themeColor="text1"/>
                <w:spacing w:val="-6"/>
                <w14:textFill>
                  <w14:solidFill>
                    <w14:schemeClr w14:val="tx1"/>
                  </w14:solidFill>
                </w14:textFill>
              </w:rPr>
              <w:t>、NO</w:t>
            </w:r>
            <w:r>
              <w:rPr>
                <w:color w:val="000000" w:themeColor="text1"/>
                <w:spacing w:val="-6"/>
                <w:position w:val="-3"/>
                <w:sz w:val="14"/>
                <w:szCs w:val="14"/>
                <w14:textFill>
                  <w14:solidFill>
                    <w14:schemeClr w14:val="tx1"/>
                  </w14:solidFill>
                </w14:textFill>
              </w:rPr>
              <w:t>2</w:t>
            </w:r>
            <w:r>
              <w:rPr>
                <w:color w:val="000000" w:themeColor="text1"/>
                <w:spacing w:val="-6"/>
                <w14:textFill>
                  <w14:solidFill>
                    <w14:schemeClr w14:val="tx1"/>
                  </w14:solidFill>
                </w14:textFill>
              </w:rPr>
              <w:t>、CO、O</w:t>
            </w:r>
            <w:r>
              <w:rPr>
                <w:color w:val="000000" w:themeColor="text1"/>
                <w:spacing w:val="-6"/>
                <w:position w:val="-3"/>
                <w:sz w:val="14"/>
                <w:szCs w:val="14"/>
                <w14:textFill>
                  <w14:solidFill>
                    <w14:schemeClr w14:val="tx1"/>
                  </w14:solidFill>
                </w14:textFill>
              </w:rPr>
              <w:t>3</w:t>
            </w:r>
            <w:r>
              <w:rPr>
                <w:color w:val="000000" w:themeColor="text1"/>
                <w:spacing w:val="-6"/>
                <w14:textFill>
                  <w14:solidFill>
                    <w14:schemeClr w14:val="tx1"/>
                  </w14:solidFill>
                </w14:textFill>
              </w:rPr>
              <w:t>、H</w:t>
            </w:r>
            <w:r>
              <w:rPr>
                <w:color w:val="000000" w:themeColor="text1"/>
                <w:spacing w:val="-6"/>
                <w:position w:val="-3"/>
                <w:sz w:val="14"/>
                <w:szCs w:val="14"/>
                <w14:textFill>
                  <w14:solidFill>
                    <w14:schemeClr w14:val="tx1"/>
                  </w14:solidFill>
                </w14:textFill>
              </w:rPr>
              <w:t>2</w:t>
            </w:r>
            <w:r>
              <w:rPr>
                <w:color w:val="000000" w:themeColor="text1"/>
                <w:spacing w:val="-6"/>
                <w14:textFill>
                  <w14:solidFill>
                    <w14:schemeClr w14:val="tx1"/>
                  </w14:solidFill>
                </w14:textFill>
              </w:rPr>
              <w:t>S、</w:t>
            </w:r>
            <w:r>
              <w:rPr>
                <w:color w:val="000000" w:themeColor="text1"/>
                <w:spacing w:val="2"/>
                <w14:textFill>
                  <w14:solidFill>
                    <w14:schemeClr w14:val="tx1"/>
                  </w14:solidFill>
                </w14:textFill>
              </w:rPr>
              <w:t>NH</w:t>
            </w:r>
            <w:r>
              <w:rPr>
                <w:color w:val="000000" w:themeColor="text1"/>
                <w:spacing w:val="2"/>
                <w:position w:val="-3"/>
                <w:sz w:val="14"/>
                <w:szCs w:val="14"/>
                <w14:textFill>
                  <w14:solidFill>
                    <w14:schemeClr w14:val="tx1"/>
                  </w14:solidFill>
                </w14:textFill>
              </w:rPr>
              <w:t>3</w:t>
            </w:r>
          </w:p>
        </w:tc>
        <w:tc>
          <w:tcPr>
            <w:tcW w:w="1912"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spacing w:val="3"/>
                <w14:textFill>
                  <w14:solidFill>
                    <w14:schemeClr w14:val="tx1"/>
                  </w14:solidFill>
                </w14:textFill>
              </w:rPr>
              <w:t>PM</w:t>
            </w:r>
            <w:r>
              <w:rPr>
                <w:color w:val="000000" w:themeColor="text1"/>
                <w:spacing w:val="3"/>
                <w:position w:val="-3"/>
                <w:sz w:val="14"/>
                <w:szCs w:val="14"/>
                <w14:textFill>
                  <w14:solidFill>
                    <w14:schemeClr w14:val="tx1"/>
                  </w14:solidFill>
                </w14:textFill>
              </w:rPr>
              <w:t>10</w:t>
            </w:r>
            <w:r>
              <w:rPr>
                <w:color w:val="000000" w:themeColor="text1"/>
                <w:spacing w:val="3"/>
                <w14:textFill>
                  <w14:solidFill>
                    <w14:schemeClr w14:val="tx1"/>
                  </w14:solidFill>
                </w14:textFill>
              </w:rPr>
              <w:t>、SO</w:t>
            </w:r>
            <w:r>
              <w:rPr>
                <w:color w:val="000000" w:themeColor="text1"/>
                <w:spacing w:val="3"/>
                <w:position w:val="-3"/>
                <w:sz w:val="14"/>
                <w:szCs w:val="14"/>
                <w14:textFill>
                  <w14:solidFill>
                    <w14:schemeClr w14:val="tx1"/>
                  </w14:solidFill>
                </w14:textFill>
              </w:rPr>
              <w:t>2</w:t>
            </w:r>
            <w:r>
              <w:rPr>
                <w:color w:val="000000" w:themeColor="text1"/>
                <w:spacing w:val="3"/>
                <w14:textFill>
                  <w14:solidFill>
                    <w14:schemeClr w14:val="tx1"/>
                  </w14:solidFill>
                </w14:textFill>
              </w:rPr>
              <w:t>、NO</w:t>
            </w:r>
            <w:r>
              <w:rPr>
                <w:color w:val="000000" w:themeColor="text1"/>
                <w:spacing w:val="3"/>
                <w:position w:val="-3"/>
                <w:sz w:val="14"/>
                <w:szCs w:val="14"/>
                <w14:textFill>
                  <w14:solidFill>
                    <w14:schemeClr w14:val="tx1"/>
                  </w14:solidFill>
                </w14:textFill>
              </w:rPr>
              <w:t>x</w:t>
            </w:r>
            <w:r>
              <w:rPr>
                <w:color w:val="000000" w:themeColor="text1"/>
                <w:spacing w:val="3"/>
                <w14:textFill>
                  <w14:solidFill>
                    <w14:schemeClr w14:val="tx1"/>
                  </w14:solidFill>
                </w14:textFill>
              </w:rPr>
              <w:t>、H</w:t>
            </w:r>
            <w:r>
              <w:rPr>
                <w:color w:val="000000" w:themeColor="text1"/>
                <w:spacing w:val="3"/>
                <w:position w:val="-3"/>
                <w:sz w:val="14"/>
                <w:szCs w:val="14"/>
                <w14:textFill>
                  <w14:solidFill>
                    <w14:schemeClr w14:val="tx1"/>
                  </w14:solidFill>
                </w14:textFill>
              </w:rPr>
              <w:t>2</w:t>
            </w:r>
            <w:r>
              <w:rPr>
                <w:color w:val="000000" w:themeColor="text1"/>
                <w:spacing w:val="3"/>
                <w14:textFill>
                  <w14:solidFill>
                    <w14:schemeClr w14:val="tx1"/>
                  </w14:solidFill>
                </w14:textFill>
              </w:rPr>
              <w:t>S、NH</w:t>
            </w:r>
            <w:r>
              <w:rPr>
                <w:color w:val="000000" w:themeColor="text1"/>
                <w:spacing w:val="3"/>
                <w:position w:val="-3"/>
                <w:sz w:val="14"/>
                <w:szCs w:val="14"/>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6"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声环境</w:t>
            </w:r>
          </w:p>
        </w:tc>
        <w:tc>
          <w:tcPr>
            <w:tcW w:w="2602"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spacing w:val="5"/>
                <w14:textFill>
                  <w14:solidFill>
                    <w14:schemeClr w14:val="tx1"/>
                  </w14:solidFill>
                </w14:textFill>
              </w:rPr>
              <w:t>等效连续声级</w:t>
            </w:r>
            <w:r>
              <w:rPr>
                <w:color w:val="000000" w:themeColor="text1"/>
                <w:spacing w:val="-40"/>
                <w14:textFill>
                  <w14:solidFill>
                    <w14:schemeClr w14:val="tx1"/>
                  </w14:solidFill>
                </w14:textFill>
              </w:rPr>
              <w:t xml:space="preserve"> </w:t>
            </w:r>
            <w:r>
              <w:rPr>
                <w:color w:val="000000" w:themeColor="text1"/>
                <w14:textFill>
                  <w14:solidFill>
                    <w14:schemeClr w14:val="tx1"/>
                  </w14:solidFill>
                </w14:textFill>
              </w:rPr>
              <w:t>L</w:t>
            </w:r>
            <w:r>
              <w:rPr>
                <w:color w:val="000000" w:themeColor="text1"/>
                <w:position w:val="-3"/>
                <w:sz w:val="14"/>
                <w:szCs w:val="14"/>
                <w14:textFill>
                  <w14:solidFill>
                    <w14:schemeClr w14:val="tx1"/>
                  </w14:solidFill>
                </w14:textFill>
              </w:rPr>
              <w:t>Aeq</w:t>
            </w:r>
          </w:p>
        </w:tc>
        <w:tc>
          <w:tcPr>
            <w:tcW w:w="1912"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spacing w:val="5"/>
                <w14:textFill>
                  <w14:solidFill>
                    <w14:schemeClr w14:val="tx1"/>
                  </w14:solidFill>
                </w14:textFill>
              </w:rPr>
              <w:t>等效连续声级</w:t>
            </w:r>
            <w:r>
              <w:rPr>
                <w:color w:val="000000" w:themeColor="text1"/>
                <w:spacing w:val="-39"/>
                <w14:textFill>
                  <w14:solidFill>
                    <w14:schemeClr w14:val="tx1"/>
                  </w14:solidFill>
                </w14:textFill>
              </w:rPr>
              <w:t xml:space="preserve"> </w:t>
            </w:r>
            <w:r>
              <w:rPr>
                <w:color w:val="000000" w:themeColor="text1"/>
                <w14:textFill>
                  <w14:solidFill>
                    <w14:schemeClr w14:val="tx1"/>
                  </w14:solidFill>
                </w14:textFill>
              </w:rPr>
              <w:t>L</w:t>
            </w:r>
            <w:r>
              <w:rPr>
                <w:color w:val="000000" w:themeColor="text1"/>
                <w:position w:val="-3"/>
                <w:sz w:val="14"/>
                <w:szCs w:val="14"/>
                <w14:textFill>
                  <w14:solidFill>
                    <w14:schemeClr w14:val="tx1"/>
                  </w14:solidFill>
                </w14:textFill>
              </w:rPr>
              <w:t>Aeq</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地表水环境</w:t>
            </w:r>
          </w:p>
        </w:tc>
        <w:tc>
          <w:tcPr>
            <w:tcW w:w="2602" w:type="pct"/>
            <w:vAlign w:val="center"/>
          </w:tcPr>
          <w:p>
            <w:pPr>
              <w:pStyle w:val="332"/>
              <w:rPr>
                <w:color w:val="000000" w:themeColor="text1"/>
                <w14:textFill>
                  <w14:solidFill>
                    <w14:schemeClr w14:val="tx1"/>
                  </w14:solidFill>
                </w14:textFill>
              </w:rPr>
            </w:pPr>
            <w:r>
              <w:rPr>
                <w:color w:val="000000" w:themeColor="text1"/>
                <w:spacing w:val="3"/>
                <w14:textFill>
                  <w14:solidFill>
                    <w14:schemeClr w14:val="tx1"/>
                  </w14:solidFill>
                </w14:textFill>
              </w:rPr>
              <w:t>--</w:t>
            </w:r>
          </w:p>
        </w:tc>
        <w:tc>
          <w:tcPr>
            <w:tcW w:w="1912" w:type="pct"/>
            <w:vAlign w:val="center"/>
          </w:tcPr>
          <w:p>
            <w:pPr>
              <w:pStyle w:val="332"/>
              <w:rPr>
                <w:color w:val="000000" w:themeColor="text1"/>
                <w14:textFill>
                  <w14:solidFill>
                    <w14:schemeClr w14:val="tx1"/>
                  </w14:solidFill>
                </w14:textFill>
              </w:rPr>
            </w:pPr>
            <w:r>
              <w:rPr>
                <w:color w:val="000000" w:themeColor="text1"/>
                <w:spacing w:val="3"/>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地下水环境</w:t>
            </w:r>
          </w:p>
        </w:tc>
        <w:tc>
          <w:tcPr>
            <w:tcW w:w="2602" w:type="pct"/>
            <w:vAlign w:val="center"/>
          </w:tcPr>
          <w:p>
            <w:pPr>
              <w:pStyle w:val="332"/>
              <w:jc w:val="both"/>
              <w:rPr>
                <w:color w:val="000000" w:themeColor="text1"/>
                <w14:textFill>
                  <w14:solidFill>
                    <w14:schemeClr w14:val="tx1"/>
                  </w14:solidFill>
                </w14:textFill>
              </w:rPr>
            </w:pPr>
            <w:r>
              <w:rPr>
                <w:color w:val="000000" w:themeColor="text1"/>
                <w:spacing w:val="5"/>
                <w14:textFill>
                  <w14:solidFill>
                    <w14:schemeClr w14:val="tx1"/>
                  </w14:solidFill>
                </w14:textFill>
              </w:rPr>
              <w:t>pH、总硬度、氟化物、氨氮、砷、耗氧量、</w:t>
            </w:r>
            <w:r>
              <w:rPr>
                <w:color w:val="000000" w:themeColor="text1"/>
                <w14:textFill>
                  <w14:solidFill>
                    <w14:schemeClr w14:val="tx1"/>
                  </w14:solidFill>
                </w14:textFill>
              </w:rPr>
              <w:t>六价铬、硝酸盐氮、亚硝酸盐氮、硫酸盐、溶</w:t>
            </w:r>
            <w:r>
              <w:rPr>
                <w:color w:val="000000" w:themeColor="text1"/>
                <w:spacing w:val="5"/>
                <w14:textFill>
                  <w14:solidFill>
                    <w14:schemeClr w14:val="tx1"/>
                  </w14:solidFill>
                </w14:textFill>
              </w:rPr>
              <w:t>解性总固体、挥发性酚类、汞、铁、锰、铅、</w:t>
            </w:r>
            <w:r>
              <w:rPr>
                <w:color w:val="000000" w:themeColor="text1"/>
                <w:kern w:val="0"/>
                <w:szCs w:val="21"/>
                <w14:textFill>
                  <w14:solidFill>
                    <w14:schemeClr w14:val="tx1"/>
                  </w14:solidFill>
                </w14:textFill>
              </w:rPr>
              <w:t>氰化物、氯化物、镉、菌落总数、总大肠菌群</w:t>
            </w:r>
          </w:p>
        </w:tc>
        <w:tc>
          <w:tcPr>
            <w:tcW w:w="1912" w:type="pct"/>
            <w:vAlign w:val="center"/>
          </w:tcPr>
          <w:p>
            <w:pPr>
              <w:pStyle w:val="332"/>
              <w:rPr>
                <w:color w:val="000000" w:themeColor="text1"/>
                <w14:textFill>
                  <w14:solidFill>
                    <w14:schemeClr w14:val="tx1"/>
                  </w14:solidFill>
                </w14:textFill>
              </w:rPr>
            </w:pPr>
            <w:r>
              <w:rPr>
                <w:color w:val="000000" w:themeColor="text1"/>
                <w:spacing w:val="5"/>
                <w14:textFill>
                  <w14:solidFill>
                    <w14:schemeClr w14:val="tx1"/>
                  </w14:solidFill>
                </w14:textFill>
              </w:rPr>
              <w:t>氨氮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6"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土壤</w:t>
            </w:r>
          </w:p>
        </w:tc>
        <w:tc>
          <w:tcPr>
            <w:tcW w:w="2602" w:type="pct"/>
            <w:vAlign w:val="center"/>
          </w:tcPr>
          <w:p>
            <w:pPr>
              <w:autoSpaceDE w:val="0"/>
              <w:autoSpaceDN w:val="0"/>
              <w:adjustRightInd w:val="0"/>
              <w:spacing w:line="240" w:lineRule="auto"/>
              <w:ind w:firstLine="0" w:firstLineChars="0"/>
              <w:jc w:val="left"/>
              <w:rPr>
                <w:rFonts w:cs="Times New Roman"/>
                <w:color w:val="000000" w:themeColor="text1"/>
                <w:spacing w:val="5"/>
                <w14:textFill>
                  <w14:solidFill>
                    <w14:schemeClr w14:val="tx1"/>
                  </w14:solidFill>
                </w14:textFill>
              </w:rPr>
            </w:pPr>
            <w:r>
              <w:rPr>
                <w:rFonts w:cs="Times New Roman"/>
                <w:color w:val="000000" w:themeColor="text1"/>
                <w:kern w:val="0"/>
                <w:sz w:val="21"/>
                <w:szCs w:val="21"/>
                <w14:textFill>
                  <w14:solidFill>
                    <w14:schemeClr w14:val="tx1"/>
                  </w14:solidFill>
                </w14:textFill>
              </w:rPr>
              <w:t>pH、镉、汞、砷、铅、铬、铜、镍、锌、六六六、滴滴涕、土壤盐化、碱化或酸化现象及级别</w:t>
            </w:r>
          </w:p>
        </w:tc>
        <w:tc>
          <w:tcPr>
            <w:tcW w:w="1912" w:type="pct"/>
            <w:vAlign w:val="center"/>
          </w:tcPr>
          <w:p>
            <w:pPr>
              <w:pStyle w:val="332"/>
              <w:rPr>
                <w:color w:val="000000" w:themeColor="text1"/>
                <w:sz w:val="20"/>
                <w:szCs w:val="20"/>
                <w14:textFill>
                  <w14:solidFill>
                    <w14:schemeClr w14:val="tx1"/>
                  </w14:solidFill>
                </w14:textFill>
              </w:rPr>
            </w:pPr>
            <w:r>
              <w:rPr>
                <w:color w:val="000000" w:themeColor="text1"/>
                <w:kern w:val="0"/>
                <w:szCs w:val="21"/>
                <w14:textFill>
                  <w14:solidFill>
                    <w14:schemeClr w14:val="tx1"/>
                  </w14:solidFill>
                </w14:textFill>
              </w:rPr>
              <w:t>pH、土壤盐化影响</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6" w:type="pct"/>
            <w:vAlign w:val="center"/>
          </w:tcPr>
          <w:p>
            <w:pPr>
              <w:autoSpaceDE w:val="0"/>
              <w:autoSpaceDN w:val="0"/>
              <w:adjustRightInd w:val="0"/>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固体</w:t>
            </w:r>
          </w:p>
          <w:p>
            <w:pPr>
              <w:autoSpaceDE w:val="0"/>
              <w:autoSpaceDN w:val="0"/>
              <w:adjustRightInd w:val="0"/>
              <w:spacing w:line="240" w:lineRule="auto"/>
              <w:ind w:firstLine="0" w:firstLineChars="0"/>
              <w:jc w:val="center"/>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废物</w:t>
            </w:r>
          </w:p>
        </w:tc>
        <w:tc>
          <w:tcPr>
            <w:tcW w:w="2602" w:type="pct"/>
            <w:vAlign w:val="center"/>
          </w:tcPr>
          <w:p>
            <w:pPr>
              <w:pStyle w:val="332"/>
              <w:rPr>
                <w:color w:val="000000" w:themeColor="text1"/>
                <w:spacing w:val="5"/>
                <w14:textFill>
                  <w14:solidFill>
                    <w14:schemeClr w14:val="tx1"/>
                  </w14:solidFill>
                </w14:textFill>
              </w:rPr>
            </w:pPr>
            <w:r>
              <w:rPr>
                <w:color w:val="000000" w:themeColor="text1"/>
                <w:spacing w:val="3"/>
                <w14:textFill>
                  <w14:solidFill>
                    <w14:schemeClr w14:val="tx1"/>
                  </w14:solidFill>
                </w14:textFill>
              </w:rPr>
              <w:t>--</w:t>
            </w:r>
          </w:p>
        </w:tc>
        <w:tc>
          <w:tcPr>
            <w:tcW w:w="1912" w:type="pct"/>
            <w:vAlign w:val="center"/>
          </w:tcPr>
          <w:p>
            <w:pPr>
              <w:autoSpaceDE w:val="0"/>
              <w:autoSpaceDN w:val="0"/>
              <w:adjustRightInd w:val="0"/>
              <w:spacing w:line="240" w:lineRule="auto"/>
              <w:ind w:firstLine="0" w:firstLineChars="0"/>
              <w:jc w:val="left"/>
              <w:rPr>
                <w:rFonts w:cs="Times New Roman"/>
                <w:color w:val="000000" w:themeColor="text1"/>
                <w:sz w:val="20"/>
                <w:szCs w:val="20"/>
                <w14:textFill>
                  <w14:solidFill>
                    <w14:schemeClr w14:val="tx1"/>
                  </w14:solidFill>
                </w14:textFill>
              </w:rPr>
            </w:pPr>
            <w:r>
              <w:rPr>
                <w:rFonts w:cs="Times New Roman"/>
                <w:color w:val="000000" w:themeColor="text1"/>
                <w:kern w:val="0"/>
                <w:sz w:val="21"/>
                <w:szCs w:val="21"/>
                <w14:textFill>
                  <w14:solidFill>
                    <w14:schemeClr w14:val="tx1"/>
                  </w14:solidFill>
                </w14:textFill>
              </w:rPr>
              <w:t>猪粪、沼渣、病死猪、母猪胎盘、医疗废物、废脱硫剂、生活垃圾等</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6" w:type="pct"/>
            <w:vAlign w:val="center"/>
          </w:tcPr>
          <w:p>
            <w:pPr>
              <w:autoSpaceDE w:val="0"/>
              <w:autoSpaceDN w:val="0"/>
              <w:adjustRightInd w:val="0"/>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生态</w:t>
            </w:r>
          </w:p>
          <w:p>
            <w:pPr>
              <w:autoSpaceDE w:val="0"/>
              <w:autoSpaceDN w:val="0"/>
              <w:adjustRightInd w:val="0"/>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环境</w:t>
            </w:r>
          </w:p>
        </w:tc>
        <w:tc>
          <w:tcPr>
            <w:tcW w:w="2602" w:type="pct"/>
            <w:vAlign w:val="center"/>
          </w:tcPr>
          <w:p>
            <w:pPr>
              <w:pStyle w:val="332"/>
              <w:rPr>
                <w:color w:val="000000" w:themeColor="text1"/>
                <w:spacing w:val="3"/>
                <w14:textFill>
                  <w14:solidFill>
                    <w14:schemeClr w14:val="tx1"/>
                  </w14:solidFill>
                </w14:textFill>
              </w:rPr>
            </w:pPr>
            <w:r>
              <w:rPr>
                <w:color w:val="000000" w:themeColor="text1"/>
                <w:kern w:val="0"/>
                <w:szCs w:val="21"/>
                <w14:textFill>
                  <w14:solidFill>
                    <w14:schemeClr w14:val="tx1"/>
                  </w14:solidFill>
                </w14:textFill>
              </w:rPr>
              <w:t>农田及植被</w:t>
            </w:r>
          </w:p>
        </w:tc>
        <w:tc>
          <w:tcPr>
            <w:tcW w:w="1912" w:type="pct"/>
            <w:vAlign w:val="center"/>
          </w:tcPr>
          <w:p>
            <w:pPr>
              <w:autoSpaceDE w:val="0"/>
              <w:autoSpaceDN w:val="0"/>
              <w:adjustRightInd w:val="0"/>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农田及植被</w:t>
            </w:r>
          </w:p>
        </w:tc>
      </w:tr>
    </w:tbl>
    <w:p>
      <w:pPr>
        <w:pStyle w:val="3"/>
        <w:spacing w:before="120" w:after="120"/>
        <w:rPr>
          <w:rFonts w:cs="Times New Roman"/>
          <w:color w:val="000000" w:themeColor="text1"/>
          <w14:textFill>
            <w14:solidFill>
              <w14:schemeClr w14:val="tx1"/>
            </w14:solidFill>
          </w14:textFill>
        </w:rPr>
      </w:pPr>
      <w:bookmarkStart w:id="164" w:name="_Toc47619981"/>
      <w:bookmarkStart w:id="165" w:name="_Toc52791850"/>
      <w:bookmarkStart w:id="166" w:name="_Toc47619795"/>
      <w:bookmarkStart w:id="167" w:name="_Toc47619458"/>
      <w:bookmarkStart w:id="168" w:name="_Toc47619352"/>
      <w:bookmarkStart w:id="169" w:name="_Toc58362749"/>
      <w:bookmarkStart w:id="170" w:name="_Toc47619133"/>
      <w:bookmarkStart w:id="171" w:name="_Toc91163834"/>
      <w:bookmarkStart w:id="172" w:name="_Toc58362735"/>
      <w:bookmarkStart w:id="173" w:name="_Toc52791836"/>
      <w:bookmarkStart w:id="174" w:name="_Toc47619967"/>
      <w:bookmarkStart w:id="175" w:name="_Toc47619350"/>
      <w:bookmarkStart w:id="176" w:name="_Toc47619781"/>
      <w:bookmarkStart w:id="177" w:name="_Toc47619119"/>
      <w:bookmarkStart w:id="178" w:name="_Toc47619456"/>
      <w:r>
        <w:rPr>
          <w:rFonts w:cs="Times New Roman"/>
          <w:color w:val="000000" w:themeColor="text1"/>
          <w14:textFill>
            <w14:solidFill>
              <w14:schemeClr w14:val="tx1"/>
            </w14:solidFill>
          </w14:textFill>
        </w:rPr>
        <w:t>2.3  评价标准</w:t>
      </w:r>
      <w:bookmarkEnd w:id="164"/>
      <w:bookmarkEnd w:id="165"/>
      <w:bookmarkEnd w:id="166"/>
      <w:bookmarkEnd w:id="167"/>
      <w:bookmarkEnd w:id="168"/>
      <w:bookmarkEnd w:id="169"/>
      <w:bookmarkEnd w:id="170"/>
      <w:bookmarkEnd w:id="171"/>
    </w:p>
    <w:p>
      <w:pPr>
        <w:pStyle w:val="4"/>
        <w:rPr>
          <w:rFonts w:cs="Times New Roman"/>
          <w:color w:val="000000" w:themeColor="text1"/>
          <w14:textFill>
            <w14:solidFill>
              <w14:schemeClr w14:val="tx1"/>
            </w14:solidFill>
          </w14:textFill>
        </w:rPr>
      </w:pPr>
      <w:bookmarkStart w:id="179" w:name="_Toc47619134"/>
      <w:bookmarkStart w:id="180" w:name="_Toc47619796"/>
      <w:bookmarkStart w:id="181" w:name="_Toc52791851"/>
      <w:bookmarkStart w:id="182" w:name="_Toc91163835"/>
      <w:bookmarkStart w:id="183" w:name="_Toc47619982"/>
      <w:bookmarkStart w:id="184" w:name="_Toc58362750"/>
      <w:r>
        <w:rPr>
          <w:rFonts w:cs="Times New Roman"/>
          <w:color w:val="000000" w:themeColor="text1"/>
          <w14:textFill>
            <w14:solidFill>
              <w14:schemeClr w14:val="tx1"/>
            </w14:solidFill>
          </w14:textFill>
        </w:rPr>
        <w:t>2.3.1 环境质量标准</w:t>
      </w:r>
      <w:bookmarkEnd w:id="179"/>
      <w:bookmarkEnd w:id="180"/>
      <w:bookmarkEnd w:id="181"/>
      <w:bookmarkEnd w:id="182"/>
      <w:bookmarkEnd w:id="183"/>
      <w:bookmarkEnd w:id="184"/>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根据项目建设特征及评价区的环境功能要求，本次评价执行以下标准：</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1、大气环境</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空气质量标准》（GB3095—2012）二类功能区的规定：居住区、商业交通居民混合区、文化区、一般工业区和农村地区；本项目位于农村地区，环境空气质量功能区划分为二类功能区。执行《环境空气质量标准》（GB3095—2012）中的二级标准。</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表2.3-1 《环境空气质量标准》（GB3095—2012）中的二级标准（单位：ug/m³）</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47"/>
        <w:gridCol w:w="1029"/>
        <w:gridCol w:w="1116"/>
        <w:gridCol w:w="1201"/>
        <w:gridCol w:w="1177"/>
        <w:gridCol w:w="1227"/>
        <w:gridCol w:w="11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4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575"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62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671"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c>
          <w:tcPr>
            <w:tcW w:w="65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68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CO</w:t>
            </w:r>
          </w:p>
        </w:tc>
        <w:tc>
          <w:tcPr>
            <w:tcW w:w="64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4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年平均</w:t>
            </w:r>
          </w:p>
        </w:tc>
        <w:tc>
          <w:tcPr>
            <w:tcW w:w="575"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40</w:t>
            </w:r>
          </w:p>
        </w:tc>
        <w:tc>
          <w:tcPr>
            <w:tcW w:w="62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60</w:t>
            </w:r>
          </w:p>
        </w:tc>
        <w:tc>
          <w:tcPr>
            <w:tcW w:w="671"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35</w:t>
            </w:r>
          </w:p>
        </w:tc>
        <w:tc>
          <w:tcPr>
            <w:tcW w:w="658"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70</w:t>
            </w:r>
          </w:p>
        </w:tc>
        <w:tc>
          <w:tcPr>
            <w:tcW w:w="68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4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4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24小时平均</w:t>
            </w:r>
          </w:p>
        </w:tc>
        <w:tc>
          <w:tcPr>
            <w:tcW w:w="57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80</w:t>
            </w:r>
          </w:p>
        </w:tc>
        <w:tc>
          <w:tcPr>
            <w:tcW w:w="62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6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w:t>
            </w:r>
          </w:p>
        </w:tc>
        <w:tc>
          <w:tcPr>
            <w:tcW w:w="65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68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4000</w:t>
            </w:r>
          </w:p>
        </w:tc>
        <w:tc>
          <w:tcPr>
            <w:tcW w:w="64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4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1小时平均</w:t>
            </w:r>
          </w:p>
        </w:tc>
        <w:tc>
          <w:tcPr>
            <w:tcW w:w="57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62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6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5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8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10000</w:t>
            </w:r>
          </w:p>
        </w:tc>
        <w:tc>
          <w:tcPr>
            <w:tcW w:w="64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4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日最大8小时平均</w:t>
            </w:r>
          </w:p>
        </w:tc>
        <w:tc>
          <w:tcPr>
            <w:tcW w:w="57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2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5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8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4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160</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S参照《环境影响评价技术导则 大气环境》（HJ2.2-2018）附录D中氨和硫化氢空气质量浓度限值，具体标准值见表2.3-2。</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2.3-2 </w:t>
      </w:r>
      <w:r>
        <w:rPr>
          <w:rFonts w:cs="Times New Roman"/>
          <w:color w:val="000000" w:themeColor="text1"/>
          <w14:textFill>
            <w14:solidFill>
              <w14:schemeClr w14:val="tx1"/>
            </w14:solidFill>
          </w14:textFill>
        </w:rPr>
        <w:t>特征污染物环境空气质量标准（单位：mg/m³）</w:t>
      </w: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3061"/>
        <w:gridCol w:w="38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污染物名称</w:t>
            </w:r>
          </w:p>
        </w:tc>
        <w:tc>
          <w:tcPr>
            <w:tcW w:w="1711"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标准值（1h平均）</w:t>
            </w:r>
          </w:p>
        </w:tc>
        <w:tc>
          <w:tcPr>
            <w:tcW w:w="215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1711"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2157"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《环境影响评价技术导则 大气环境》（HJ2.2-2018）附录D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171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0.20</w:t>
            </w:r>
          </w:p>
        </w:tc>
        <w:tc>
          <w:tcPr>
            <w:tcW w:w="2157" w:type="pct"/>
            <w:vMerge w:val="continue"/>
            <w:vAlign w:val="center"/>
          </w:tcPr>
          <w:p>
            <w:pPr>
              <w:pStyle w:val="332"/>
              <w:widowControl w:val="0"/>
              <w:rPr>
                <w:color w:val="000000" w:themeColor="text1"/>
                <w14:textFill>
                  <w14:solidFill>
                    <w14:schemeClr w14:val="tx1"/>
                  </w14:solidFill>
                </w14:textFill>
              </w:rPr>
            </w:pP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2、地表水环境</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本项目最近地表水为厂址南侧约1.4 km处的鸡鸣水河，鸡鸣水河为绛河的一级支流，根据《山西省地表水水环境功能区划》（DB14/67-2019），属海河流域-漳河山区-浊漳河水系-绛河（屯降水库-入南源段），水环境功能为“工农业用水保护”，水质要求为Ⅱ类，执行《地表水环境质量标准》（GB3838-2002）中Ⅱ类标准。具体值为：</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表2.3-3 地表水环境评价标准（mg/L，pH除外）</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719"/>
        <w:gridCol w:w="1038"/>
        <w:gridCol w:w="950"/>
        <w:gridCol w:w="929"/>
        <w:gridCol w:w="1106"/>
        <w:gridCol w:w="1043"/>
        <w:gridCol w:w="1224"/>
        <w:gridCol w:w="9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40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pH</w:t>
            </w:r>
          </w:p>
        </w:tc>
        <w:tc>
          <w:tcPr>
            <w:tcW w:w="58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溶解氧</w:t>
            </w:r>
          </w:p>
        </w:tc>
        <w:tc>
          <w:tcPr>
            <w:tcW w:w="531"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高锰酸盐指数</w:t>
            </w:r>
          </w:p>
        </w:tc>
        <w:tc>
          <w:tcPr>
            <w:tcW w:w="51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化学需氧量</w:t>
            </w:r>
          </w:p>
        </w:tc>
        <w:tc>
          <w:tcPr>
            <w:tcW w:w="61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五日生化需氧量</w:t>
            </w:r>
          </w:p>
        </w:tc>
        <w:tc>
          <w:tcPr>
            <w:tcW w:w="583"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68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总磷</w:t>
            </w:r>
          </w:p>
        </w:tc>
        <w:tc>
          <w:tcPr>
            <w:tcW w:w="52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总氮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40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6-9</w:t>
            </w:r>
          </w:p>
        </w:tc>
        <w:tc>
          <w:tcPr>
            <w:tcW w:w="58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w:t>
            </w:r>
          </w:p>
        </w:tc>
        <w:tc>
          <w:tcPr>
            <w:tcW w:w="531"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51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w:t>
            </w:r>
          </w:p>
        </w:tc>
        <w:tc>
          <w:tcPr>
            <w:tcW w:w="61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583"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≤0.5</w:t>
            </w:r>
          </w:p>
        </w:tc>
        <w:tc>
          <w:tcPr>
            <w:tcW w:w="68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w:t>
            </w:r>
          </w:p>
        </w:tc>
        <w:tc>
          <w:tcPr>
            <w:tcW w:w="52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40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58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锌</w:t>
            </w:r>
          </w:p>
        </w:tc>
        <w:tc>
          <w:tcPr>
            <w:tcW w:w="531"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51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硒</w:t>
            </w:r>
          </w:p>
        </w:tc>
        <w:tc>
          <w:tcPr>
            <w:tcW w:w="61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583"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68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52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六价铬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40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58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531"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51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61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583"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≤0.00005</w:t>
            </w:r>
          </w:p>
        </w:tc>
        <w:tc>
          <w:tcPr>
            <w:tcW w:w="68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52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40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58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氰化物</w:t>
            </w:r>
          </w:p>
        </w:tc>
        <w:tc>
          <w:tcPr>
            <w:tcW w:w="531"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挥发酚</w:t>
            </w:r>
          </w:p>
        </w:tc>
        <w:tc>
          <w:tcPr>
            <w:tcW w:w="51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石油类</w:t>
            </w:r>
          </w:p>
        </w:tc>
        <w:tc>
          <w:tcPr>
            <w:tcW w:w="61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阴离子表面活性剂</w:t>
            </w:r>
          </w:p>
        </w:tc>
        <w:tc>
          <w:tcPr>
            <w:tcW w:w="583"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硫化物</w:t>
            </w:r>
          </w:p>
        </w:tc>
        <w:tc>
          <w:tcPr>
            <w:tcW w:w="684" w:type="pct"/>
            <w:tcBorders>
              <w:top w:val="single" w:color="auto" w:sz="12" w:space="0"/>
              <w:bottom w:val="single" w:color="auto" w:sz="1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粪大肠菌群（个/L）</w:t>
            </w:r>
          </w:p>
        </w:tc>
        <w:tc>
          <w:tcPr>
            <w:tcW w:w="52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40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580"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531"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519"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618"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≤0.2</w:t>
            </w:r>
          </w:p>
        </w:tc>
        <w:tc>
          <w:tcPr>
            <w:tcW w:w="583"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w:t>
            </w:r>
          </w:p>
        </w:tc>
        <w:tc>
          <w:tcPr>
            <w:tcW w:w="68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≤2000</w:t>
            </w:r>
          </w:p>
        </w:tc>
        <w:tc>
          <w:tcPr>
            <w:tcW w:w="526" w:type="pct"/>
            <w:tcBorders>
              <w:top w:val="single" w:color="auto" w:sz="12" w:space="0"/>
            </w:tcBorders>
            <w:vAlign w:val="center"/>
          </w:tcPr>
          <w:p>
            <w:pPr>
              <w:pStyle w:val="332"/>
              <w:rPr>
                <w:color w:val="000000" w:themeColor="text1"/>
                <w14:textFill>
                  <w14:solidFill>
                    <w14:schemeClr w14:val="tx1"/>
                  </w14:solidFill>
                </w14:textFill>
              </w:rPr>
            </w:pP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3、地下水环境</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地下水环境评价采用《地下水质量标准》（GB/T14848－2017）中III类水质标准。</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表2.3-4 地下水环境评价标准（单位：mg/L，pH除外）</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1020"/>
        <w:gridCol w:w="1020"/>
        <w:gridCol w:w="1020"/>
        <w:gridCol w:w="1159"/>
        <w:gridCol w:w="1006"/>
        <w:gridCol w:w="1326"/>
        <w:gridCol w:w="1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pH</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总硬度</w:t>
            </w:r>
          </w:p>
        </w:tc>
        <w:tc>
          <w:tcPr>
            <w:tcW w:w="570" w:type="pct"/>
            <w:vAlign w:val="center"/>
          </w:tcPr>
          <w:p>
            <w:pPr>
              <w:pStyle w:val="332"/>
              <w:rPr>
                <w:color w:val="000000" w:themeColor="text1"/>
                <w14:textFill>
                  <w14:solidFill>
                    <w14:schemeClr w14:val="tx1"/>
                  </w14:solidFill>
                </w14:textFill>
              </w:rPr>
            </w:pPr>
            <w:r>
              <w:rPr>
                <w:color w:val="000000" w:themeColor="text1"/>
                <w:kern w:val="0"/>
                <w14:textFill>
                  <w14:solidFill>
                    <w14:schemeClr w14:val="tx1"/>
                  </w14:solidFill>
                </w14:textFill>
              </w:rPr>
              <w:t>溶解性总固体</w:t>
            </w:r>
          </w:p>
        </w:tc>
        <w:tc>
          <w:tcPr>
            <w:tcW w:w="6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硫酸盐</w:t>
            </w:r>
          </w:p>
        </w:tc>
        <w:tc>
          <w:tcPr>
            <w:tcW w:w="56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氯化物</w:t>
            </w:r>
          </w:p>
        </w:tc>
        <w:tc>
          <w:tcPr>
            <w:tcW w:w="74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铁</w:t>
            </w:r>
          </w:p>
        </w:tc>
        <w:tc>
          <w:tcPr>
            <w:tcW w:w="73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6.5-8.5</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≤450</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6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56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74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≤0.3</w:t>
            </w:r>
          </w:p>
        </w:tc>
        <w:tc>
          <w:tcPr>
            <w:tcW w:w="73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挥发性酚类</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耗氧量</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硝酸盐</w:t>
            </w:r>
          </w:p>
        </w:tc>
        <w:tc>
          <w:tcPr>
            <w:tcW w:w="6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亚硝酸盐</w:t>
            </w:r>
          </w:p>
        </w:tc>
        <w:tc>
          <w:tcPr>
            <w:tcW w:w="56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74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73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氰化物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≤3.0</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6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56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≤0.50</w:t>
            </w:r>
          </w:p>
        </w:tc>
        <w:tc>
          <w:tcPr>
            <w:tcW w:w="74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73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6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铬（六价）</w:t>
            </w:r>
          </w:p>
        </w:tc>
        <w:tc>
          <w:tcPr>
            <w:tcW w:w="56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74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总大肠菌群（个/L）</w:t>
            </w:r>
          </w:p>
        </w:tc>
        <w:tc>
          <w:tcPr>
            <w:tcW w:w="73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细菌总数（个/L）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6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56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74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≤3.0</w:t>
            </w:r>
          </w:p>
        </w:tc>
        <w:tc>
          <w:tcPr>
            <w:tcW w:w="73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4、声环境</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本项目所在区域属于农村地区；根据《声环境质量标准》（GB3096-2008），评价区属于1类功能区，执行《声环境质量标准》（GB3096-2008）1类标准，详见下表。</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表2.3-5 声环境标准（dB（A））</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24"/>
        <w:gridCol w:w="1855"/>
        <w:gridCol w:w="2084"/>
        <w:gridCol w:w="26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9"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1037"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1165" w:type="pct"/>
            <w:tcBorders>
              <w:bottom w:val="single" w:color="auto" w:sz="12"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1499" w:type="pct"/>
            <w:tcBorders>
              <w:left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9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3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w:t>
            </w:r>
          </w:p>
        </w:tc>
        <w:tc>
          <w:tcPr>
            <w:tcW w:w="1165" w:type="pct"/>
            <w:tcBorders>
              <w:top w:val="single" w:color="auto" w:sz="12" w:space="0"/>
              <w:bottom w:val="single" w:color="auto" w:sz="12"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45</w:t>
            </w:r>
          </w:p>
        </w:tc>
        <w:tc>
          <w:tcPr>
            <w:tcW w:w="1499" w:type="pct"/>
            <w:tcBorders>
              <w:top w:val="single" w:color="auto" w:sz="12" w:space="0"/>
              <w:left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项目区域</w:t>
            </w: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5、土壤环境</w:t>
      </w:r>
    </w:p>
    <w:p>
      <w:pPr>
        <w:snapToGrid w:val="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本项目占地属于一般农田，农用地执行《土壤环境质量 农用地土壤污染风险管控标准（试行）》（GB15618-2018）表1、表2农用地土壤污染风险筛选值中，具体见表2.3-6。</w:t>
      </w:r>
    </w:p>
    <w:p>
      <w:pPr>
        <w:pStyle w:val="333"/>
        <w:spacing w:before="120"/>
        <w:rPr>
          <w:rFonts w:cs="Times New Roman"/>
          <w:color w:val="000000" w:themeColor="text1"/>
          <w14:textFill>
            <w14:solidFill>
              <w14:schemeClr w14:val="tx1"/>
            </w14:solidFill>
          </w14:textFill>
        </w:rPr>
      </w:pPr>
      <w:bookmarkStart w:id="185" w:name="_Toc47619135"/>
      <w:bookmarkStart w:id="186" w:name="_Toc47619983"/>
      <w:bookmarkStart w:id="187" w:name="_Toc52791852"/>
      <w:bookmarkStart w:id="188" w:name="_Toc47619797"/>
      <w:r>
        <w:rPr>
          <w:rFonts w:cs="Times New Roman"/>
          <w:color w:val="000000" w:themeColor="text1"/>
          <w14:textFill>
            <w14:solidFill>
              <w14:schemeClr w14:val="tx1"/>
            </w14:solidFill>
          </w14:textFill>
        </w:rPr>
        <w:t>表2.3-6 土壤环境质量标准 农用地土壤污染风险管控标准》（试行）（GB15618-2018）中表1、表2摘录   单位：mg/kg</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921"/>
        <w:gridCol w:w="1072"/>
        <w:gridCol w:w="1589"/>
        <w:gridCol w:w="1589"/>
        <w:gridCol w:w="158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vMerge w:val="restart"/>
            <w:tcBorders>
              <w:top w:val="single" w:color="auto" w:sz="12" w:space="0"/>
              <w:left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114" w:type="pct"/>
            <w:gridSpan w:val="2"/>
            <w:vMerge w:val="restar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污染物项目</w:t>
            </w:r>
          </w:p>
        </w:tc>
        <w:tc>
          <w:tcPr>
            <w:tcW w:w="3553" w:type="pct"/>
            <w:gridSpan w:val="4"/>
            <w:tcBorders>
              <w:top w:val="single" w:color="auto" w:sz="12" w:space="0"/>
              <w:bottom w:val="single" w:color="auto" w:sz="4" w:space="0"/>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vMerge w:val="continue"/>
            <w:tcBorders>
              <w:top w:val="single" w:color="auto" w:sz="4" w:space="0"/>
              <w:left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p>
        </w:tc>
        <w:tc>
          <w:tcPr>
            <w:tcW w:w="1114" w:type="pct"/>
            <w:gridSpan w:val="2"/>
            <w:vMerge w:val="continue"/>
            <w:tcBorders>
              <w:top w:val="single" w:color="auto" w:sz="4" w:space="0"/>
              <w:bottom w:val="single" w:color="auto" w:sz="12" w:space="0"/>
            </w:tcBorders>
            <w:shd w:val="clear" w:color="auto" w:fill="auto"/>
            <w:vAlign w:val="center"/>
          </w:tcPr>
          <w:p>
            <w:pPr>
              <w:pStyle w:val="332"/>
              <w:rPr>
                <w:color w:val="000000" w:themeColor="text1"/>
                <w14:textFill>
                  <w14:solidFill>
                    <w14:schemeClr w14:val="tx1"/>
                  </w14:solidFill>
                </w14:textFill>
              </w:rPr>
            </w:pPr>
          </w:p>
        </w:tc>
        <w:tc>
          <w:tcPr>
            <w:tcW w:w="888" w:type="pct"/>
            <w:tcBorders>
              <w:top w:val="single" w:color="auto" w:sz="4"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pH≤5.5</w:t>
            </w:r>
          </w:p>
        </w:tc>
        <w:tc>
          <w:tcPr>
            <w:tcW w:w="888" w:type="pct"/>
            <w:tcBorders>
              <w:top w:val="single" w:color="auto" w:sz="4"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5.5＜pH≤6.5</w:t>
            </w:r>
          </w:p>
        </w:tc>
        <w:tc>
          <w:tcPr>
            <w:tcW w:w="888" w:type="pct"/>
            <w:tcBorders>
              <w:top w:val="single" w:color="auto" w:sz="4"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6.5＜pH≤7.5</w:t>
            </w:r>
          </w:p>
        </w:tc>
        <w:tc>
          <w:tcPr>
            <w:tcW w:w="889" w:type="pct"/>
            <w:tcBorders>
              <w:top w:val="single" w:color="auto" w:sz="4" w:space="0"/>
              <w:bottom w:val="single" w:color="auto" w:sz="12" w:space="0"/>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pH＞7.5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tcBorders>
              <w:top w:val="single" w:color="auto" w:sz="12" w:space="0"/>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515"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599" w:type="pct"/>
            <w:vMerge w:val="restar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其他</w:t>
            </w:r>
          </w:p>
        </w:tc>
        <w:tc>
          <w:tcPr>
            <w:tcW w:w="888"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0.3</w:t>
            </w:r>
          </w:p>
        </w:tc>
        <w:tc>
          <w:tcPr>
            <w:tcW w:w="888"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0.3</w:t>
            </w:r>
          </w:p>
        </w:tc>
        <w:tc>
          <w:tcPr>
            <w:tcW w:w="888"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0.3</w:t>
            </w:r>
          </w:p>
        </w:tc>
        <w:tc>
          <w:tcPr>
            <w:tcW w:w="889" w:type="pct"/>
            <w:tcBorders>
              <w:top w:val="single" w:color="auto" w:sz="12" w:space="0"/>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515"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599" w:type="pct"/>
            <w:vMerge w:val="continue"/>
            <w:shd w:val="clear" w:color="auto" w:fill="auto"/>
            <w:vAlign w:val="center"/>
          </w:tcPr>
          <w:p>
            <w:pPr>
              <w:pStyle w:val="332"/>
              <w:rPr>
                <w:color w:val="000000" w:themeColor="text1"/>
                <w14:textFill>
                  <w14:solidFill>
                    <w14:schemeClr w14:val="tx1"/>
                  </w14:solidFill>
                </w14:textFill>
              </w:rPr>
            </w:pP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1.3</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1.8</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2.4</w:t>
            </w:r>
          </w:p>
        </w:tc>
        <w:tc>
          <w:tcPr>
            <w:tcW w:w="889" w:type="pct"/>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515"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599" w:type="pct"/>
            <w:vMerge w:val="continue"/>
            <w:shd w:val="clear" w:color="auto" w:fill="auto"/>
            <w:vAlign w:val="center"/>
          </w:tcPr>
          <w:p>
            <w:pPr>
              <w:pStyle w:val="332"/>
              <w:rPr>
                <w:color w:val="000000" w:themeColor="text1"/>
                <w14:textFill>
                  <w14:solidFill>
                    <w14:schemeClr w14:val="tx1"/>
                  </w14:solidFill>
                </w14:textFill>
              </w:rPr>
            </w:pP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40</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40</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30</w:t>
            </w:r>
          </w:p>
        </w:tc>
        <w:tc>
          <w:tcPr>
            <w:tcW w:w="889" w:type="pct"/>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515"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599" w:type="pct"/>
            <w:vMerge w:val="continue"/>
            <w:shd w:val="clear" w:color="auto" w:fill="auto"/>
            <w:vAlign w:val="center"/>
          </w:tcPr>
          <w:p>
            <w:pPr>
              <w:pStyle w:val="332"/>
              <w:rPr>
                <w:color w:val="000000" w:themeColor="text1"/>
                <w14:textFill>
                  <w14:solidFill>
                    <w14:schemeClr w14:val="tx1"/>
                  </w14:solidFill>
                </w14:textFill>
              </w:rPr>
            </w:pP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70</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90</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889" w:type="pct"/>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515"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铬</w:t>
            </w:r>
          </w:p>
        </w:tc>
        <w:tc>
          <w:tcPr>
            <w:tcW w:w="599" w:type="pct"/>
            <w:vMerge w:val="continue"/>
            <w:shd w:val="clear" w:color="auto" w:fill="auto"/>
            <w:vAlign w:val="center"/>
          </w:tcPr>
          <w:p>
            <w:pPr>
              <w:pStyle w:val="332"/>
              <w:rPr>
                <w:color w:val="000000" w:themeColor="text1"/>
                <w14:textFill>
                  <w14:solidFill>
                    <w14:schemeClr w14:val="tx1"/>
                  </w14:solidFill>
                </w14:textFill>
              </w:rPr>
            </w:pP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889" w:type="pct"/>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w:t>
            </w:r>
          </w:p>
        </w:tc>
        <w:tc>
          <w:tcPr>
            <w:tcW w:w="515"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599" w:type="pct"/>
            <w:vMerge w:val="continue"/>
            <w:shd w:val="clear" w:color="auto" w:fill="auto"/>
            <w:vAlign w:val="center"/>
          </w:tcPr>
          <w:p>
            <w:pPr>
              <w:pStyle w:val="332"/>
              <w:rPr>
                <w:color w:val="000000" w:themeColor="text1"/>
                <w14:textFill>
                  <w14:solidFill>
                    <w14:schemeClr w14:val="tx1"/>
                  </w14:solidFill>
                </w14:textFill>
              </w:rPr>
            </w:pP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50</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50</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889" w:type="pct"/>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w:t>
            </w:r>
          </w:p>
        </w:tc>
        <w:tc>
          <w:tcPr>
            <w:tcW w:w="1114" w:type="pct"/>
            <w:gridSpan w:val="2"/>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镍</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60</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70</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889" w:type="pct"/>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w:t>
            </w:r>
          </w:p>
        </w:tc>
        <w:tc>
          <w:tcPr>
            <w:tcW w:w="1114" w:type="pct"/>
            <w:gridSpan w:val="2"/>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锌</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888"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889" w:type="pct"/>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w:t>
            </w:r>
          </w:p>
        </w:tc>
        <w:tc>
          <w:tcPr>
            <w:tcW w:w="1114" w:type="pct"/>
            <w:gridSpan w:val="2"/>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六六六总量</w:t>
            </w:r>
          </w:p>
        </w:tc>
        <w:tc>
          <w:tcPr>
            <w:tcW w:w="3553" w:type="pct"/>
            <w:gridSpan w:val="4"/>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 w:type="pct"/>
            <w:tcBorders>
              <w:left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114" w:type="pct"/>
            <w:gridSpan w:val="2"/>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滴滴涕总量</w:t>
            </w:r>
          </w:p>
        </w:tc>
        <w:tc>
          <w:tcPr>
            <w:tcW w:w="3553" w:type="pct"/>
            <w:gridSpan w:val="4"/>
            <w:tcBorders>
              <w:bottom w:val="single" w:color="auto" w:sz="12" w:space="0"/>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0.10</w:t>
            </w:r>
          </w:p>
        </w:tc>
      </w:tr>
    </w:tbl>
    <w:p>
      <w:pPr>
        <w:pStyle w:val="4"/>
        <w:rPr>
          <w:rFonts w:cs="Times New Roman"/>
          <w:color w:val="000000" w:themeColor="text1"/>
          <w14:textFill>
            <w14:solidFill>
              <w14:schemeClr w14:val="tx1"/>
            </w14:solidFill>
          </w14:textFill>
        </w:rPr>
      </w:pPr>
      <w:bookmarkStart w:id="189" w:name="_Toc91163836"/>
      <w:bookmarkStart w:id="190" w:name="_Toc58362751"/>
      <w:r>
        <w:rPr>
          <w:rFonts w:cs="Times New Roman"/>
          <w:color w:val="000000" w:themeColor="text1"/>
          <w14:textFill>
            <w14:solidFill>
              <w14:schemeClr w14:val="tx1"/>
            </w14:solidFill>
          </w14:textFill>
        </w:rPr>
        <w:t>2.3.2 污染物排放标准</w:t>
      </w:r>
      <w:bookmarkEnd w:id="185"/>
      <w:bookmarkEnd w:id="186"/>
      <w:bookmarkEnd w:id="187"/>
      <w:bookmarkEnd w:id="188"/>
      <w:bookmarkEnd w:id="189"/>
      <w:bookmarkEnd w:id="190"/>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1、大气污染物排放标准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（1）恶臭污染物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本项目运营期臭气浓度执行《畜禽养殖业污染物排放标准》（GB18596-2001）中表7集约化畜禽养殖业恶臭污染物排放标准；场界无组织排放H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S和NH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执行《恶臭污染物排放标准》（GB14554-93）表1-恶臭污染物厂界标准值。标准限值见表2.3-7。</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表2.3-7 场界执行恶臭污染物标准</w:t>
      </w:r>
      <w:r>
        <w:rPr>
          <w:rFonts w:cs="Times New Roman"/>
          <w:color w:val="000000" w:themeColor="text1"/>
          <w:kern w:val="0"/>
          <w:szCs w:val="21"/>
          <w14:textFill>
            <w14:solidFill>
              <w14:schemeClr w14:val="tx1"/>
            </w14:solidFill>
          </w14:textFill>
        </w:rPr>
        <w:t xml:space="preserve">   单位：</w:t>
      </w:r>
      <w:r>
        <w:rPr>
          <w:rFonts w:cs="Times New Roman"/>
          <w:color w:val="000000" w:themeColor="text1"/>
          <w14:textFill>
            <w14:solidFill>
              <w14:schemeClr w14:val="tx1"/>
            </w14:solidFill>
          </w14:textFill>
        </w:rPr>
        <w:t>mg/m³</w:t>
      </w: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603"/>
        <w:gridCol w:w="2625"/>
        <w:gridCol w:w="40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896"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项目名称</w:t>
            </w:r>
          </w:p>
        </w:tc>
        <w:tc>
          <w:tcPr>
            <w:tcW w:w="146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场界最高允许排放浓度</w:t>
            </w:r>
          </w:p>
        </w:tc>
        <w:tc>
          <w:tcPr>
            <w:tcW w:w="2238"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896"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1467"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1.5</w:t>
            </w:r>
          </w:p>
        </w:tc>
        <w:tc>
          <w:tcPr>
            <w:tcW w:w="2238"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恶臭污染物排放标准（GB14554-93）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89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硫化氢</w:t>
            </w:r>
          </w:p>
        </w:tc>
        <w:tc>
          <w:tcPr>
            <w:tcW w:w="14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2238"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89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臭气浓度</w:t>
            </w:r>
          </w:p>
        </w:tc>
        <w:tc>
          <w:tcPr>
            <w:tcW w:w="14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70（无量纲）</w:t>
            </w:r>
          </w:p>
        </w:tc>
        <w:tc>
          <w:tcPr>
            <w:tcW w:w="223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畜禽养殖业污染物排放标准（GB18596-2001）</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无害化处理设备废气H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S和NH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执行《恶臭污染物排放标准》（GB14554-93）表1中新改扩二级标准。标准限值见表2.3-8。</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表2.3-8 </w:t>
      </w:r>
      <w:r>
        <w:rPr>
          <w:rFonts w:cs="Times New Roman"/>
          <w:color w:val="000000" w:themeColor="text1"/>
          <w:kern w:val="0"/>
          <w:szCs w:val="21"/>
          <w14:textFill>
            <w14:solidFill>
              <w14:schemeClr w14:val="tx1"/>
            </w14:solidFill>
          </w14:textFill>
        </w:rPr>
        <w:t>恶臭污染物标准</w:t>
      </w:r>
    </w:p>
    <w:p>
      <w:pPr>
        <w:kinsoku w:val="0"/>
        <w:overflowPunct w:val="0"/>
        <w:autoSpaceDE w:val="0"/>
        <w:autoSpaceDN w:val="0"/>
        <w:adjustRightInd w:val="0"/>
        <w:spacing w:before="7" w:line="240" w:lineRule="auto"/>
        <w:ind w:firstLine="0" w:firstLineChars="0"/>
        <w:jc w:val="left"/>
        <w:rPr>
          <w:rFonts w:cs="Times New Roman"/>
          <w:color w:val="000000" w:themeColor="text1"/>
          <w:kern w:val="0"/>
          <w:sz w:val="8"/>
          <w:szCs w:val="8"/>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699"/>
        <w:gridCol w:w="1542"/>
        <w:gridCol w:w="1582"/>
        <w:gridCol w:w="1580"/>
        <w:gridCol w:w="335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9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88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项目名称</w:t>
            </w:r>
          </w:p>
        </w:tc>
        <w:tc>
          <w:tcPr>
            <w:tcW w:w="903"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spacing w:val="-2"/>
                <w14:textFill>
                  <w14:solidFill>
                    <w14:schemeClr w14:val="tx1"/>
                  </w14:solidFill>
                </w14:textFill>
              </w:rPr>
              <w:t>排气筒高度（m）</w:t>
            </w:r>
          </w:p>
        </w:tc>
        <w:tc>
          <w:tcPr>
            <w:tcW w:w="90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排放速率</w:t>
            </w:r>
          </w:p>
          <w:p>
            <w:pPr>
              <w:pStyle w:val="332"/>
              <w:rPr>
                <w:color w:val="000000" w:themeColor="text1"/>
                <w14:textFill>
                  <w14:solidFill>
                    <w14:schemeClr w14:val="tx1"/>
                  </w14:solidFill>
                </w14:textFill>
              </w:rPr>
            </w:pPr>
            <w:r>
              <w:rPr>
                <w:color w:val="000000" w:themeColor="text1"/>
                <w14:textFill>
                  <w14:solidFill>
                    <w14:schemeClr w14:val="tx1"/>
                  </w14:solidFill>
                </w14:textFill>
              </w:rPr>
              <w:t>（kg/h）</w:t>
            </w:r>
          </w:p>
        </w:tc>
        <w:tc>
          <w:tcPr>
            <w:tcW w:w="191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标准来源</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99"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880"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氨</w:t>
            </w:r>
          </w:p>
        </w:tc>
        <w:tc>
          <w:tcPr>
            <w:tcW w:w="903"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w:t>
            </w:r>
          </w:p>
        </w:tc>
        <w:tc>
          <w:tcPr>
            <w:tcW w:w="90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4.9</w:t>
            </w:r>
          </w:p>
        </w:tc>
        <w:tc>
          <w:tcPr>
            <w:tcW w:w="1916"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spacing w:val="-4"/>
                <w14:textFill>
                  <w14:solidFill>
                    <w14:schemeClr w14:val="tx1"/>
                  </w14:solidFill>
                </w14:textFill>
              </w:rPr>
              <w:t>恶臭污染物排放标准（GB14554-93）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9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88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硫化氢</w:t>
            </w:r>
          </w:p>
        </w:tc>
        <w:tc>
          <w:tcPr>
            <w:tcW w:w="90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w:t>
            </w:r>
          </w:p>
        </w:tc>
        <w:tc>
          <w:tcPr>
            <w:tcW w:w="9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0.33</w:t>
            </w:r>
          </w:p>
        </w:tc>
        <w:tc>
          <w:tcPr>
            <w:tcW w:w="1916" w:type="pct"/>
            <w:vMerge w:val="continue"/>
            <w:vAlign w:val="center"/>
          </w:tcPr>
          <w:p>
            <w:pPr>
              <w:pStyle w:val="332"/>
              <w:rPr>
                <w:color w:val="000000" w:themeColor="text1"/>
                <w14:textFill>
                  <w14:solidFill>
                    <w14:schemeClr w14:val="tx1"/>
                  </w14:solidFill>
                </w14:textFill>
              </w:rPr>
            </w:pP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（2）沼气发电机大气污染物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本项目产生的沼气经气水分离、脱硫后用于沼气发电机燃烧发电；沼气发电机大气污染物排放执行《大气污染物综合排放标准》（GB16297-1996）表2中有组织颗粒物、二氧化硫二级标准；根据</w:t>
      </w:r>
      <w:r>
        <w:rPr>
          <w:rFonts w:cs="Times New Roman"/>
          <w:bCs/>
          <w:color w:val="000000" w:themeColor="text1"/>
          <w:szCs w:val="24"/>
          <w14:textFill>
            <w14:solidFill>
              <w14:schemeClr w14:val="tx1"/>
            </w14:solidFill>
          </w14:textFill>
        </w:rPr>
        <w:t>《国家环境保护总局关于内燃式瓦斯发电项目环境影响评价标准请示的复函》环函【2006】359号，氮氧化物参照执行《车用压燃式、气体燃料点燃式发动机与汽车排气污染物排放限值及测量方法》（中国Ⅲ、Ⅳ、Ⅴ阶段）（GB17691—2005）中Ⅴ阶段标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具体执行标准见表2.3-8。</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2.3-8 沼气发电机排放污染物执行标准</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autofit"/>
        <w:tblCellMar>
          <w:top w:w="0" w:type="dxa"/>
          <w:left w:w="0" w:type="dxa"/>
          <w:bottom w:w="0" w:type="dxa"/>
          <w:right w:w="0" w:type="dxa"/>
        </w:tblCellMar>
      </w:tblPr>
      <w:tblGrid>
        <w:gridCol w:w="1470"/>
        <w:gridCol w:w="1889"/>
        <w:gridCol w:w="1348"/>
        <w:gridCol w:w="1692"/>
        <w:gridCol w:w="2361"/>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661"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标准来源</w:t>
            </w:r>
          </w:p>
        </w:tc>
        <w:tc>
          <w:tcPr>
            <w:tcW w:w="1123"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81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01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二氧化硫</w:t>
            </w:r>
          </w:p>
        </w:tc>
        <w:tc>
          <w:tcPr>
            <w:tcW w:w="139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氮氧化物</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661"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GB16297-1996</w:t>
            </w:r>
          </w:p>
        </w:tc>
        <w:tc>
          <w:tcPr>
            <w:tcW w:w="1123"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最高允许排放浓度</w:t>
            </w:r>
          </w:p>
        </w:tc>
        <w:tc>
          <w:tcPr>
            <w:tcW w:w="81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120 mg/m</w:t>
            </w:r>
            <w:r>
              <w:rPr>
                <w:color w:val="000000" w:themeColor="text1"/>
                <w:position w:val="10"/>
                <w:sz w:val="14"/>
                <w:szCs w:val="14"/>
                <w14:textFill>
                  <w14:solidFill>
                    <w14:schemeClr w14:val="tx1"/>
                  </w14:solidFill>
                </w14:textFill>
              </w:rPr>
              <w:t>3</w:t>
            </w:r>
          </w:p>
        </w:tc>
        <w:tc>
          <w:tcPr>
            <w:tcW w:w="1010"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550 mg/m</w:t>
            </w:r>
            <w:r>
              <w:rPr>
                <w:color w:val="000000" w:themeColor="text1"/>
                <w:position w:val="10"/>
                <w:sz w:val="14"/>
                <w:szCs w:val="14"/>
                <w14:textFill>
                  <w14:solidFill>
                    <w14:schemeClr w14:val="tx1"/>
                  </w14:solidFill>
                </w14:textFill>
              </w:rPr>
              <w:t>3</w:t>
            </w:r>
          </w:p>
        </w:tc>
        <w:tc>
          <w:tcPr>
            <w:tcW w:w="139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661" w:type="pct"/>
            <w:vMerge w:val="continue"/>
            <w:vAlign w:val="center"/>
          </w:tcPr>
          <w:p>
            <w:pPr>
              <w:pStyle w:val="332"/>
              <w:rPr>
                <w:color w:val="000000" w:themeColor="text1"/>
                <w14:textFill>
                  <w14:solidFill>
                    <w14:schemeClr w14:val="tx1"/>
                  </w14:solidFill>
                </w14:textFill>
              </w:rPr>
            </w:pPr>
          </w:p>
        </w:tc>
        <w:tc>
          <w:tcPr>
            <w:tcW w:w="112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最高允许排放速率</w:t>
            </w:r>
          </w:p>
        </w:tc>
        <w:tc>
          <w:tcPr>
            <w:tcW w:w="81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3.5 kg/h</w:t>
            </w:r>
          </w:p>
        </w:tc>
        <w:tc>
          <w:tcPr>
            <w:tcW w:w="101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2.6 kg/h</w:t>
            </w:r>
          </w:p>
        </w:tc>
        <w:tc>
          <w:tcPr>
            <w:tcW w:w="139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661" w:type="pct"/>
            <w:vMerge w:val="continue"/>
            <w:vAlign w:val="center"/>
          </w:tcPr>
          <w:p>
            <w:pPr>
              <w:pStyle w:val="332"/>
              <w:rPr>
                <w:color w:val="000000" w:themeColor="text1"/>
                <w14:textFill>
                  <w14:solidFill>
                    <w14:schemeClr w14:val="tx1"/>
                  </w14:solidFill>
                </w14:textFill>
              </w:rPr>
            </w:pPr>
          </w:p>
        </w:tc>
        <w:tc>
          <w:tcPr>
            <w:tcW w:w="112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排气筒高度</w:t>
            </w:r>
          </w:p>
        </w:tc>
        <w:tc>
          <w:tcPr>
            <w:tcW w:w="1824"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 m</w:t>
            </w:r>
          </w:p>
        </w:tc>
        <w:tc>
          <w:tcPr>
            <w:tcW w:w="139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6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GB17691—2005 </w:t>
            </w:r>
          </w:p>
        </w:tc>
        <w:tc>
          <w:tcPr>
            <w:tcW w:w="112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V（2012.1.1）阶段</w:t>
            </w:r>
          </w:p>
        </w:tc>
        <w:tc>
          <w:tcPr>
            <w:tcW w:w="81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01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39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 g/kwh</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（3）食堂油烟</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本项目职工食堂饮食油烟执行《饮食业油烟排放标准（试行）》（GB18432-2001）小型食堂标准，具体取值见表2.3-9。</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表2.3-9 《饮食业油烟排放标准（试行）》（GB18432-2001）</w:t>
      </w:r>
    </w:p>
    <w:p>
      <w:pPr>
        <w:kinsoku w:val="0"/>
        <w:overflowPunct w:val="0"/>
        <w:autoSpaceDE w:val="0"/>
        <w:autoSpaceDN w:val="0"/>
        <w:adjustRightInd w:val="0"/>
        <w:spacing w:before="6" w:line="240" w:lineRule="auto"/>
        <w:ind w:firstLine="0" w:firstLineChars="0"/>
        <w:jc w:val="left"/>
        <w:rPr>
          <w:rFonts w:cs="Times New Roman"/>
          <w:color w:val="000000" w:themeColor="text1"/>
          <w:kern w:val="0"/>
          <w:sz w:val="4"/>
          <w:szCs w:val="4"/>
          <w14:textFill>
            <w14:solidFill>
              <w14:schemeClr w14:val="tx1"/>
            </w14:solidFill>
          </w14:textFill>
        </w:rPr>
      </w:pPr>
      <w:bookmarkStart w:id="191" w:name="2.6评价工作等级及评价范围"/>
      <w:bookmarkEnd w:id="191"/>
    </w:p>
    <w:tbl>
      <w:tblPr>
        <w:tblStyle w:val="53"/>
        <w:tblW w:w="5000" w:type="pct"/>
        <w:tblInd w:w="0" w:type="dxa"/>
        <w:tblLayout w:type="autofit"/>
        <w:tblCellMar>
          <w:top w:w="0" w:type="dxa"/>
          <w:left w:w="0" w:type="dxa"/>
          <w:bottom w:w="0" w:type="dxa"/>
          <w:right w:w="0" w:type="dxa"/>
        </w:tblCellMar>
      </w:tblPr>
      <w:tblGrid>
        <w:gridCol w:w="4559"/>
        <w:gridCol w:w="4201"/>
      </w:tblGrid>
      <w:tr>
        <w:tblPrEx>
          <w:tblCellMar>
            <w:top w:w="0" w:type="dxa"/>
            <w:left w:w="0" w:type="dxa"/>
            <w:bottom w:w="0" w:type="dxa"/>
            <w:right w:w="0" w:type="dxa"/>
          </w:tblCellMar>
        </w:tblPrEx>
        <w:trPr>
          <w:trHeight w:val="397" w:hRule="atLeast"/>
        </w:trPr>
        <w:tc>
          <w:tcPr>
            <w:tcW w:w="2602" w:type="pct"/>
            <w:tcBorders>
              <w:top w:val="single" w:color="000000" w:sz="12" w:space="0"/>
              <w:left w:val="single" w:color="000000"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规模</w:t>
            </w:r>
          </w:p>
        </w:tc>
        <w:tc>
          <w:tcPr>
            <w:tcW w:w="2398" w:type="pct"/>
            <w:tcBorders>
              <w:top w:val="single" w:color="000000" w:sz="12" w:space="0"/>
              <w:left w:val="single" w:color="000000" w:sz="6" w:space="0"/>
              <w:bottom w:val="single" w:color="auto" w:sz="12" w:space="0"/>
              <w:right w:val="single" w:color="000000"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小型</w:t>
            </w:r>
          </w:p>
        </w:tc>
      </w:tr>
      <w:tr>
        <w:tblPrEx>
          <w:tblCellMar>
            <w:top w:w="0" w:type="dxa"/>
            <w:left w:w="0" w:type="dxa"/>
            <w:bottom w:w="0" w:type="dxa"/>
            <w:right w:w="0" w:type="dxa"/>
          </w:tblCellMar>
        </w:tblPrEx>
        <w:trPr>
          <w:trHeight w:val="397" w:hRule="atLeast"/>
        </w:trPr>
        <w:tc>
          <w:tcPr>
            <w:tcW w:w="2602" w:type="pct"/>
            <w:tcBorders>
              <w:top w:val="single" w:color="auto" w:sz="12"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最高允许排放浓度（mg/m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2398" w:type="pct"/>
            <w:tcBorders>
              <w:top w:val="single" w:color="auto" w:sz="12"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w:t>
            </w:r>
          </w:p>
        </w:tc>
      </w:tr>
      <w:tr>
        <w:tblPrEx>
          <w:tblCellMar>
            <w:top w:w="0" w:type="dxa"/>
            <w:left w:w="0" w:type="dxa"/>
            <w:bottom w:w="0" w:type="dxa"/>
            <w:right w:w="0" w:type="dxa"/>
          </w:tblCellMar>
        </w:tblPrEx>
        <w:trPr>
          <w:trHeight w:val="397" w:hRule="atLeast"/>
        </w:trPr>
        <w:tc>
          <w:tcPr>
            <w:tcW w:w="2602" w:type="pct"/>
            <w:tcBorders>
              <w:top w:val="single" w:color="000000" w:sz="4"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净化设施最低去除率（%）</w:t>
            </w:r>
          </w:p>
        </w:tc>
        <w:tc>
          <w:tcPr>
            <w:tcW w:w="2398" w:type="pct"/>
            <w:tcBorders>
              <w:top w:val="single" w:color="000000" w:sz="4" w:space="0"/>
              <w:left w:val="single" w:color="000000" w:sz="4" w:space="0"/>
              <w:bottom w:val="single" w:color="000000" w:sz="10"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60</w:t>
            </w: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2、废水排放标准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生活污水及生产废水均排入黑膜沼气池（厌氧塘）进行处理，养殖产生的粪污经固液分离后，固液分离液体作为沼气生产原料，沼液含有丰富的氮、磷、钾、钙、镁、硫等微量元素以及各种水解酶、有机酸和腐殖酸等生物活性物质，具有刺激作物生长、增强作物抗逆性及改善农作物产品品质的作用，是优质的有机肥基料，可广泛应用于农业土壤修复和改良。因此，本项目将沼液作为农肥施用于周边农田进行综合利用，实现生猪养殖废（污）水零排放。</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3、噪声排放标准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（1）施工期：噪声执行《建筑施工场界环境噪声排放标准》（GB12523-2011）标准，见表2.3-10。</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表2.3-10 建筑施工场界环境噪声限值（单位：dB(A)）</w:t>
      </w:r>
    </w:p>
    <w:tbl>
      <w:tblPr>
        <w:tblStyle w:val="53"/>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4695"/>
        <w:gridCol w:w="425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62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237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夜间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62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70</w:t>
            </w:r>
          </w:p>
        </w:tc>
        <w:tc>
          <w:tcPr>
            <w:tcW w:w="237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（2）运营期：场界执行《工业企业厂界环境噪声排放标准》（GB12348-2008）表1中的1类标准，具体见表2.3-11。</w:t>
      </w:r>
    </w:p>
    <w:p>
      <w:pPr>
        <w:pStyle w:val="333"/>
        <w:spacing w:before="12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表2.3-11 工业企业厂界环境噪声排放标准   单位：</w:t>
      </w:r>
      <w:r>
        <w:rPr>
          <w:rFonts w:cs="Times New Roman"/>
          <w:bCs/>
          <w:color w:val="000000" w:themeColor="text1"/>
          <w14:textFill>
            <w14:solidFill>
              <w14:schemeClr w14:val="tx1"/>
            </w14:solidFill>
          </w14:textFill>
        </w:rPr>
        <w:t>dB(A)</w:t>
      </w:r>
    </w:p>
    <w:tbl>
      <w:tblPr>
        <w:tblStyle w:val="53"/>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3046"/>
        <w:gridCol w:w="1534"/>
        <w:gridCol w:w="2183"/>
        <w:gridCol w:w="218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2" w:type="pct"/>
            <w:tcBorders>
              <w:top w:val="single" w:color="000000"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标准名称</w:t>
            </w:r>
          </w:p>
        </w:tc>
        <w:tc>
          <w:tcPr>
            <w:tcW w:w="857" w:type="pct"/>
            <w:tcBorders>
              <w:top w:val="single" w:color="000000"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1220" w:type="pct"/>
            <w:tcBorders>
              <w:top w:val="single" w:color="000000"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1220" w:type="pct"/>
            <w:tcBorders>
              <w:top w:val="single" w:color="000000"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夜间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70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工业企业厂界环境噪声排放标准</w:t>
            </w:r>
            <w:r>
              <w:rPr>
                <w:color w:val="000000" w:themeColor="text1"/>
                <w14:textFill>
                  <w14:solidFill>
                    <w14:schemeClr w14:val="tx1"/>
                  </w14:solidFill>
                </w14:textFill>
              </w:rPr>
              <w:t>（GB12348-2008）</w:t>
            </w:r>
          </w:p>
        </w:tc>
        <w:tc>
          <w:tcPr>
            <w:tcW w:w="85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20"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w:t>
            </w:r>
          </w:p>
        </w:tc>
        <w:tc>
          <w:tcPr>
            <w:tcW w:w="1220"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45</w:t>
            </w: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4、固废排放标准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（1）猪粪执行《畜禽养殖业污染物排放标准》（GB18596-2001）中表6标准，见表2.3-12。</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2.3-12 </w:t>
      </w:r>
      <w:r>
        <w:rPr>
          <w:rFonts w:cs="Times New Roman"/>
          <w:color w:val="000000" w:themeColor="text1"/>
          <w14:textFill>
            <w14:solidFill>
              <w14:schemeClr w14:val="tx1"/>
            </w14:solidFill>
          </w14:textFill>
        </w:rPr>
        <w:t>畜禽养殖业污染物排放标准（</w:t>
      </w:r>
      <w:r>
        <w:rPr>
          <w:rFonts w:cs="Times New Roman"/>
          <w:bCs/>
          <w:color w:val="000000" w:themeColor="text1"/>
          <w14:textFill>
            <w14:solidFill>
              <w14:schemeClr w14:val="tx1"/>
            </w14:solidFill>
          </w14:textFill>
        </w:rPr>
        <w:t>GB18596-2001</w:t>
      </w:r>
      <w:r>
        <w:rPr>
          <w:rFonts w:cs="Times New Roman"/>
          <w:color w:val="000000" w:themeColor="text1"/>
          <w14:textFill>
            <w14:solidFill>
              <w14:schemeClr w14:val="tx1"/>
            </w14:solidFill>
          </w14:textFill>
        </w:rPr>
        <w:t>）废渣无害化环境标准</w:t>
      </w:r>
    </w:p>
    <w:tbl>
      <w:tblPr>
        <w:tblStyle w:val="53"/>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3677"/>
        <w:gridCol w:w="2635"/>
        <w:gridCol w:w="263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55" w:type="pct"/>
            <w:tcBorders>
              <w:top w:val="single" w:color="000000"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控制项目</w:t>
            </w:r>
          </w:p>
        </w:tc>
        <w:tc>
          <w:tcPr>
            <w:tcW w:w="1473" w:type="pct"/>
            <w:tcBorders>
              <w:top w:val="single" w:color="000000"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蛔虫卵</w:t>
            </w:r>
          </w:p>
        </w:tc>
        <w:tc>
          <w:tcPr>
            <w:tcW w:w="1472" w:type="pct"/>
            <w:tcBorders>
              <w:top w:val="single" w:color="000000"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粪大肠菌群数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055"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指标</w:t>
            </w:r>
          </w:p>
        </w:tc>
        <w:tc>
          <w:tcPr>
            <w:tcW w:w="1473"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死亡率≥95%</w:t>
            </w:r>
          </w:p>
        </w:tc>
        <w:tc>
          <w:tcPr>
            <w:tcW w:w="147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r>
              <w:rPr>
                <w:color w:val="000000" w:themeColor="text1"/>
                <w:vertAlign w:val="superscript"/>
                <w14:textFill>
                  <w14:solidFill>
                    <w14:schemeClr w14:val="tx1"/>
                  </w14:solidFill>
                </w14:textFill>
              </w:rPr>
              <w:t>5</w:t>
            </w:r>
            <w:r>
              <w:rPr>
                <w:color w:val="000000" w:themeColor="text1"/>
                <w14:textFill>
                  <w14:solidFill>
                    <w14:schemeClr w14:val="tx1"/>
                  </w14:solidFill>
                </w14:textFill>
              </w:rPr>
              <w:t>个/kg</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（2）病死猪处理与处置执行《畜禽养殖业污染防治技术规范（HJ/T81-2001）要求。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（3）粪便、沼渣和无害化处理设备固体残渣执行《畜禽养殖业污染物排放标准》（GB18596-2001）中畜禽养殖业废渣无害化环境标准要求和《粪便无害化卫生要求》（GB7959-2012）中粪便沼气发酵的卫生标准。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（4）废脱硫剂和生活垃圾废执行《一般工业固体废物贮存和填埋》(GB18599-2020)。</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（5）病猪防疫产生的医疗废物执行《危险废物贮存污染控制标准》（GB18597-2001）。</w:t>
      </w:r>
    </w:p>
    <w:p>
      <w:pPr>
        <w:pStyle w:val="3"/>
        <w:spacing w:before="120" w:after="120"/>
        <w:rPr>
          <w:rFonts w:cs="Times New Roman"/>
          <w:color w:val="000000" w:themeColor="text1"/>
          <w14:textFill>
            <w14:solidFill>
              <w14:schemeClr w14:val="tx1"/>
            </w14:solidFill>
          </w14:textFill>
        </w:rPr>
      </w:pPr>
      <w:bookmarkStart w:id="192" w:name="_Toc91163837"/>
      <w:r>
        <w:rPr>
          <w:rFonts w:cs="Times New Roman"/>
          <w:color w:val="000000" w:themeColor="text1"/>
          <w14:textFill>
            <w14:solidFill>
              <w14:schemeClr w14:val="tx1"/>
            </w14:solidFill>
          </w14:textFill>
        </w:rPr>
        <w:t>2.4  评价等级</w:t>
      </w:r>
      <w:bookmarkEnd w:id="172"/>
      <w:bookmarkEnd w:id="173"/>
      <w:bookmarkEnd w:id="174"/>
      <w:bookmarkEnd w:id="175"/>
      <w:bookmarkEnd w:id="176"/>
      <w:bookmarkEnd w:id="177"/>
      <w:bookmarkEnd w:id="178"/>
      <w:bookmarkEnd w:id="192"/>
    </w:p>
    <w:p>
      <w:pPr>
        <w:pStyle w:val="3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根据《环境影响评价技术导则》的评价分级要求，结合工程特点和评价区域环境特征，确定本次工程生态环境、地表水环境、地下水环境、声环境、大气环境、土壤的评价工作等级。</w:t>
      </w:r>
    </w:p>
    <w:p>
      <w:pPr>
        <w:pStyle w:val="4"/>
        <w:rPr>
          <w:rFonts w:cs="Times New Roman"/>
          <w:color w:val="000000" w:themeColor="text1"/>
          <w14:textFill>
            <w14:solidFill>
              <w14:schemeClr w14:val="tx1"/>
            </w14:solidFill>
          </w14:textFill>
        </w:rPr>
      </w:pPr>
      <w:bookmarkStart w:id="193" w:name="_Toc91163838"/>
      <w:bookmarkStart w:id="194" w:name="_Toc58362736"/>
      <w:bookmarkStart w:id="195" w:name="_Toc47619120"/>
      <w:bookmarkStart w:id="196" w:name="_Toc52791837"/>
      <w:bookmarkStart w:id="197" w:name="_Toc47619782"/>
      <w:bookmarkStart w:id="198" w:name="_Toc47619968"/>
      <w:r>
        <w:rPr>
          <w:rFonts w:cs="Times New Roman"/>
          <w:color w:val="000000" w:themeColor="text1"/>
          <w14:textFill>
            <w14:solidFill>
              <w14:schemeClr w14:val="tx1"/>
            </w14:solidFill>
          </w14:textFill>
        </w:rPr>
        <w:t>2.4.1 大气环境</w:t>
      </w:r>
      <w:bookmarkEnd w:id="193"/>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1、等级划分判据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根据《环境影响评价技术导则 大气环境》（HJ2.2-2018）中大气评价工作分级方法确定评价工作等级，其判据详见表2.4-1。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2.4-1 </w:t>
      </w:r>
      <w:r>
        <w:rPr>
          <w:rFonts w:cs="Times New Roman"/>
          <w:color w:val="000000" w:themeColor="text1"/>
          <w14:textFill>
            <w14:solidFill>
              <w14:schemeClr w14:val="tx1"/>
            </w14:solidFill>
          </w14:textFill>
        </w:rPr>
        <w:t>评价等级判别表</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67"/>
        <w:gridCol w:w="44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评价工作等级</w:t>
            </w:r>
          </w:p>
        </w:tc>
        <w:tc>
          <w:tcPr>
            <w:tcW w:w="2500"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一级评价</w:t>
            </w:r>
          </w:p>
        </w:tc>
        <w:tc>
          <w:tcPr>
            <w:tcW w:w="2500"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max</w:t>
            </w:r>
            <w:r>
              <w:rPr>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二级评价</w:t>
            </w:r>
          </w:p>
        </w:tc>
        <w:tc>
          <w:tcPr>
            <w:tcW w:w="250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1%≤P</w:t>
            </w:r>
            <w:r>
              <w:rPr>
                <w:color w:val="000000" w:themeColor="text1"/>
                <w:vertAlign w:val="subscript"/>
                <w14:textFill>
                  <w14:solidFill>
                    <w14:schemeClr w14:val="tx1"/>
                  </w14:solidFill>
                </w14:textFill>
              </w:rPr>
              <w:t>max</w:t>
            </w:r>
            <w:r>
              <w:rPr>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三级评价</w:t>
            </w:r>
          </w:p>
        </w:tc>
        <w:tc>
          <w:tcPr>
            <w:tcW w:w="250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max</w:t>
            </w:r>
            <w:r>
              <w:rPr>
                <w:color w:val="000000" w:themeColor="text1"/>
                <w14:textFill>
                  <w14:solidFill>
                    <w14:schemeClr w14:val="tx1"/>
                  </w14:solidFill>
                </w14:textFill>
              </w:rPr>
              <w:t>＜1%</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w:t>
      </w:r>
      <w:r>
        <w:rPr>
          <w:rFonts w:cs="Times New Roman"/>
          <w:color w:val="000000" w:themeColor="text1"/>
          <w:vertAlign w:val="subscript"/>
          <w14:textFill>
            <w14:solidFill>
              <w14:schemeClr w14:val="tx1"/>
            </w14:solidFill>
          </w14:textFill>
        </w:rPr>
        <w:t>max</w:t>
      </w:r>
      <w:r>
        <w:rPr>
          <w:rFonts w:cs="Times New Roman"/>
          <w:color w:val="000000" w:themeColor="text1"/>
          <w14:textFill>
            <w14:solidFill>
              <w14:schemeClr w14:val="tx1"/>
            </w14:solidFill>
          </w14:textFill>
        </w:rPr>
        <w:t>的计算</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根据工程分析结果，选用《环境影响评价技术导则  大气环境》（HJ2.2-2018）中推荐模式中的估算模式，选择正常排放的主要污染物及排放参数，分别计算主要污染物的下风向最大落地浓度P</w:t>
      </w:r>
      <w:r>
        <w:rPr>
          <w:rFonts w:cs="Times New Roman"/>
          <w:color w:val="000000" w:themeColor="text1"/>
          <w:vertAlign w:val="subscript"/>
          <w14:textFill>
            <w14:solidFill>
              <w14:schemeClr w14:val="tx1"/>
            </w14:solidFill>
          </w14:textFill>
        </w:rPr>
        <w:t>max</w:t>
      </w:r>
      <w:r>
        <w:rPr>
          <w:rFonts w:cs="Times New Roman"/>
          <w:color w:val="000000" w:themeColor="text1"/>
          <w14:textFill>
            <w14:solidFill>
              <w14:schemeClr w14:val="tx1"/>
            </w14:solidFill>
          </w14:textFill>
        </w:rPr>
        <w:t>的占标率，依据表2.4-1判据进行大气评价等级判定。</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依据《环境影响评价技术导则》(HJ/T2.2-2018)中最大地面浓度占标率的计算公式：</w:t>
      </w:r>
    </w:p>
    <w:p>
      <w:pPr>
        <w:ind w:firstLine="480"/>
        <w:jc w:val="center"/>
        <w:rPr>
          <w:rFonts w:cs="Times New Roman"/>
          <w:color w:val="000000" w:themeColor="text1"/>
          <w14:textFill>
            <w14:solidFill>
              <w14:schemeClr w14:val="tx1"/>
            </w14:solidFill>
          </w14:textFill>
        </w:rPr>
      </w:pPr>
      <m:oMathPara>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P</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i</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m:t>
          </m:r>
          <m:f>
            <m:fPr>
              <m:type m:val="lin"/>
              <m:ctrlPr>
                <w:rPr>
                  <w:rFonts w:ascii="Cambria Math" w:hAnsi="Cambria Math" w:cs="Times New Roman"/>
                  <w:color w:val="000000" w:themeColor="text1"/>
                  <w14:textFill>
                    <w14:solidFill>
                      <w14:schemeClr w14:val="tx1"/>
                    </w14:solidFill>
                  </w14:textFill>
                </w:rPr>
              </m:ctrlPr>
            </m:fPr>
            <m:num>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C</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i</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C</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0i</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×100%</m:t>
              </m:r>
              <m:ctrlPr>
                <w:rPr>
                  <w:rFonts w:ascii="Cambria Math" w:hAnsi="Cambria Math" w:cs="Times New Roman"/>
                  <w:color w:val="000000" w:themeColor="text1"/>
                  <w14:textFill>
                    <w14:solidFill>
                      <w14:schemeClr w14:val="tx1"/>
                    </w14:solidFill>
                  </w14:textFill>
                </w:rPr>
              </m:ctrlPr>
            </m:den>
          </m:f>
        </m:oMath>
      </m:oMathPara>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P</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i</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—第i个污染物的最大地面浓度占标率，%；</w:t>
      </w:r>
    </w:p>
    <w:p>
      <w:pPr>
        <w:ind w:firstLine="1200" w:firstLineChars="500"/>
        <w:rPr>
          <w:rFonts w:cs="Times New Roman"/>
          <w:color w:val="000000" w:themeColor="text1"/>
          <w14:textFill>
            <w14:solidFill>
              <w14:schemeClr w14:val="tx1"/>
            </w14:solidFill>
          </w14:textFill>
        </w:rPr>
      </w:pP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C</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i</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—采用估算模式计算出的第i个污染物的最大地面浓度，mg/m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pPr>
        <w:ind w:firstLine="1200" w:firstLineChars="500"/>
        <w:rPr>
          <w:rFonts w:cs="Times New Roman"/>
          <w:color w:val="000000" w:themeColor="text1"/>
          <w14:textFill>
            <w14:solidFill>
              <w14:schemeClr w14:val="tx1"/>
            </w14:solidFill>
          </w14:textFill>
        </w:rPr>
      </w:pP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C</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0i</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—第i个污染物的环境空气质量标准，mg/m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采用《环境影响评价技术导则 大气环境》（HJ2.2-2018）推荐的估算模型，参数见表2.4-2。</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表2.4-2 估算模型参数表</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2630"/>
        <w:gridCol w:w="43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574" w:type="pct"/>
            <w:gridSpan w:val="2"/>
            <w:tcBorders>
              <w:top w:val="single" w:color="auto" w:sz="12" w:space="0"/>
              <w:left w:val="single" w:color="auto" w:sz="12" w:space="0"/>
              <w:bottom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参数</w:t>
            </w:r>
          </w:p>
        </w:tc>
        <w:tc>
          <w:tcPr>
            <w:tcW w:w="2426" w:type="pct"/>
            <w:tcBorders>
              <w:top w:val="single" w:color="auto" w:sz="12" w:space="0"/>
              <w:bottom w:val="single" w:color="auto" w:sz="12" w:space="0"/>
              <w:righ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pct"/>
            <w:vMerge w:val="restart"/>
            <w:tcBorders>
              <w:top w:val="single" w:color="auto" w:sz="12" w:space="0"/>
              <w:lef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城市/农村选项</w:t>
            </w:r>
          </w:p>
        </w:tc>
        <w:tc>
          <w:tcPr>
            <w:tcW w:w="1470" w:type="pct"/>
            <w:tcBorders>
              <w:top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城市/农村</w:t>
            </w:r>
          </w:p>
        </w:tc>
        <w:tc>
          <w:tcPr>
            <w:tcW w:w="2426" w:type="pct"/>
            <w:tcBorders>
              <w:top w:val="single" w:color="auto" w:sz="12" w:space="0"/>
              <w:righ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pct"/>
            <w:vMerge w:val="continue"/>
            <w:tcBorders>
              <w:left w:val="single" w:color="auto" w:sz="12" w:space="0"/>
            </w:tcBorders>
            <w:vAlign w:val="center"/>
          </w:tcPr>
          <w:p>
            <w:pPr>
              <w:spacing w:line="240" w:lineRule="auto"/>
              <w:ind w:firstLine="0" w:firstLineChars="0"/>
              <w:jc w:val="center"/>
              <w:rPr>
                <w:rFonts w:cs="Times New Roman"/>
                <w:color w:val="000000" w:themeColor="text1"/>
                <w:sz w:val="21"/>
                <w:szCs w:val="21"/>
                <w:highlight w:val="yellow"/>
                <w14:textFill>
                  <w14:solidFill>
                    <w14:schemeClr w14:val="tx1"/>
                  </w14:solidFill>
                </w14:textFill>
              </w:rPr>
            </w:pPr>
          </w:p>
        </w:tc>
        <w:tc>
          <w:tcPr>
            <w:tcW w:w="1470" w:type="pct"/>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人口数（城市选项时）</w:t>
            </w:r>
          </w:p>
        </w:tc>
        <w:tc>
          <w:tcPr>
            <w:tcW w:w="2426" w:type="pct"/>
            <w:tcBorders>
              <w:righ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4" w:type="pct"/>
            <w:gridSpan w:val="2"/>
            <w:tcBorders>
              <w:lef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最高环境温度</w:t>
            </w:r>
          </w:p>
        </w:tc>
        <w:tc>
          <w:tcPr>
            <w:tcW w:w="2426" w:type="pct"/>
            <w:tcBorders>
              <w:righ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37.4</w:t>
            </w:r>
            <w:r>
              <w:rPr>
                <w:rFonts w:cs="Times New Roman"/>
                <w:color w:val="000000" w:themeColor="text1"/>
                <w:sz w:val="21"/>
                <w:szCs w:val="21"/>
                <w:vertAlign w:val="superscript"/>
                <w14:textFill>
                  <w14:solidFill>
                    <w14:schemeClr w14:val="tx1"/>
                  </w14:solidFill>
                </w14:textFill>
              </w:rPr>
              <w:t xml:space="preserve"> o</w:t>
            </w:r>
            <w:r>
              <w:rPr>
                <w:rFonts w:cs="Times New Roman"/>
                <w:color w:val="000000" w:themeColor="text1"/>
                <w:sz w:val="21"/>
                <w:szCs w:val="21"/>
                <w14:textFill>
                  <w14:solidFill>
                    <w14:schemeClr w14:val="tx1"/>
                  </w14:solidFill>
                </w14:textFill>
              </w:rPr>
              <w:t>C（310.4K）</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4" w:type="pct"/>
            <w:gridSpan w:val="2"/>
            <w:tcBorders>
              <w:lef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最低环境温度</w:t>
            </w:r>
          </w:p>
        </w:tc>
        <w:tc>
          <w:tcPr>
            <w:tcW w:w="2426" w:type="pct"/>
            <w:tcBorders>
              <w:righ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-29.1</w:t>
            </w:r>
            <w:r>
              <w:rPr>
                <w:rFonts w:cs="Times New Roman"/>
                <w:color w:val="000000" w:themeColor="text1"/>
                <w:sz w:val="21"/>
                <w:szCs w:val="21"/>
                <w:vertAlign w:val="superscript"/>
                <w14:textFill>
                  <w14:solidFill>
                    <w14:schemeClr w14:val="tx1"/>
                  </w14:solidFill>
                </w14:textFill>
              </w:rPr>
              <w:t xml:space="preserve"> o</w:t>
            </w:r>
            <w:r>
              <w:rPr>
                <w:rFonts w:cs="Times New Roman"/>
                <w:color w:val="000000" w:themeColor="text1"/>
                <w:sz w:val="21"/>
                <w:szCs w:val="21"/>
                <w14:textFill>
                  <w14:solidFill>
                    <w14:schemeClr w14:val="tx1"/>
                  </w14:solidFill>
                </w14:textFill>
              </w:rPr>
              <w:t>C（243.9K）</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4" w:type="pct"/>
            <w:gridSpan w:val="2"/>
            <w:tcBorders>
              <w:lef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土地利用类型</w:t>
            </w:r>
          </w:p>
        </w:tc>
        <w:tc>
          <w:tcPr>
            <w:tcW w:w="2426" w:type="pct"/>
            <w:tcBorders>
              <w:righ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农田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74" w:type="pct"/>
            <w:gridSpan w:val="2"/>
            <w:tcBorders>
              <w:lef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区域湿度条件</w:t>
            </w:r>
          </w:p>
        </w:tc>
        <w:tc>
          <w:tcPr>
            <w:tcW w:w="2426" w:type="pct"/>
            <w:tcBorders>
              <w:righ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中等湿度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pct"/>
            <w:vMerge w:val="restart"/>
            <w:tcBorders>
              <w:lef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是否考虑地形</w:t>
            </w:r>
          </w:p>
        </w:tc>
        <w:tc>
          <w:tcPr>
            <w:tcW w:w="1470" w:type="pct"/>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考虑地形</w:t>
            </w:r>
          </w:p>
        </w:tc>
        <w:tc>
          <w:tcPr>
            <w:tcW w:w="2426" w:type="pct"/>
            <w:tcBorders>
              <w:righ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是</w:t>
            </w:r>
            <w:r>
              <w:rPr>
                <w:rFonts w:ascii="Segoe UI Emoji" w:hAnsi="Segoe UI Emoji" w:cs="Segoe UI Emoji"/>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 xml:space="preserve">  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pct"/>
            <w:vMerge w:val="continue"/>
            <w:tcBorders>
              <w:lef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470" w:type="pct"/>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地形数据分辨率/m</w:t>
            </w:r>
          </w:p>
        </w:tc>
        <w:tc>
          <w:tcPr>
            <w:tcW w:w="2426" w:type="pct"/>
            <w:tcBorders>
              <w:righ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pct"/>
            <w:vMerge w:val="restart"/>
            <w:tcBorders>
              <w:lef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是否考虑岸线熏烟</w:t>
            </w:r>
          </w:p>
        </w:tc>
        <w:tc>
          <w:tcPr>
            <w:tcW w:w="1470" w:type="pct"/>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考虑岸线熏烟</w:t>
            </w:r>
          </w:p>
        </w:tc>
        <w:tc>
          <w:tcPr>
            <w:tcW w:w="2426" w:type="pct"/>
            <w:tcBorders>
              <w:righ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是□  否</w:t>
            </w:r>
            <w:r>
              <w:rPr>
                <w:rFonts w:ascii="Segoe UI Emoji" w:hAnsi="Segoe UI Emoji" w:cs="Segoe UI Emoji"/>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pct"/>
            <w:vMerge w:val="continue"/>
            <w:tcBorders>
              <w:lef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470" w:type="pct"/>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岸线距离/km</w:t>
            </w:r>
          </w:p>
        </w:tc>
        <w:tc>
          <w:tcPr>
            <w:tcW w:w="2426" w:type="pct"/>
            <w:tcBorders>
              <w:righ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4" w:type="pct"/>
            <w:vMerge w:val="continue"/>
            <w:tcBorders>
              <w:left w:val="single" w:color="auto" w:sz="12" w:space="0"/>
              <w:bottom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p>
        </w:tc>
        <w:tc>
          <w:tcPr>
            <w:tcW w:w="1470" w:type="pct"/>
            <w:tcBorders>
              <w:bottom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岸线方向/°</w:t>
            </w:r>
          </w:p>
        </w:tc>
        <w:tc>
          <w:tcPr>
            <w:tcW w:w="2426" w:type="pct"/>
            <w:tcBorders>
              <w:bottom w:val="single" w:color="auto" w:sz="12" w:space="0"/>
              <w:right w:val="single" w:color="auto" w:sz="12" w:space="0"/>
            </w:tcBorders>
            <w:vAlign w:val="center"/>
          </w:tcPr>
          <w:p>
            <w:pPr>
              <w:spacing w:line="240" w:lineRule="auto"/>
              <w:ind w:firstLine="0" w:firstLineChars="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2、评价等级确定</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本项目废气排放源强统计见表2.4-3、2.4-4，采用估算模式计算的评价等级表见2.4-6。</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表2.4-3点源（无害化处理设备排气筒）参数调查清单</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998"/>
        <w:gridCol w:w="662"/>
        <w:gridCol w:w="831"/>
        <w:gridCol w:w="662"/>
        <w:gridCol w:w="662"/>
        <w:gridCol w:w="829"/>
        <w:gridCol w:w="829"/>
        <w:gridCol w:w="930"/>
        <w:gridCol w:w="12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restart"/>
            <w:tcBorders>
              <w:top w:val="single" w:color="auto" w:sz="12" w:space="0"/>
              <w:left w:val="single" w:color="auto" w:sz="12"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572"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排气筒底部海拔高度/m</w:t>
            </w:r>
          </w:p>
        </w:tc>
        <w:tc>
          <w:tcPr>
            <w:tcW w:w="381"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排气筒高度/m</w:t>
            </w:r>
          </w:p>
        </w:tc>
        <w:tc>
          <w:tcPr>
            <w:tcW w:w="477"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排气筒出口内径/m</w:t>
            </w:r>
          </w:p>
        </w:tc>
        <w:tc>
          <w:tcPr>
            <w:tcW w:w="381"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烟气</w:t>
            </w:r>
          </w:p>
          <w:p>
            <w:pPr>
              <w:pStyle w:val="347"/>
              <w:rPr>
                <w:color w:val="000000" w:themeColor="text1"/>
                <w14:textFill>
                  <w14:solidFill>
                    <w14:schemeClr w14:val="tx1"/>
                  </w14:solidFill>
                </w14:textFill>
              </w:rPr>
            </w:pPr>
            <w:r>
              <w:rPr>
                <w:color w:val="000000" w:themeColor="text1"/>
                <w14:textFill>
                  <w14:solidFill>
                    <w14:schemeClr w14:val="tx1"/>
                  </w14:solidFill>
                </w14:textFill>
              </w:rPr>
              <w:t>流速</w:t>
            </w:r>
          </w:p>
          <w:p>
            <w:pPr>
              <w:pStyle w:val="347"/>
              <w:rPr>
                <w:color w:val="000000" w:themeColor="text1"/>
                <w14:textFill>
                  <w14:solidFill>
                    <w14:schemeClr w14:val="tx1"/>
                  </w14:solidFill>
                </w14:textFill>
              </w:rPr>
            </w:pPr>
            <w:r>
              <w:rPr>
                <w:color w:val="000000" w:themeColor="text1"/>
                <w14:textFill>
                  <w14:solidFill>
                    <w14:schemeClr w14:val="tx1"/>
                  </w14:solidFill>
                </w14:textFill>
              </w:rPr>
              <w:t>m/s</w:t>
            </w:r>
          </w:p>
        </w:tc>
        <w:tc>
          <w:tcPr>
            <w:tcW w:w="381"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烟气温度</w:t>
            </w:r>
          </w:p>
          <w:p>
            <w:pPr>
              <w:pStyle w:val="347"/>
              <w:rPr>
                <w:color w:val="000000" w:themeColor="text1"/>
                <w14:textFill>
                  <w14:solidFill>
                    <w14:schemeClr w14:val="tx1"/>
                  </w14:solidFill>
                </w14:textFill>
              </w:rPr>
            </w:pPr>
            <w:r>
              <w:rPr>
                <w:color w:val="000000" w:themeColor="text1"/>
                <w14:textFill>
                  <w14:solidFill>
                    <w14:schemeClr w14:val="tx1"/>
                  </w14:solidFill>
                </w14:textFill>
              </w:rPr>
              <w:t>K</w:t>
            </w:r>
          </w:p>
        </w:tc>
        <w:tc>
          <w:tcPr>
            <w:tcW w:w="476"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年排放小时数/h</w:t>
            </w:r>
          </w:p>
        </w:tc>
        <w:tc>
          <w:tcPr>
            <w:tcW w:w="476"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排放</w:t>
            </w:r>
          </w:p>
          <w:p>
            <w:pPr>
              <w:pStyle w:val="347"/>
              <w:rPr>
                <w:color w:val="000000" w:themeColor="text1"/>
                <w14:textFill>
                  <w14:solidFill>
                    <w14:schemeClr w14:val="tx1"/>
                  </w14:solidFill>
                </w14:textFill>
              </w:rPr>
            </w:pPr>
            <w:r>
              <w:rPr>
                <w:color w:val="000000" w:themeColor="text1"/>
                <w14:textFill>
                  <w14:solidFill>
                    <w14:schemeClr w14:val="tx1"/>
                  </w14:solidFill>
                </w14:textFill>
              </w:rPr>
              <w:t>工况</w:t>
            </w:r>
          </w:p>
        </w:tc>
        <w:tc>
          <w:tcPr>
            <w:tcW w:w="1189" w:type="pct"/>
            <w:gridSpan w:val="2"/>
            <w:tcBorders>
              <w:top w:val="single" w:color="auto" w:sz="12" w:space="0"/>
              <w:left w:val="single" w:color="auto" w:sz="4" w:space="0"/>
              <w:bottom w:val="single" w:color="auto" w:sz="4" w:space="0"/>
              <w:right w:val="single" w:color="auto" w:sz="12"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vMerge w:val="continue"/>
            <w:tcBorders>
              <w:top w:val="single" w:color="auto" w:sz="12" w:space="0"/>
              <w:left w:val="single" w:color="auto" w:sz="12"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572"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381"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477"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381"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381"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476"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476"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533" w:type="pct"/>
            <w:tcBorders>
              <w:top w:val="single" w:color="auto" w:sz="4" w:space="0"/>
              <w:left w:val="single" w:color="auto" w:sz="4" w:space="0"/>
              <w:bottom w:val="single" w:color="auto" w:sz="12"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656" w:type="pct"/>
            <w:tcBorders>
              <w:top w:val="single" w:color="auto" w:sz="4" w:space="0"/>
              <w:left w:val="single" w:color="auto"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pct"/>
            <w:tcBorders>
              <w:top w:val="single" w:color="auto" w:sz="12" w:space="0"/>
              <w:left w:val="single" w:color="auto" w:sz="12"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无害化处理设备</w:t>
            </w:r>
          </w:p>
        </w:tc>
        <w:tc>
          <w:tcPr>
            <w:tcW w:w="572"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983</w:t>
            </w:r>
          </w:p>
        </w:tc>
        <w:tc>
          <w:tcPr>
            <w:tcW w:w="381"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15</w:t>
            </w:r>
          </w:p>
        </w:tc>
        <w:tc>
          <w:tcPr>
            <w:tcW w:w="477"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0.15</w:t>
            </w:r>
          </w:p>
        </w:tc>
        <w:tc>
          <w:tcPr>
            <w:tcW w:w="381"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10.85</w:t>
            </w:r>
          </w:p>
        </w:tc>
        <w:tc>
          <w:tcPr>
            <w:tcW w:w="381"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298</w:t>
            </w:r>
          </w:p>
        </w:tc>
        <w:tc>
          <w:tcPr>
            <w:tcW w:w="476"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3650</w:t>
            </w:r>
          </w:p>
        </w:tc>
        <w:tc>
          <w:tcPr>
            <w:tcW w:w="476"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533"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szCs w:val="21"/>
                <w14:textFill>
                  <w14:solidFill>
                    <w14:schemeClr w14:val="tx1"/>
                  </w14:solidFill>
                </w14:textFill>
              </w:rPr>
            </w:pPr>
            <w:r>
              <w:rPr>
                <w:color w:val="000000" w:themeColor="text1"/>
                <w:szCs w:val="21"/>
                <w14:textFill>
                  <w14:solidFill>
                    <w14:schemeClr w14:val="tx1"/>
                  </w14:solidFill>
                </w14:textFill>
              </w:rPr>
              <w:t>0.000046</w:t>
            </w:r>
          </w:p>
        </w:tc>
        <w:tc>
          <w:tcPr>
            <w:tcW w:w="656" w:type="pct"/>
            <w:tcBorders>
              <w:top w:val="single" w:color="auto" w:sz="12" w:space="0"/>
              <w:left w:val="single" w:color="auto" w:sz="4" w:space="0"/>
              <w:bottom w:val="single" w:color="auto" w:sz="4" w:space="0"/>
              <w:right w:val="single" w:color="auto" w:sz="12" w:space="0"/>
            </w:tcBorders>
            <w:vAlign w:val="center"/>
          </w:tcPr>
          <w:p>
            <w:pPr>
              <w:pStyle w:val="347"/>
              <w:rPr>
                <w:color w:val="000000" w:themeColor="text1"/>
                <w:szCs w:val="21"/>
                <w14:textFill>
                  <w14:solidFill>
                    <w14:schemeClr w14:val="tx1"/>
                  </w14:solidFill>
                </w14:textFill>
              </w:rPr>
            </w:pPr>
            <w:r>
              <w:rPr>
                <w:color w:val="000000" w:themeColor="text1"/>
                <w:szCs w:val="21"/>
                <w14:textFill>
                  <w14:solidFill>
                    <w14:schemeClr w14:val="tx1"/>
                  </w14:solidFill>
                </w14:textFill>
              </w:rPr>
              <w:t>0.00000038</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表2.4-4点源（沼气发电机排气口）参数调查清单</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971"/>
        <w:gridCol w:w="638"/>
        <w:gridCol w:w="807"/>
        <w:gridCol w:w="803"/>
        <w:gridCol w:w="638"/>
        <w:gridCol w:w="803"/>
        <w:gridCol w:w="546"/>
        <w:gridCol w:w="749"/>
        <w:gridCol w:w="937"/>
        <w:gridCol w:w="8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5" w:type="pct"/>
            <w:vMerge w:val="restart"/>
            <w:tcBorders>
              <w:top w:val="single" w:color="auto" w:sz="12" w:space="0"/>
              <w:left w:val="single" w:color="auto" w:sz="12"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553"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排气筒底部海拔高度/m</w:t>
            </w:r>
          </w:p>
        </w:tc>
        <w:tc>
          <w:tcPr>
            <w:tcW w:w="363"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排气筒高度/m</w:t>
            </w:r>
          </w:p>
        </w:tc>
        <w:tc>
          <w:tcPr>
            <w:tcW w:w="459"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排气筒出口内径/m</w:t>
            </w:r>
          </w:p>
        </w:tc>
        <w:tc>
          <w:tcPr>
            <w:tcW w:w="457"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烟气</w:t>
            </w:r>
          </w:p>
          <w:p>
            <w:pPr>
              <w:pStyle w:val="347"/>
              <w:rPr>
                <w:color w:val="000000" w:themeColor="text1"/>
                <w14:textFill>
                  <w14:solidFill>
                    <w14:schemeClr w14:val="tx1"/>
                  </w14:solidFill>
                </w14:textFill>
              </w:rPr>
            </w:pPr>
            <w:r>
              <w:rPr>
                <w:color w:val="000000" w:themeColor="text1"/>
                <w14:textFill>
                  <w14:solidFill>
                    <w14:schemeClr w14:val="tx1"/>
                  </w14:solidFill>
                </w14:textFill>
              </w:rPr>
              <w:t>流速</w:t>
            </w:r>
          </w:p>
          <w:p>
            <w:pPr>
              <w:pStyle w:val="347"/>
              <w:rPr>
                <w:color w:val="000000" w:themeColor="text1"/>
                <w14:textFill>
                  <w14:solidFill>
                    <w14:schemeClr w14:val="tx1"/>
                  </w14:solidFill>
                </w14:textFill>
              </w:rPr>
            </w:pPr>
            <w:r>
              <w:rPr>
                <w:color w:val="000000" w:themeColor="text1"/>
                <w14:textFill>
                  <w14:solidFill>
                    <w14:schemeClr w14:val="tx1"/>
                  </w14:solidFill>
                </w14:textFill>
              </w:rPr>
              <w:t>m/s</w:t>
            </w:r>
          </w:p>
        </w:tc>
        <w:tc>
          <w:tcPr>
            <w:tcW w:w="363"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烟气温度</w:t>
            </w:r>
          </w:p>
          <w:p>
            <w:pPr>
              <w:pStyle w:val="347"/>
              <w:rPr>
                <w:color w:val="000000" w:themeColor="text1"/>
                <w14:textFill>
                  <w14:solidFill>
                    <w14:schemeClr w14:val="tx1"/>
                  </w14:solidFill>
                </w14:textFill>
              </w:rPr>
            </w:pPr>
            <w:r>
              <w:rPr>
                <w:color w:val="000000" w:themeColor="text1"/>
                <w14:textFill>
                  <w14:solidFill>
                    <w14:schemeClr w14:val="tx1"/>
                  </w14:solidFill>
                </w14:textFill>
              </w:rPr>
              <w:t>K</w:t>
            </w:r>
          </w:p>
        </w:tc>
        <w:tc>
          <w:tcPr>
            <w:tcW w:w="457"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年排放小时数/h</w:t>
            </w:r>
          </w:p>
        </w:tc>
        <w:tc>
          <w:tcPr>
            <w:tcW w:w="311"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排放</w:t>
            </w:r>
          </w:p>
          <w:p>
            <w:pPr>
              <w:pStyle w:val="347"/>
              <w:rPr>
                <w:color w:val="000000" w:themeColor="text1"/>
                <w14:textFill>
                  <w14:solidFill>
                    <w14:schemeClr w14:val="tx1"/>
                  </w14:solidFill>
                </w14:textFill>
              </w:rPr>
            </w:pPr>
            <w:r>
              <w:rPr>
                <w:color w:val="000000" w:themeColor="text1"/>
                <w14:textFill>
                  <w14:solidFill>
                    <w14:schemeClr w14:val="tx1"/>
                  </w14:solidFill>
                </w14:textFill>
              </w:rPr>
              <w:t>工况</w:t>
            </w:r>
          </w:p>
        </w:tc>
        <w:tc>
          <w:tcPr>
            <w:tcW w:w="1422" w:type="pct"/>
            <w:gridSpan w:val="3"/>
            <w:tcBorders>
              <w:top w:val="single" w:color="auto" w:sz="12" w:space="0"/>
              <w:left w:val="single" w:color="auto" w:sz="4" w:space="0"/>
              <w:bottom w:val="single" w:color="auto" w:sz="4" w:space="0"/>
              <w:right w:val="single" w:color="auto" w:sz="12"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5" w:type="pct"/>
            <w:vMerge w:val="continue"/>
            <w:tcBorders>
              <w:top w:val="single" w:color="auto" w:sz="12" w:space="0"/>
              <w:left w:val="single" w:color="auto" w:sz="12"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553"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363"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459"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457"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363"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457"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311"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426" w:type="pct"/>
            <w:tcBorders>
              <w:top w:val="single" w:color="auto" w:sz="4" w:space="0"/>
              <w:left w:val="single" w:color="auto" w:sz="4" w:space="0"/>
              <w:bottom w:val="single" w:color="auto" w:sz="12" w:space="0"/>
              <w:right w:val="single" w:color="auto"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烟尘</w:t>
            </w:r>
          </w:p>
        </w:tc>
        <w:tc>
          <w:tcPr>
            <w:tcW w:w="533" w:type="pct"/>
            <w:tcBorders>
              <w:top w:val="single" w:color="auto" w:sz="4" w:space="0"/>
              <w:left w:val="single" w:color="auto" w:sz="4" w:space="0"/>
              <w:bottom w:val="single" w:color="auto" w:sz="12"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463" w:type="pct"/>
            <w:tcBorders>
              <w:top w:val="single" w:color="auto" w:sz="4" w:space="0"/>
              <w:left w:val="single" w:color="auto" w:sz="4" w:space="0"/>
              <w:bottom w:val="single" w:color="auto" w:sz="12" w:space="0"/>
              <w:right w:val="single" w:color="auto" w:sz="12"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NOx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5" w:type="pct"/>
            <w:tcBorders>
              <w:top w:val="single" w:color="auto" w:sz="4" w:space="0"/>
              <w:left w:val="single" w:color="auto" w:sz="12"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highlight w:val="yellow"/>
                <w14:textFill>
                  <w14:solidFill>
                    <w14:schemeClr w14:val="tx1"/>
                  </w14:solidFill>
                </w14:textFill>
              </w:rPr>
            </w:pPr>
            <w:r>
              <w:rPr>
                <w:color w:val="000000" w:themeColor="text1"/>
                <w14:textFill>
                  <w14:solidFill>
                    <w14:schemeClr w14:val="tx1"/>
                  </w14:solidFill>
                </w14:textFill>
              </w:rPr>
              <w:t>沼气发电机</w:t>
            </w:r>
          </w:p>
        </w:tc>
        <w:tc>
          <w:tcPr>
            <w:tcW w:w="553"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983</w:t>
            </w:r>
          </w:p>
        </w:tc>
        <w:tc>
          <w:tcPr>
            <w:tcW w:w="363"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15</w:t>
            </w:r>
          </w:p>
        </w:tc>
        <w:tc>
          <w:tcPr>
            <w:tcW w:w="459"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0.15</w:t>
            </w:r>
          </w:p>
        </w:tc>
        <w:tc>
          <w:tcPr>
            <w:tcW w:w="457"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9.9</w:t>
            </w:r>
          </w:p>
        </w:tc>
        <w:tc>
          <w:tcPr>
            <w:tcW w:w="363"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333</w:t>
            </w:r>
          </w:p>
        </w:tc>
        <w:tc>
          <w:tcPr>
            <w:tcW w:w="457"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480</w:t>
            </w:r>
          </w:p>
        </w:tc>
        <w:tc>
          <w:tcPr>
            <w:tcW w:w="311"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426"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0.0031</w:t>
            </w:r>
          </w:p>
        </w:tc>
        <w:tc>
          <w:tcPr>
            <w:tcW w:w="533" w:type="pct"/>
            <w:tcBorders>
              <w:top w:val="single" w:color="auto" w:sz="4" w:space="0"/>
              <w:left w:val="single" w:color="auto" w:sz="4" w:space="0"/>
              <w:bottom w:val="single" w:color="auto" w:sz="12" w:space="0"/>
              <w:right w:val="single" w:color="auto" w:sz="4" w:space="0"/>
            </w:tcBorders>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0.0029</w:t>
            </w:r>
          </w:p>
        </w:tc>
        <w:tc>
          <w:tcPr>
            <w:tcW w:w="463" w:type="pct"/>
            <w:tcBorders>
              <w:top w:val="single" w:color="auto" w:sz="4" w:space="0"/>
              <w:left w:val="single" w:color="auto" w:sz="4" w:space="0"/>
              <w:bottom w:val="single" w:color="auto" w:sz="12" w:space="0"/>
              <w:right w:val="single" w:color="auto" w:sz="12" w:space="0"/>
            </w:tcBorders>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0.094</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2.4-5 </w:t>
      </w:r>
      <w:r>
        <w:rPr>
          <w:rFonts w:cs="Times New Roman"/>
          <w:color w:val="000000" w:themeColor="text1"/>
          <w14:textFill>
            <w14:solidFill>
              <w14:schemeClr w14:val="tx1"/>
            </w14:solidFill>
          </w14:textFill>
        </w:rPr>
        <w:t>拟建面源参数调查清单</w:t>
      </w:r>
    </w:p>
    <w:tbl>
      <w:tblPr>
        <w:tblStyle w:val="34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24"/>
        <w:gridCol w:w="654"/>
        <w:gridCol w:w="654"/>
        <w:gridCol w:w="826"/>
        <w:gridCol w:w="827"/>
        <w:gridCol w:w="827"/>
        <w:gridCol w:w="825"/>
        <w:gridCol w:w="997"/>
        <w:gridCol w:w="12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63" w:type="pct"/>
            <w:vMerge w:val="restart"/>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面源</w:t>
            </w:r>
          </w:p>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477" w:type="pct"/>
            <w:vMerge w:val="restart"/>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面源海拔高度</w:t>
            </w:r>
          </w:p>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(m)</w:t>
            </w:r>
          </w:p>
        </w:tc>
        <w:tc>
          <w:tcPr>
            <w:tcW w:w="382" w:type="pct"/>
            <w:vMerge w:val="restart"/>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面源长度m</w:t>
            </w:r>
          </w:p>
        </w:tc>
        <w:tc>
          <w:tcPr>
            <w:tcW w:w="382" w:type="pct"/>
            <w:vMerge w:val="restart"/>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面源宽度m</w:t>
            </w:r>
          </w:p>
        </w:tc>
        <w:tc>
          <w:tcPr>
            <w:tcW w:w="478" w:type="pct"/>
            <w:vMerge w:val="restart"/>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与正北方向夹角/°</w:t>
            </w:r>
          </w:p>
        </w:tc>
        <w:tc>
          <w:tcPr>
            <w:tcW w:w="478" w:type="pct"/>
            <w:vMerge w:val="restart"/>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面源初始排放高度(m)</w:t>
            </w:r>
          </w:p>
        </w:tc>
        <w:tc>
          <w:tcPr>
            <w:tcW w:w="478" w:type="pct"/>
            <w:vMerge w:val="restart"/>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年排放小时数</w:t>
            </w:r>
          </w:p>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h</w:t>
            </w:r>
          </w:p>
        </w:tc>
        <w:tc>
          <w:tcPr>
            <w:tcW w:w="477" w:type="pct"/>
            <w:vMerge w:val="restart"/>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排放工况</w:t>
            </w:r>
          </w:p>
        </w:tc>
        <w:tc>
          <w:tcPr>
            <w:tcW w:w="1287" w:type="pct"/>
            <w:gridSpan w:val="2"/>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63" w:type="pct"/>
            <w:vMerge w:val="continue"/>
            <w:tcBorders>
              <w:bottom w:val="single" w:color="auto" w:sz="12" w:space="0"/>
            </w:tcBorders>
            <w:vAlign w:val="center"/>
          </w:tcPr>
          <w:p>
            <w:pPr>
              <w:pStyle w:val="332"/>
              <w:rPr>
                <w:color w:val="000000" w:themeColor="text1"/>
                <w:szCs w:val="21"/>
                <w14:textFill>
                  <w14:solidFill>
                    <w14:schemeClr w14:val="tx1"/>
                  </w14:solidFill>
                </w14:textFill>
              </w:rPr>
            </w:pPr>
          </w:p>
        </w:tc>
        <w:tc>
          <w:tcPr>
            <w:tcW w:w="477" w:type="pct"/>
            <w:vMerge w:val="continue"/>
            <w:tcBorders>
              <w:bottom w:val="single" w:color="auto" w:sz="12" w:space="0"/>
            </w:tcBorders>
            <w:vAlign w:val="center"/>
          </w:tcPr>
          <w:p>
            <w:pPr>
              <w:pStyle w:val="332"/>
              <w:rPr>
                <w:color w:val="000000" w:themeColor="text1"/>
                <w:szCs w:val="21"/>
                <w14:textFill>
                  <w14:solidFill>
                    <w14:schemeClr w14:val="tx1"/>
                  </w14:solidFill>
                </w14:textFill>
              </w:rPr>
            </w:pPr>
          </w:p>
        </w:tc>
        <w:tc>
          <w:tcPr>
            <w:tcW w:w="382" w:type="pct"/>
            <w:vMerge w:val="continue"/>
            <w:tcBorders>
              <w:bottom w:val="single" w:color="auto" w:sz="12" w:space="0"/>
            </w:tcBorders>
            <w:vAlign w:val="center"/>
          </w:tcPr>
          <w:p>
            <w:pPr>
              <w:pStyle w:val="332"/>
              <w:rPr>
                <w:color w:val="000000" w:themeColor="text1"/>
                <w:szCs w:val="21"/>
                <w14:textFill>
                  <w14:solidFill>
                    <w14:schemeClr w14:val="tx1"/>
                  </w14:solidFill>
                </w14:textFill>
              </w:rPr>
            </w:pPr>
          </w:p>
        </w:tc>
        <w:tc>
          <w:tcPr>
            <w:tcW w:w="382" w:type="pct"/>
            <w:vMerge w:val="continue"/>
            <w:tcBorders>
              <w:bottom w:val="single" w:color="auto" w:sz="12" w:space="0"/>
            </w:tcBorders>
            <w:vAlign w:val="center"/>
          </w:tcPr>
          <w:p>
            <w:pPr>
              <w:pStyle w:val="332"/>
              <w:rPr>
                <w:color w:val="000000" w:themeColor="text1"/>
                <w:szCs w:val="21"/>
                <w14:textFill>
                  <w14:solidFill>
                    <w14:schemeClr w14:val="tx1"/>
                  </w14:solidFill>
                </w14:textFill>
              </w:rPr>
            </w:pPr>
          </w:p>
        </w:tc>
        <w:tc>
          <w:tcPr>
            <w:tcW w:w="478" w:type="pct"/>
            <w:vMerge w:val="continue"/>
            <w:tcBorders>
              <w:bottom w:val="single" w:color="auto" w:sz="12" w:space="0"/>
            </w:tcBorders>
            <w:vAlign w:val="center"/>
          </w:tcPr>
          <w:p>
            <w:pPr>
              <w:pStyle w:val="332"/>
              <w:rPr>
                <w:color w:val="000000" w:themeColor="text1"/>
                <w:szCs w:val="21"/>
                <w14:textFill>
                  <w14:solidFill>
                    <w14:schemeClr w14:val="tx1"/>
                  </w14:solidFill>
                </w14:textFill>
              </w:rPr>
            </w:pPr>
          </w:p>
        </w:tc>
        <w:tc>
          <w:tcPr>
            <w:tcW w:w="478" w:type="pct"/>
            <w:vMerge w:val="continue"/>
            <w:tcBorders>
              <w:bottom w:val="single" w:color="auto" w:sz="12" w:space="0"/>
            </w:tcBorders>
            <w:vAlign w:val="center"/>
          </w:tcPr>
          <w:p>
            <w:pPr>
              <w:pStyle w:val="332"/>
              <w:rPr>
                <w:color w:val="000000" w:themeColor="text1"/>
                <w:szCs w:val="21"/>
                <w14:textFill>
                  <w14:solidFill>
                    <w14:schemeClr w14:val="tx1"/>
                  </w14:solidFill>
                </w14:textFill>
              </w:rPr>
            </w:pPr>
          </w:p>
        </w:tc>
        <w:tc>
          <w:tcPr>
            <w:tcW w:w="478" w:type="pct"/>
            <w:vMerge w:val="continue"/>
            <w:tcBorders>
              <w:bottom w:val="single" w:color="auto" w:sz="12" w:space="0"/>
            </w:tcBorders>
            <w:vAlign w:val="center"/>
          </w:tcPr>
          <w:p>
            <w:pPr>
              <w:pStyle w:val="332"/>
              <w:rPr>
                <w:color w:val="000000" w:themeColor="text1"/>
                <w:szCs w:val="21"/>
                <w14:textFill>
                  <w14:solidFill>
                    <w14:schemeClr w14:val="tx1"/>
                  </w14:solidFill>
                </w14:textFill>
              </w:rPr>
            </w:pPr>
          </w:p>
        </w:tc>
        <w:tc>
          <w:tcPr>
            <w:tcW w:w="477" w:type="pct"/>
            <w:vMerge w:val="continue"/>
            <w:tcBorders>
              <w:bottom w:val="single" w:color="auto" w:sz="12" w:space="0"/>
            </w:tcBorders>
            <w:vAlign w:val="center"/>
          </w:tcPr>
          <w:p>
            <w:pPr>
              <w:pStyle w:val="332"/>
              <w:rPr>
                <w:color w:val="000000" w:themeColor="text1"/>
                <w:szCs w:val="21"/>
                <w14:textFill>
                  <w14:solidFill>
                    <w14:schemeClr w14:val="tx1"/>
                  </w14:solidFill>
                </w14:textFill>
              </w:rPr>
            </w:pPr>
          </w:p>
        </w:tc>
        <w:tc>
          <w:tcPr>
            <w:tcW w:w="573" w:type="pct"/>
            <w:tcBorders>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p>
        </w:tc>
        <w:tc>
          <w:tcPr>
            <w:tcW w:w="714" w:type="pct"/>
            <w:tcBorders>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Borders>
              <w:top w:val="single" w:color="auto" w:sz="12" w:space="0"/>
              <w:bottom w:val="single" w:color="auto" w:sz="4" w:space="0"/>
            </w:tcBorders>
            <w:noWrap/>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养殖一区</w:t>
            </w:r>
          </w:p>
        </w:tc>
        <w:tc>
          <w:tcPr>
            <w:tcW w:w="477" w:type="pct"/>
            <w:tcBorders>
              <w:top w:val="single" w:color="auto" w:sz="12"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983</w:t>
            </w:r>
          </w:p>
        </w:tc>
        <w:tc>
          <w:tcPr>
            <w:tcW w:w="382" w:type="pct"/>
            <w:tcBorders>
              <w:top w:val="single" w:color="auto" w:sz="12"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160</w:t>
            </w:r>
          </w:p>
        </w:tc>
        <w:tc>
          <w:tcPr>
            <w:tcW w:w="382" w:type="pct"/>
            <w:tcBorders>
              <w:top w:val="single" w:color="auto" w:sz="12"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478" w:type="pct"/>
            <w:tcBorders>
              <w:top w:val="single" w:color="auto" w:sz="12"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78" w:type="pct"/>
            <w:tcBorders>
              <w:top w:val="single" w:color="auto" w:sz="12"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478" w:type="pct"/>
            <w:tcBorders>
              <w:top w:val="single" w:color="auto" w:sz="12"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8760</w:t>
            </w:r>
          </w:p>
        </w:tc>
        <w:tc>
          <w:tcPr>
            <w:tcW w:w="477" w:type="pct"/>
            <w:tcBorders>
              <w:top w:val="single" w:color="auto" w:sz="12" w:space="0"/>
              <w:bottom w:val="single" w:color="auto" w:sz="4" w:space="0"/>
            </w:tcBorders>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正常</w:t>
            </w:r>
          </w:p>
        </w:tc>
        <w:tc>
          <w:tcPr>
            <w:tcW w:w="573" w:type="pct"/>
            <w:tcBorders>
              <w:top w:val="single" w:color="auto" w:sz="12" w:space="0"/>
            </w:tcBorders>
            <w:vAlign w:val="center"/>
          </w:tcPr>
          <w:p>
            <w:pPr>
              <w:pStyle w:val="332"/>
              <w:rPr>
                <w:color w:val="000000" w:themeColor="text1"/>
                <w:szCs w:val="21"/>
                <w:highlight w:val="yellow"/>
                <w14:textFill>
                  <w14:solidFill>
                    <w14:schemeClr w14:val="tx1"/>
                  </w14:solidFill>
                </w14:textFill>
              </w:rPr>
            </w:pPr>
            <w:r>
              <w:rPr>
                <w:color w:val="000000" w:themeColor="text1"/>
                <w14:textFill>
                  <w14:solidFill>
                    <w14:schemeClr w14:val="tx1"/>
                  </w14:solidFill>
                </w14:textFill>
              </w:rPr>
              <w:t>0.00131</w:t>
            </w:r>
          </w:p>
        </w:tc>
        <w:tc>
          <w:tcPr>
            <w:tcW w:w="714" w:type="pct"/>
            <w:tcBorders>
              <w:top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0.00019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Borders>
              <w:top w:val="single" w:color="auto" w:sz="4" w:space="0"/>
              <w:bottom w:val="single" w:color="auto" w:sz="4" w:space="0"/>
            </w:tcBorders>
            <w:noWrap/>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养殖二区</w:t>
            </w:r>
          </w:p>
        </w:tc>
        <w:tc>
          <w:tcPr>
            <w:tcW w:w="477"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983</w:t>
            </w:r>
          </w:p>
        </w:tc>
        <w:tc>
          <w:tcPr>
            <w:tcW w:w="382"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382"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216</w:t>
            </w:r>
          </w:p>
        </w:tc>
        <w:tc>
          <w:tcPr>
            <w:tcW w:w="478"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78"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478"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8760</w:t>
            </w:r>
          </w:p>
        </w:tc>
        <w:tc>
          <w:tcPr>
            <w:tcW w:w="477"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正常</w:t>
            </w:r>
          </w:p>
        </w:tc>
        <w:tc>
          <w:tcPr>
            <w:tcW w:w="573" w:type="pct"/>
            <w:vAlign w:val="center"/>
          </w:tcPr>
          <w:p>
            <w:pPr>
              <w:pStyle w:val="332"/>
              <w:rPr>
                <w:color w:val="000000" w:themeColor="text1"/>
                <w:szCs w:val="21"/>
                <w14:textFill>
                  <w14:solidFill>
                    <w14:schemeClr w14:val="tx1"/>
                  </w14:solidFill>
                </w14:textFill>
              </w:rPr>
            </w:pPr>
            <w:r>
              <w:rPr>
                <w:color w:val="000000" w:themeColor="text1"/>
                <w14:textFill>
                  <w14:solidFill>
                    <w14:schemeClr w14:val="tx1"/>
                  </w14:solidFill>
                </w14:textFill>
              </w:rPr>
              <w:t>0.00552</w:t>
            </w:r>
          </w:p>
        </w:tc>
        <w:tc>
          <w:tcPr>
            <w:tcW w:w="714" w:type="pct"/>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0.00047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Borders>
              <w:top w:val="single" w:color="auto" w:sz="4" w:space="0"/>
              <w:bottom w:val="single" w:color="auto" w:sz="4" w:space="0"/>
            </w:tcBorders>
            <w:noWrap/>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黑膜沼气池</w:t>
            </w:r>
          </w:p>
        </w:tc>
        <w:tc>
          <w:tcPr>
            <w:tcW w:w="477"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983</w:t>
            </w:r>
          </w:p>
        </w:tc>
        <w:tc>
          <w:tcPr>
            <w:tcW w:w="382"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382"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478"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78"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478"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8760</w:t>
            </w:r>
          </w:p>
        </w:tc>
        <w:tc>
          <w:tcPr>
            <w:tcW w:w="477" w:type="pct"/>
            <w:tcBorders>
              <w:top w:val="single" w:color="auto" w:sz="4" w:space="0"/>
              <w:bottom w:val="single" w:color="auto" w:sz="4" w:space="0"/>
            </w:tcBorders>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正常</w:t>
            </w:r>
          </w:p>
        </w:tc>
        <w:tc>
          <w:tcPr>
            <w:tcW w:w="573" w:type="pct"/>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0.0035</w:t>
            </w:r>
          </w:p>
        </w:tc>
        <w:tc>
          <w:tcPr>
            <w:tcW w:w="714" w:type="pct"/>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0.0000087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Borders>
              <w:top w:val="single" w:color="auto" w:sz="4" w:space="0"/>
              <w:bottom w:val="single" w:color="auto" w:sz="4" w:space="0"/>
            </w:tcBorders>
            <w:noWrap/>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沼液存储池</w:t>
            </w:r>
          </w:p>
        </w:tc>
        <w:tc>
          <w:tcPr>
            <w:tcW w:w="477"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983</w:t>
            </w:r>
          </w:p>
        </w:tc>
        <w:tc>
          <w:tcPr>
            <w:tcW w:w="382"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382"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478"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78"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478"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8760</w:t>
            </w:r>
          </w:p>
        </w:tc>
        <w:tc>
          <w:tcPr>
            <w:tcW w:w="477" w:type="pct"/>
            <w:tcBorders>
              <w:top w:val="single" w:color="auto" w:sz="4" w:space="0"/>
              <w:bottom w:val="single" w:color="auto" w:sz="4" w:space="0"/>
            </w:tcBorders>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正常</w:t>
            </w:r>
          </w:p>
        </w:tc>
        <w:tc>
          <w:tcPr>
            <w:tcW w:w="573" w:type="pct"/>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0.001</w:t>
            </w:r>
          </w:p>
        </w:tc>
        <w:tc>
          <w:tcPr>
            <w:tcW w:w="714" w:type="pct"/>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Borders>
              <w:top w:val="single" w:color="auto" w:sz="4" w:space="0"/>
              <w:bottom w:val="single" w:color="auto" w:sz="12" w:space="0"/>
            </w:tcBorders>
            <w:noWrap/>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固粪处理区</w:t>
            </w:r>
          </w:p>
        </w:tc>
        <w:tc>
          <w:tcPr>
            <w:tcW w:w="477" w:type="pct"/>
            <w:tcBorders>
              <w:top w:val="single" w:color="auto" w:sz="4" w:space="0"/>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983</w:t>
            </w:r>
          </w:p>
        </w:tc>
        <w:tc>
          <w:tcPr>
            <w:tcW w:w="382" w:type="pct"/>
            <w:tcBorders>
              <w:top w:val="single" w:color="auto" w:sz="4" w:space="0"/>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382" w:type="pct"/>
            <w:tcBorders>
              <w:top w:val="single" w:color="auto" w:sz="4" w:space="0"/>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478" w:type="pct"/>
            <w:tcBorders>
              <w:top w:val="single" w:color="auto" w:sz="4" w:space="0"/>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478" w:type="pct"/>
            <w:tcBorders>
              <w:top w:val="single" w:color="auto" w:sz="4" w:space="0"/>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478" w:type="pct"/>
            <w:tcBorders>
              <w:top w:val="single" w:color="auto" w:sz="4" w:space="0"/>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8760</w:t>
            </w:r>
          </w:p>
        </w:tc>
        <w:tc>
          <w:tcPr>
            <w:tcW w:w="477" w:type="pct"/>
            <w:tcBorders>
              <w:top w:val="single" w:color="auto" w:sz="4" w:space="0"/>
              <w:bottom w:val="single" w:color="auto" w:sz="12" w:space="0"/>
            </w:tcBorders>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正常</w:t>
            </w:r>
          </w:p>
        </w:tc>
        <w:tc>
          <w:tcPr>
            <w:tcW w:w="573" w:type="pct"/>
            <w:tcBorders>
              <w:bottom w:val="single" w:color="auto" w:sz="12" w:space="0"/>
            </w:tcBorders>
            <w:vAlign w:val="center"/>
          </w:tcPr>
          <w:p>
            <w:pPr>
              <w:pStyle w:val="332"/>
              <w:rPr>
                <w:color w:val="000000" w:themeColor="text1"/>
                <w:szCs w:val="21"/>
                <w:highlight w:val="yellow"/>
                <w14:textFill>
                  <w14:solidFill>
                    <w14:schemeClr w14:val="tx1"/>
                  </w14:solidFill>
                </w14:textFill>
              </w:rPr>
            </w:pPr>
            <w:r>
              <w:rPr>
                <w:rFonts w:eastAsia="等线"/>
                <w:color w:val="000000" w:themeColor="text1"/>
                <w:szCs w:val="21"/>
                <w14:textFill>
                  <w14:solidFill>
                    <w14:schemeClr w14:val="tx1"/>
                  </w14:solidFill>
                </w14:textFill>
              </w:rPr>
              <w:t>0.0008</w:t>
            </w:r>
          </w:p>
        </w:tc>
        <w:tc>
          <w:tcPr>
            <w:tcW w:w="714" w:type="pct"/>
            <w:tcBorders>
              <w:bottom w:val="single" w:color="auto" w:sz="12" w:space="0"/>
            </w:tcBorders>
            <w:vAlign w:val="center"/>
          </w:tcPr>
          <w:p>
            <w:pPr>
              <w:pStyle w:val="332"/>
              <w:rPr>
                <w:color w:val="000000" w:themeColor="text1"/>
                <w:szCs w:val="21"/>
                <w:highlight w:val="yellow"/>
                <w14:textFill>
                  <w14:solidFill>
                    <w14:schemeClr w14:val="tx1"/>
                  </w14:solidFill>
                </w14:textFill>
              </w:rPr>
            </w:pPr>
            <w:r>
              <w:rPr>
                <w:rFonts w:eastAsia="等线"/>
                <w:color w:val="000000" w:themeColor="text1"/>
                <w:szCs w:val="21"/>
                <w14:textFill>
                  <w14:solidFill>
                    <w14:schemeClr w14:val="tx1"/>
                  </w14:solidFill>
                </w14:textFill>
              </w:rPr>
              <w:t>0.00004</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表2.4-6 估算模式计算结果表</w:t>
      </w:r>
    </w:p>
    <w:tbl>
      <w:tblPr>
        <w:tblStyle w:val="34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1313"/>
        <w:gridCol w:w="1601"/>
        <w:gridCol w:w="1022"/>
        <w:gridCol w:w="1605"/>
        <w:gridCol w:w="905"/>
        <w:gridCol w:w="7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69" w:type="pct"/>
            <w:tcBorders>
              <w:top w:val="single" w:color="auto" w:sz="12"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污染源</w:t>
            </w:r>
          </w:p>
        </w:tc>
        <w:tc>
          <w:tcPr>
            <w:tcW w:w="734" w:type="pct"/>
            <w:tcBorders>
              <w:top w:val="single" w:color="auto" w:sz="12"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污染物</w:t>
            </w:r>
          </w:p>
        </w:tc>
        <w:tc>
          <w:tcPr>
            <w:tcW w:w="895" w:type="pct"/>
            <w:tcBorders>
              <w:top w:val="single" w:color="auto" w:sz="12"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最大地面浓度</w:t>
            </w:r>
          </w:p>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ug/m</w:t>
            </w:r>
            <w:r>
              <w:rPr>
                <w:rFonts w:eastAsia="宋体" w:cs="Times New Roman"/>
                <w:color w:val="000000" w:themeColor="text1"/>
                <w:vertAlign w:val="superscript"/>
                <w14:textFill>
                  <w14:solidFill>
                    <w14:schemeClr w14:val="tx1"/>
                  </w14:solidFill>
                </w14:textFill>
              </w:rPr>
              <w:t>3</w:t>
            </w:r>
          </w:p>
        </w:tc>
        <w:tc>
          <w:tcPr>
            <w:tcW w:w="571" w:type="pct"/>
            <w:tcBorders>
              <w:top w:val="single" w:color="auto" w:sz="12"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占标率</w:t>
            </w:r>
          </w:p>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897" w:type="pct"/>
            <w:tcBorders>
              <w:top w:val="single" w:color="auto" w:sz="12"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最大地面浓度出现距离/m</w:t>
            </w:r>
          </w:p>
        </w:tc>
        <w:tc>
          <w:tcPr>
            <w:tcW w:w="506" w:type="pct"/>
            <w:tcBorders>
              <w:top w:val="single" w:color="auto" w:sz="12"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D</w:t>
            </w:r>
            <w:r>
              <w:rPr>
                <w:rFonts w:eastAsia="宋体" w:cs="Times New Roman"/>
                <w:color w:val="000000" w:themeColor="text1"/>
                <w:vertAlign w:val="subscript"/>
                <w14:textFill>
                  <w14:solidFill>
                    <w14:schemeClr w14:val="tx1"/>
                  </w14:solidFill>
                </w14:textFill>
              </w:rPr>
              <w:t>10%</w:t>
            </w:r>
          </w:p>
        </w:tc>
        <w:tc>
          <w:tcPr>
            <w:tcW w:w="428" w:type="pct"/>
            <w:tcBorders>
              <w:top w:val="single" w:color="auto" w:sz="12"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pct"/>
            <w:vMerge w:val="restart"/>
            <w:tcBorders>
              <w:top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无害化处理设备</w:t>
            </w:r>
          </w:p>
        </w:tc>
        <w:tc>
          <w:tcPr>
            <w:tcW w:w="734" w:type="pct"/>
            <w:tcBorders>
              <w:top w:val="single" w:color="auto" w:sz="12"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NH</w:t>
            </w:r>
            <w:r>
              <w:rPr>
                <w:rFonts w:eastAsia="宋体" w:cs="Times New Roman"/>
                <w:color w:val="000000" w:themeColor="text1"/>
                <w:vertAlign w:val="subscript"/>
                <w14:textFill>
                  <w14:solidFill>
                    <w14:schemeClr w14:val="tx1"/>
                  </w14:solidFill>
                </w14:textFill>
              </w:rPr>
              <w:t>3</w:t>
            </w:r>
          </w:p>
        </w:tc>
        <w:tc>
          <w:tcPr>
            <w:tcW w:w="895" w:type="pct"/>
            <w:tcBorders>
              <w:top w:val="single" w:color="auto" w:sz="12" w:space="0"/>
              <w:bottom w:val="single" w:color="auto" w:sz="4" w:space="0"/>
            </w:tcBorders>
            <w:vAlign w:val="center"/>
          </w:tcPr>
          <w:p>
            <w:pPr>
              <w:widowControl/>
              <w:spacing w:line="240" w:lineRule="auto"/>
              <w:ind w:firstLine="0" w:firstLineChars="0"/>
              <w:jc w:val="center"/>
              <w:rPr>
                <w:rFonts w:eastAsia="宋体" w:cs="Times New Roman"/>
                <w:color w:val="000000" w:themeColor="text1"/>
                <w:kern w:val="0"/>
                <w:sz w:val="22"/>
                <w14:textFill>
                  <w14:solidFill>
                    <w14:schemeClr w14:val="tx1"/>
                  </w14:solidFill>
                </w14:textFill>
              </w:rPr>
            </w:pPr>
            <w:r>
              <w:rPr>
                <w:rFonts w:eastAsia="宋体" w:cs="Times New Roman"/>
                <w:color w:val="000000" w:themeColor="text1"/>
                <w:sz w:val="22"/>
                <w14:textFill>
                  <w14:solidFill>
                    <w14:schemeClr w14:val="tx1"/>
                  </w14:solidFill>
                </w14:textFill>
              </w:rPr>
              <w:t>0.00655</w:t>
            </w:r>
          </w:p>
        </w:tc>
        <w:tc>
          <w:tcPr>
            <w:tcW w:w="571" w:type="pct"/>
            <w:tcBorders>
              <w:top w:val="single" w:color="auto" w:sz="12"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0.00</w:t>
            </w:r>
          </w:p>
        </w:tc>
        <w:tc>
          <w:tcPr>
            <w:tcW w:w="897" w:type="pct"/>
            <w:tcBorders>
              <w:top w:val="single" w:color="auto" w:sz="12"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52</w:t>
            </w:r>
          </w:p>
        </w:tc>
        <w:tc>
          <w:tcPr>
            <w:tcW w:w="506" w:type="pct"/>
            <w:tcBorders>
              <w:top w:val="single" w:color="auto" w:sz="12"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28" w:type="pct"/>
            <w:tcBorders>
              <w:top w:val="single" w:color="auto" w:sz="12"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pct"/>
            <w:vMerge w:val="continue"/>
            <w:tcBorders>
              <w:bottom w:val="single" w:color="auto" w:sz="4" w:space="0"/>
            </w:tcBorders>
            <w:vAlign w:val="center"/>
          </w:tcPr>
          <w:p>
            <w:pPr>
              <w:pStyle w:val="332"/>
              <w:rPr>
                <w:rFonts w:eastAsia="宋体" w:cs="Times New Roman"/>
                <w:color w:val="000000" w:themeColor="text1"/>
                <w14:textFill>
                  <w14:solidFill>
                    <w14:schemeClr w14:val="tx1"/>
                  </w14:solidFill>
                </w14:textFill>
              </w:rPr>
            </w:pPr>
          </w:p>
        </w:tc>
        <w:tc>
          <w:tcPr>
            <w:tcW w:w="734"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H</w:t>
            </w:r>
            <w:r>
              <w:rPr>
                <w:rFonts w:eastAsia="宋体" w:cs="Times New Roman"/>
                <w:color w:val="000000" w:themeColor="text1"/>
                <w:vertAlign w:val="subscript"/>
                <w14:textFill>
                  <w14:solidFill>
                    <w14:schemeClr w14:val="tx1"/>
                  </w14:solidFill>
                </w14:textFill>
              </w:rPr>
              <w:t>2</w:t>
            </w:r>
            <w:r>
              <w:rPr>
                <w:rFonts w:eastAsia="宋体" w:cs="Times New Roman"/>
                <w:color w:val="000000" w:themeColor="text1"/>
                <w14:textFill>
                  <w14:solidFill>
                    <w14:schemeClr w14:val="tx1"/>
                  </w14:solidFill>
                </w14:textFill>
              </w:rPr>
              <w:t>S</w:t>
            </w:r>
          </w:p>
        </w:tc>
        <w:tc>
          <w:tcPr>
            <w:tcW w:w="895" w:type="pct"/>
            <w:tcBorders>
              <w:top w:val="single" w:color="auto" w:sz="4" w:space="0"/>
              <w:bottom w:val="single" w:color="auto" w:sz="4" w:space="0"/>
            </w:tcBorders>
            <w:vAlign w:val="center"/>
          </w:tcPr>
          <w:p>
            <w:pPr>
              <w:widowControl/>
              <w:spacing w:line="240" w:lineRule="auto"/>
              <w:ind w:firstLine="0" w:firstLineChars="0"/>
              <w:jc w:val="center"/>
              <w:rPr>
                <w:rFonts w:eastAsia="宋体" w:cs="Times New Roman"/>
                <w:color w:val="000000" w:themeColor="text1"/>
                <w:kern w:val="0"/>
                <w:sz w:val="22"/>
                <w14:textFill>
                  <w14:solidFill>
                    <w14:schemeClr w14:val="tx1"/>
                  </w14:solidFill>
                </w14:textFill>
              </w:rPr>
            </w:pPr>
            <w:r>
              <w:rPr>
                <w:rFonts w:eastAsia="宋体" w:cs="Times New Roman"/>
                <w:color w:val="000000" w:themeColor="text1"/>
                <w:sz w:val="22"/>
                <w14:textFill>
                  <w14:solidFill>
                    <w14:schemeClr w14:val="tx1"/>
                  </w14:solidFill>
                </w14:textFill>
              </w:rPr>
              <w:t>0.000054</w:t>
            </w:r>
          </w:p>
        </w:tc>
        <w:tc>
          <w:tcPr>
            <w:tcW w:w="571"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0.00</w:t>
            </w:r>
          </w:p>
        </w:tc>
        <w:tc>
          <w:tcPr>
            <w:tcW w:w="897"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52</w:t>
            </w:r>
          </w:p>
        </w:tc>
        <w:tc>
          <w:tcPr>
            <w:tcW w:w="506"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28"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pct"/>
            <w:vMerge w:val="restart"/>
            <w:tcBorders>
              <w:top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沼气发电机</w:t>
            </w:r>
          </w:p>
        </w:tc>
        <w:tc>
          <w:tcPr>
            <w:tcW w:w="734"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PM</w:t>
            </w:r>
            <w:r>
              <w:rPr>
                <w:rFonts w:eastAsia="宋体" w:cs="Times New Roman"/>
                <w:color w:val="000000" w:themeColor="text1"/>
                <w:vertAlign w:val="subscript"/>
                <w14:textFill>
                  <w14:solidFill>
                    <w14:schemeClr w14:val="tx1"/>
                  </w14:solidFill>
                </w14:textFill>
              </w:rPr>
              <w:t>10</w:t>
            </w:r>
          </w:p>
        </w:tc>
        <w:tc>
          <w:tcPr>
            <w:tcW w:w="895" w:type="pct"/>
            <w:tcBorders>
              <w:top w:val="single" w:color="auto" w:sz="4" w:space="0"/>
              <w:bottom w:val="single" w:color="auto" w:sz="4" w:space="0"/>
            </w:tcBorders>
            <w:vAlign w:val="center"/>
          </w:tcPr>
          <w:p>
            <w:pPr>
              <w:widowControl/>
              <w:spacing w:line="240" w:lineRule="auto"/>
              <w:ind w:firstLine="0" w:firstLineChars="0"/>
              <w:jc w:val="center"/>
              <w:rPr>
                <w:rFonts w:eastAsia="宋体" w:cs="Times New Roman"/>
                <w:color w:val="000000" w:themeColor="text1"/>
                <w:kern w:val="0"/>
                <w:sz w:val="22"/>
                <w14:textFill>
                  <w14:solidFill>
                    <w14:schemeClr w14:val="tx1"/>
                  </w14:solidFill>
                </w14:textFill>
              </w:rPr>
            </w:pPr>
            <w:r>
              <w:rPr>
                <w:rFonts w:eastAsia="宋体" w:cs="Times New Roman"/>
                <w:color w:val="000000" w:themeColor="text1"/>
                <w:sz w:val="22"/>
                <w14:textFill>
                  <w14:solidFill>
                    <w14:schemeClr w14:val="tx1"/>
                  </w14:solidFill>
                </w14:textFill>
              </w:rPr>
              <w:t>0.27</w:t>
            </w:r>
          </w:p>
        </w:tc>
        <w:tc>
          <w:tcPr>
            <w:tcW w:w="571"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sz w:val="22"/>
                <w:szCs w:val="22"/>
                <w14:textFill>
                  <w14:solidFill>
                    <w14:schemeClr w14:val="tx1"/>
                  </w14:solidFill>
                </w14:textFill>
              </w:rPr>
              <w:t>0.06</w:t>
            </w:r>
          </w:p>
        </w:tc>
        <w:tc>
          <w:tcPr>
            <w:tcW w:w="897"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58</w:t>
            </w:r>
          </w:p>
        </w:tc>
        <w:tc>
          <w:tcPr>
            <w:tcW w:w="506"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28"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pct"/>
            <w:vMerge w:val="continue"/>
            <w:vAlign w:val="center"/>
          </w:tcPr>
          <w:p>
            <w:pPr>
              <w:pStyle w:val="332"/>
              <w:rPr>
                <w:rFonts w:eastAsia="宋体" w:cs="Times New Roman"/>
                <w:color w:val="000000" w:themeColor="text1"/>
                <w14:textFill>
                  <w14:solidFill>
                    <w14:schemeClr w14:val="tx1"/>
                  </w14:solidFill>
                </w14:textFill>
              </w:rPr>
            </w:pPr>
          </w:p>
        </w:tc>
        <w:tc>
          <w:tcPr>
            <w:tcW w:w="734"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SO</w:t>
            </w:r>
            <w:r>
              <w:rPr>
                <w:rFonts w:eastAsia="宋体" w:cs="Times New Roman"/>
                <w:color w:val="000000" w:themeColor="text1"/>
                <w:vertAlign w:val="subscript"/>
                <w14:textFill>
                  <w14:solidFill>
                    <w14:schemeClr w14:val="tx1"/>
                  </w14:solidFill>
                </w14:textFill>
              </w:rPr>
              <w:t>2</w:t>
            </w:r>
          </w:p>
        </w:tc>
        <w:tc>
          <w:tcPr>
            <w:tcW w:w="895"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sz w:val="22"/>
                <w:szCs w:val="22"/>
                <w14:textFill>
                  <w14:solidFill>
                    <w14:schemeClr w14:val="tx1"/>
                  </w14:solidFill>
                </w14:textFill>
              </w:rPr>
              <w:t>0.25</w:t>
            </w:r>
          </w:p>
        </w:tc>
        <w:tc>
          <w:tcPr>
            <w:tcW w:w="571"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sz w:val="22"/>
                <w:szCs w:val="22"/>
                <w14:textFill>
                  <w14:solidFill>
                    <w14:schemeClr w14:val="tx1"/>
                  </w14:solidFill>
                </w14:textFill>
              </w:rPr>
              <w:t>0.05</w:t>
            </w:r>
          </w:p>
        </w:tc>
        <w:tc>
          <w:tcPr>
            <w:tcW w:w="897"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58</w:t>
            </w:r>
          </w:p>
        </w:tc>
        <w:tc>
          <w:tcPr>
            <w:tcW w:w="506"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28"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pct"/>
            <w:vMerge w:val="continue"/>
            <w:tcBorders>
              <w:bottom w:val="single" w:color="auto" w:sz="4" w:space="0"/>
            </w:tcBorders>
            <w:vAlign w:val="center"/>
          </w:tcPr>
          <w:p>
            <w:pPr>
              <w:pStyle w:val="332"/>
              <w:rPr>
                <w:rFonts w:eastAsia="宋体" w:cs="Times New Roman"/>
                <w:color w:val="000000" w:themeColor="text1"/>
                <w14:textFill>
                  <w14:solidFill>
                    <w14:schemeClr w14:val="tx1"/>
                  </w14:solidFill>
                </w14:textFill>
              </w:rPr>
            </w:pPr>
          </w:p>
        </w:tc>
        <w:tc>
          <w:tcPr>
            <w:tcW w:w="734"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NOx</w:t>
            </w:r>
          </w:p>
        </w:tc>
        <w:tc>
          <w:tcPr>
            <w:tcW w:w="895"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sz w:val="22"/>
                <w:szCs w:val="22"/>
                <w14:textFill>
                  <w14:solidFill>
                    <w14:schemeClr w14:val="tx1"/>
                  </w14:solidFill>
                </w14:textFill>
              </w:rPr>
              <w:t>8.08</w:t>
            </w:r>
          </w:p>
        </w:tc>
        <w:tc>
          <w:tcPr>
            <w:tcW w:w="571" w:type="pct"/>
            <w:tcBorders>
              <w:top w:val="single" w:color="auto" w:sz="4" w:space="0"/>
              <w:bottom w:val="single" w:color="auto" w:sz="4" w:space="0"/>
            </w:tcBorders>
            <w:vAlign w:val="center"/>
          </w:tcPr>
          <w:p>
            <w:pPr>
              <w:pStyle w:val="332"/>
              <w:rPr>
                <w:rFonts w:eastAsia="宋体" w:cs="Times New Roman"/>
                <w:b/>
                <w:bCs/>
                <w:color w:val="000000" w:themeColor="text1"/>
                <w14:textFill>
                  <w14:solidFill>
                    <w14:schemeClr w14:val="tx1"/>
                  </w14:solidFill>
                </w14:textFill>
              </w:rPr>
            </w:pPr>
            <w:r>
              <w:rPr>
                <w:rFonts w:eastAsia="宋体" w:cs="Times New Roman"/>
                <w:b/>
                <w:bCs/>
                <w:color w:val="000000" w:themeColor="text1"/>
                <w:sz w:val="22"/>
                <w:szCs w:val="22"/>
                <w14:textFill>
                  <w14:solidFill>
                    <w14:schemeClr w14:val="tx1"/>
                  </w14:solidFill>
                </w14:textFill>
              </w:rPr>
              <w:t>4.04</w:t>
            </w:r>
          </w:p>
        </w:tc>
        <w:tc>
          <w:tcPr>
            <w:tcW w:w="897"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58</w:t>
            </w:r>
          </w:p>
        </w:tc>
        <w:tc>
          <w:tcPr>
            <w:tcW w:w="506"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28"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pct"/>
            <w:vMerge w:val="restart"/>
            <w:tcBorders>
              <w:top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养殖一区</w:t>
            </w:r>
          </w:p>
        </w:tc>
        <w:tc>
          <w:tcPr>
            <w:tcW w:w="734"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NH</w:t>
            </w:r>
            <w:r>
              <w:rPr>
                <w:rFonts w:eastAsia="宋体" w:cs="Times New Roman"/>
                <w:color w:val="000000" w:themeColor="text1"/>
                <w:vertAlign w:val="subscript"/>
                <w14:textFill>
                  <w14:solidFill>
                    <w14:schemeClr w14:val="tx1"/>
                  </w14:solidFill>
                </w14:textFill>
              </w:rPr>
              <w:t>3</w:t>
            </w:r>
          </w:p>
        </w:tc>
        <w:tc>
          <w:tcPr>
            <w:tcW w:w="895"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0.65</w:t>
            </w:r>
          </w:p>
        </w:tc>
        <w:tc>
          <w:tcPr>
            <w:tcW w:w="571"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0.32</w:t>
            </w:r>
          </w:p>
        </w:tc>
        <w:tc>
          <w:tcPr>
            <w:tcW w:w="897"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113</w:t>
            </w:r>
          </w:p>
        </w:tc>
        <w:tc>
          <w:tcPr>
            <w:tcW w:w="506"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28"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pct"/>
            <w:vMerge w:val="continue"/>
            <w:tcBorders>
              <w:bottom w:val="single" w:color="auto" w:sz="4" w:space="0"/>
            </w:tcBorders>
            <w:vAlign w:val="center"/>
          </w:tcPr>
          <w:p>
            <w:pPr>
              <w:pStyle w:val="332"/>
              <w:rPr>
                <w:rFonts w:eastAsia="宋体" w:cs="Times New Roman"/>
                <w:color w:val="000000" w:themeColor="text1"/>
                <w14:textFill>
                  <w14:solidFill>
                    <w14:schemeClr w14:val="tx1"/>
                  </w14:solidFill>
                </w14:textFill>
              </w:rPr>
            </w:pPr>
          </w:p>
        </w:tc>
        <w:tc>
          <w:tcPr>
            <w:tcW w:w="734"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H</w:t>
            </w:r>
            <w:r>
              <w:rPr>
                <w:rFonts w:eastAsia="宋体" w:cs="Times New Roman"/>
                <w:color w:val="000000" w:themeColor="text1"/>
                <w:vertAlign w:val="subscript"/>
                <w14:textFill>
                  <w14:solidFill>
                    <w14:schemeClr w14:val="tx1"/>
                  </w14:solidFill>
                </w14:textFill>
              </w:rPr>
              <w:t>2</w:t>
            </w:r>
            <w:r>
              <w:rPr>
                <w:rFonts w:eastAsia="宋体" w:cs="Times New Roman"/>
                <w:color w:val="000000" w:themeColor="text1"/>
                <w14:textFill>
                  <w14:solidFill>
                    <w14:schemeClr w14:val="tx1"/>
                  </w14:solidFill>
                </w14:textFill>
              </w:rPr>
              <w:t>S</w:t>
            </w:r>
          </w:p>
        </w:tc>
        <w:tc>
          <w:tcPr>
            <w:tcW w:w="895"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0.09</w:t>
            </w:r>
          </w:p>
        </w:tc>
        <w:tc>
          <w:tcPr>
            <w:tcW w:w="571"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0.94</w:t>
            </w:r>
          </w:p>
        </w:tc>
        <w:tc>
          <w:tcPr>
            <w:tcW w:w="897"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113</w:t>
            </w:r>
          </w:p>
        </w:tc>
        <w:tc>
          <w:tcPr>
            <w:tcW w:w="506"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28"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pct"/>
            <w:vMerge w:val="restart"/>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养殖二区</w:t>
            </w:r>
          </w:p>
        </w:tc>
        <w:tc>
          <w:tcPr>
            <w:tcW w:w="734"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NH</w:t>
            </w:r>
            <w:r>
              <w:rPr>
                <w:rFonts w:eastAsia="宋体" w:cs="Times New Roman"/>
                <w:color w:val="000000" w:themeColor="text1"/>
                <w:vertAlign w:val="subscript"/>
                <w14:textFill>
                  <w14:solidFill>
                    <w14:schemeClr w14:val="tx1"/>
                  </w14:solidFill>
                </w14:textFill>
              </w:rPr>
              <w:t>3</w:t>
            </w:r>
          </w:p>
        </w:tc>
        <w:tc>
          <w:tcPr>
            <w:tcW w:w="895"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sz w:val="22"/>
                <w:szCs w:val="22"/>
                <w14:textFill>
                  <w14:solidFill>
                    <w14:schemeClr w14:val="tx1"/>
                  </w14:solidFill>
                </w14:textFill>
              </w:rPr>
              <w:t>2.67</w:t>
            </w:r>
          </w:p>
        </w:tc>
        <w:tc>
          <w:tcPr>
            <w:tcW w:w="571" w:type="pct"/>
            <w:tcBorders>
              <w:top w:val="single" w:color="auto" w:sz="4" w:space="0"/>
              <w:bottom w:val="single" w:color="auto" w:sz="4" w:space="0"/>
            </w:tcBorders>
            <w:vAlign w:val="center"/>
          </w:tcPr>
          <w:p>
            <w:pPr>
              <w:pStyle w:val="332"/>
              <w:rPr>
                <w:rFonts w:eastAsia="宋体" w:cs="Times New Roman"/>
                <w:b/>
                <w:bCs/>
                <w:color w:val="000000" w:themeColor="text1"/>
                <w14:textFill>
                  <w14:solidFill>
                    <w14:schemeClr w14:val="tx1"/>
                  </w14:solidFill>
                </w14:textFill>
              </w:rPr>
            </w:pPr>
            <w:r>
              <w:rPr>
                <w:rFonts w:eastAsia="宋体" w:cs="Times New Roman"/>
                <w:b/>
                <w:bCs/>
                <w:color w:val="000000" w:themeColor="text1"/>
                <w:sz w:val="22"/>
                <w:szCs w:val="22"/>
                <w14:textFill>
                  <w14:solidFill>
                    <w14:schemeClr w14:val="tx1"/>
                  </w14:solidFill>
                </w14:textFill>
              </w:rPr>
              <w:t>1.33</w:t>
            </w:r>
          </w:p>
        </w:tc>
        <w:tc>
          <w:tcPr>
            <w:tcW w:w="897"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130</w:t>
            </w:r>
          </w:p>
        </w:tc>
        <w:tc>
          <w:tcPr>
            <w:tcW w:w="506"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28"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pct"/>
            <w:vMerge w:val="continue"/>
            <w:tcBorders>
              <w:bottom w:val="single" w:color="auto" w:sz="4" w:space="0"/>
            </w:tcBorders>
            <w:vAlign w:val="center"/>
          </w:tcPr>
          <w:p>
            <w:pPr>
              <w:pStyle w:val="332"/>
              <w:rPr>
                <w:rFonts w:eastAsia="宋体" w:cs="Times New Roman"/>
                <w:color w:val="000000" w:themeColor="text1"/>
                <w14:textFill>
                  <w14:solidFill>
                    <w14:schemeClr w14:val="tx1"/>
                  </w14:solidFill>
                </w14:textFill>
              </w:rPr>
            </w:pPr>
          </w:p>
        </w:tc>
        <w:tc>
          <w:tcPr>
            <w:tcW w:w="734"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H</w:t>
            </w:r>
            <w:r>
              <w:rPr>
                <w:rFonts w:eastAsia="宋体" w:cs="Times New Roman"/>
                <w:color w:val="000000" w:themeColor="text1"/>
                <w:vertAlign w:val="subscript"/>
                <w14:textFill>
                  <w14:solidFill>
                    <w14:schemeClr w14:val="tx1"/>
                  </w14:solidFill>
                </w14:textFill>
              </w:rPr>
              <w:t>2</w:t>
            </w:r>
            <w:r>
              <w:rPr>
                <w:rFonts w:eastAsia="宋体" w:cs="Times New Roman"/>
                <w:color w:val="000000" w:themeColor="text1"/>
                <w14:textFill>
                  <w14:solidFill>
                    <w14:schemeClr w14:val="tx1"/>
                  </w14:solidFill>
                </w14:textFill>
              </w:rPr>
              <w:t>S</w:t>
            </w:r>
          </w:p>
        </w:tc>
        <w:tc>
          <w:tcPr>
            <w:tcW w:w="895"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sz w:val="22"/>
                <w:szCs w:val="22"/>
                <w14:textFill>
                  <w14:solidFill>
                    <w14:schemeClr w14:val="tx1"/>
                  </w14:solidFill>
                </w14:textFill>
              </w:rPr>
              <w:t>0.23</w:t>
            </w:r>
          </w:p>
        </w:tc>
        <w:tc>
          <w:tcPr>
            <w:tcW w:w="571" w:type="pct"/>
            <w:tcBorders>
              <w:top w:val="single" w:color="auto" w:sz="4" w:space="0"/>
              <w:bottom w:val="single" w:color="auto" w:sz="4" w:space="0"/>
            </w:tcBorders>
            <w:vAlign w:val="center"/>
          </w:tcPr>
          <w:p>
            <w:pPr>
              <w:pStyle w:val="332"/>
              <w:rPr>
                <w:rFonts w:eastAsia="宋体" w:cs="Times New Roman"/>
                <w:b/>
                <w:bCs/>
                <w:color w:val="000000" w:themeColor="text1"/>
                <w14:textFill>
                  <w14:solidFill>
                    <w14:schemeClr w14:val="tx1"/>
                  </w14:solidFill>
                </w14:textFill>
              </w:rPr>
            </w:pPr>
            <w:r>
              <w:rPr>
                <w:rFonts w:eastAsia="宋体" w:cs="Times New Roman"/>
                <w:b/>
                <w:bCs/>
                <w:color w:val="000000" w:themeColor="text1"/>
                <w:sz w:val="22"/>
                <w:szCs w:val="22"/>
                <w14:textFill>
                  <w14:solidFill>
                    <w14:schemeClr w14:val="tx1"/>
                  </w14:solidFill>
                </w14:textFill>
              </w:rPr>
              <w:t>2.27</w:t>
            </w:r>
          </w:p>
        </w:tc>
        <w:tc>
          <w:tcPr>
            <w:tcW w:w="897"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130</w:t>
            </w:r>
          </w:p>
        </w:tc>
        <w:tc>
          <w:tcPr>
            <w:tcW w:w="506"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28"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pct"/>
            <w:vMerge w:val="restart"/>
            <w:tcBorders>
              <w:top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黑膜沼气池</w:t>
            </w:r>
          </w:p>
        </w:tc>
        <w:tc>
          <w:tcPr>
            <w:tcW w:w="734"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NH</w:t>
            </w:r>
            <w:r>
              <w:rPr>
                <w:rFonts w:eastAsia="宋体" w:cs="Times New Roman"/>
                <w:color w:val="000000" w:themeColor="text1"/>
                <w:vertAlign w:val="subscript"/>
                <w14:textFill>
                  <w14:solidFill>
                    <w14:schemeClr w14:val="tx1"/>
                  </w14:solidFill>
                </w14:textFill>
              </w:rPr>
              <w:t>3</w:t>
            </w:r>
          </w:p>
        </w:tc>
        <w:tc>
          <w:tcPr>
            <w:tcW w:w="895"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sz w:val="22"/>
                <w:szCs w:val="22"/>
                <w14:textFill>
                  <w14:solidFill>
                    <w14:schemeClr w14:val="tx1"/>
                  </w14:solidFill>
                </w14:textFill>
              </w:rPr>
              <w:t>5.04</w:t>
            </w:r>
          </w:p>
        </w:tc>
        <w:tc>
          <w:tcPr>
            <w:tcW w:w="571" w:type="pct"/>
            <w:tcBorders>
              <w:top w:val="single" w:color="auto" w:sz="4" w:space="0"/>
              <w:bottom w:val="single" w:color="auto" w:sz="4" w:space="0"/>
            </w:tcBorders>
            <w:vAlign w:val="center"/>
          </w:tcPr>
          <w:p>
            <w:pPr>
              <w:pStyle w:val="332"/>
              <w:rPr>
                <w:rFonts w:eastAsia="宋体" w:cs="Times New Roman"/>
                <w:b/>
                <w:bCs/>
                <w:color w:val="000000" w:themeColor="text1"/>
                <w14:textFill>
                  <w14:solidFill>
                    <w14:schemeClr w14:val="tx1"/>
                  </w14:solidFill>
                </w14:textFill>
              </w:rPr>
            </w:pPr>
            <w:r>
              <w:rPr>
                <w:rFonts w:eastAsia="宋体" w:cs="Times New Roman"/>
                <w:b/>
                <w:bCs/>
                <w:color w:val="000000" w:themeColor="text1"/>
                <w:sz w:val="22"/>
                <w:szCs w:val="22"/>
                <w14:textFill>
                  <w14:solidFill>
                    <w14:schemeClr w14:val="tx1"/>
                  </w14:solidFill>
                </w14:textFill>
              </w:rPr>
              <w:t>2.52</w:t>
            </w:r>
          </w:p>
        </w:tc>
        <w:tc>
          <w:tcPr>
            <w:tcW w:w="897"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30</w:t>
            </w:r>
          </w:p>
        </w:tc>
        <w:tc>
          <w:tcPr>
            <w:tcW w:w="506"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28"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pct"/>
            <w:vMerge w:val="continue"/>
            <w:tcBorders>
              <w:bottom w:val="single" w:color="auto" w:sz="4" w:space="0"/>
            </w:tcBorders>
            <w:vAlign w:val="center"/>
          </w:tcPr>
          <w:p>
            <w:pPr>
              <w:pStyle w:val="332"/>
              <w:rPr>
                <w:rFonts w:eastAsia="宋体" w:cs="Times New Roman"/>
                <w:color w:val="000000" w:themeColor="text1"/>
                <w14:textFill>
                  <w14:solidFill>
                    <w14:schemeClr w14:val="tx1"/>
                  </w14:solidFill>
                </w14:textFill>
              </w:rPr>
            </w:pPr>
          </w:p>
        </w:tc>
        <w:tc>
          <w:tcPr>
            <w:tcW w:w="734"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H</w:t>
            </w:r>
            <w:r>
              <w:rPr>
                <w:rFonts w:eastAsia="宋体" w:cs="Times New Roman"/>
                <w:color w:val="000000" w:themeColor="text1"/>
                <w:vertAlign w:val="subscript"/>
                <w14:textFill>
                  <w14:solidFill>
                    <w14:schemeClr w14:val="tx1"/>
                  </w14:solidFill>
                </w14:textFill>
              </w:rPr>
              <w:t>2</w:t>
            </w:r>
            <w:r>
              <w:rPr>
                <w:rFonts w:eastAsia="宋体" w:cs="Times New Roman"/>
                <w:color w:val="000000" w:themeColor="text1"/>
                <w14:textFill>
                  <w14:solidFill>
                    <w14:schemeClr w14:val="tx1"/>
                  </w14:solidFill>
                </w14:textFill>
              </w:rPr>
              <w:t>S</w:t>
            </w:r>
          </w:p>
        </w:tc>
        <w:tc>
          <w:tcPr>
            <w:tcW w:w="895"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sz w:val="22"/>
                <w:szCs w:val="22"/>
                <w14:textFill>
                  <w14:solidFill>
                    <w14:schemeClr w14:val="tx1"/>
                  </w14:solidFill>
                </w14:textFill>
              </w:rPr>
              <w:t>0.013</w:t>
            </w:r>
          </w:p>
        </w:tc>
        <w:tc>
          <w:tcPr>
            <w:tcW w:w="571"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sz w:val="22"/>
                <w:szCs w:val="22"/>
                <w14:textFill>
                  <w14:solidFill>
                    <w14:schemeClr w14:val="tx1"/>
                  </w14:solidFill>
                </w14:textFill>
              </w:rPr>
              <w:t>0.13</w:t>
            </w:r>
          </w:p>
        </w:tc>
        <w:tc>
          <w:tcPr>
            <w:tcW w:w="897"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30</w:t>
            </w:r>
          </w:p>
        </w:tc>
        <w:tc>
          <w:tcPr>
            <w:tcW w:w="506"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28"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pct"/>
            <w:vMerge w:val="restart"/>
            <w:tcBorders>
              <w:top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沼液存储池</w:t>
            </w:r>
          </w:p>
        </w:tc>
        <w:tc>
          <w:tcPr>
            <w:tcW w:w="734"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NH</w:t>
            </w:r>
            <w:r>
              <w:rPr>
                <w:rFonts w:eastAsia="宋体" w:cs="Times New Roman"/>
                <w:color w:val="000000" w:themeColor="text1"/>
                <w:vertAlign w:val="subscript"/>
                <w14:textFill>
                  <w14:solidFill>
                    <w14:schemeClr w14:val="tx1"/>
                  </w14:solidFill>
                </w14:textFill>
              </w:rPr>
              <w:t>3</w:t>
            </w:r>
          </w:p>
        </w:tc>
        <w:tc>
          <w:tcPr>
            <w:tcW w:w="895"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sz w:val="22"/>
                <w:szCs w:val="22"/>
                <w14:textFill>
                  <w14:solidFill>
                    <w14:schemeClr w14:val="tx1"/>
                  </w14:solidFill>
                </w14:textFill>
              </w:rPr>
              <w:t>3.14</w:t>
            </w:r>
          </w:p>
        </w:tc>
        <w:tc>
          <w:tcPr>
            <w:tcW w:w="571" w:type="pct"/>
            <w:tcBorders>
              <w:top w:val="single" w:color="auto" w:sz="4" w:space="0"/>
              <w:bottom w:val="single" w:color="auto" w:sz="4" w:space="0"/>
            </w:tcBorders>
            <w:vAlign w:val="center"/>
          </w:tcPr>
          <w:p>
            <w:pPr>
              <w:pStyle w:val="332"/>
              <w:rPr>
                <w:rFonts w:eastAsia="宋体" w:cs="Times New Roman"/>
                <w:b/>
                <w:bCs/>
                <w:color w:val="000000" w:themeColor="text1"/>
                <w14:textFill>
                  <w14:solidFill>
                    <w14:schemeClr w14:val="tx1"/>
                  </w14:solidFill>
                </w14:textFill>
              </w:rPr>
            </w:pPr>
            <w:r>
              <w:rPr>
                <w:rFonts w:eastAsia="宋体" w:cs="Times New Roman"/>
                <w:b/>
                <w:bCs/>
                <w:color w:val="000000" w:themeColor="text1"/>
                <w:sz w:val="22"/>
                <w:szCs w:val="22"/>
                <w14:textFill>
                  <w14:solidFill>
                    <w14:schemeClr w14:val="tx1"/>
                  </w14:solidFill>
                </w14:textFill>
              </w:rPr>
              <w:t>1.57</w:t>
            </w:r>
          </w:p>
        </w:tc>
        <w:tc>
          <w:tcPr>
            <w:tcW w:w="897"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69</w:t>
            </w:r>
          </w:p>
        </w:tc>
        <w:tc>
          <w:tcPr>
            <w:tcW w:w="506"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28"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pct"/>
            <w:vMerge w:val="continue"/>
            <w:tcBorders>
              <w:bottom w:val="single" w:color="auto" w:sz="4" w:space="0"/>
            </w:tcBorders>
            <w:vAlign w:val="center"/>
          </w:tcPr>
          <w:p>
            <w:pPr>
              <w:pStyle w:val="332"/>
              <w:rPr>
                <w:rFonts w:eastAsia="宋体" w:cs="Times New Roman"/>
                <w:color w:val="000000" w:themeColor="text1"/>
                <w14:textFill>
                  <w14:solidFill>
                    <w14:schemeClr w14:val="tx1"/>
                  </w14:solidFill>
                </w14:textFill>
              </w:rPr>
            </w:pPr>
          </w:p>
        </w:tc>
        <w:tc>
          <w:tcPr>
            <w:tcW w:w="734"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H</w:t>
            </w:r>
            <w:r>
              <w:rPr>
                <w:rFonts w:eastAsia="宋体" w:cs="Times New Roman"/>
                <w:color w:val="000000" w:themeColor="text1"/>
                <w:vertAlign w:val="subscript"/>
                <w14:textFill>
                  <w14:solidFill>
                    <w14:schemeClr w14:val="tx1"/>
                  </w14:solidFill>
                </w14:textFill>
              </w:rPr>
              <w:t>2</w:t>
            </w:r>
            <w:r>
              <w:rPr>
                <w:rFonts w:eastAsia="宋体" w:cs="Times New Roman"/>
                <w:color w:val="000000" w:themeColor="text1"/>
                <w14:textFill>
                  <w14:solidFill>
                    <w14:schemeClr w14:val="tx1"/>
                  </w14:solidFill>
                </w14:textFill>
              </w:rPr>
              <w:t>S</w:t>
            </w:r>
          </w:p>
        </w:tc>
        <w:tc>
          <w:tcPr>
            <w:tcW w:w="895"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sz w:val="22"/>
                <w:szCs w:val="22"/>
                <w14:textFill>
                  <w14:solidFill>
                    <w14:schemeClr w14:val="tx1"/>
                  </w14:solidFill>
                </w14:textFill>
              </w:rPr>
              <w:t>0.63</w:t>
            </w:r>
          </w:p>
        </w:tc>
        <w:tc>
          <w:tcPr>
            <w:tcW w:w="571" w:type="pct"/>
            <w:tcBorders>
              <w:top w:val="single" w:color="auto" w:sz="4" w:space="0"/>
              <w:bottom w:val="single" w:color="auto" w:sz="4" w:space="0"/>
            </w:tcBorders>
            <w:vAlign w:val="center"/>
          </w:tcPr>
          <w:p>
            <w:pPr>
              <w:pStyle w:val="332"/>
              <w:rPr>
                <w:rFonts w:eastAsia="宋体" w:cs="Times New Roman"/>
                <w:b/>
                <w:bCs/>
                <w:color w:val="000000" w:themeColor="text1"/>
                <w14:textFill>
                  <w14:solidFill>
                    <w14:schemeClr w14:val="tx1"/>
                  </w14:solidFill>
                </w14:textFill>
              </w:rPr>
            </w:pPr>
            <w:r>
              <w:rPr>
                <w:rFonts w:eastAsia="宋体" w:cs="Times New Roman"/>
                <w:b/>
                <w:bCs/>
                <w:color w:val="000000" w:themeColor="text1"/>
                <w:sz w:val="22"/>
                <w:szCs w:val="22"/>
                <w14:textFill>
                  <w14:solidFill>
                    <w14:schemeClr w14:val="tx1"/>
                  </w14:solidFill>
                </w14:textFill>
              </w:rPr>
              <w:t>6.28</w:t>
            </w:r>
          </w:p>
        </w:tc>
        <w:tc>
          <w:tcPr>
            <w:tcW w:w="897"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69</w:t>
            </w:r>
          </w:p>
        </w:tc>
        <w:tc>
          <w:tcPr>
            <w:tcW w:w="506"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28"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pct"/>
            <w:vMerge w:val="restart"/>
            <w:tcBorders>
              <w:top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固粪处理区</w:t>
            </w:r>
          </w:p>
        </w:tc>
        <w:tc>
          <w:tcPr>
            <w:tcW w:w="734"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NH</w:t>
            </w:r>
            <w:r>
              <w:rPr>
                <w:rFonts w:eastAsia="宋体" w:cs="Times New Roman"/>
                <w:color w:val="000000" w:themeColor="text1"/>
                <w:vertAlign w:val="subscript"/>
                <w14:textFill>
                  <w14:solidFill>
                    <w14:schemeClr w14:val="tx1"/>
                  </w14:solidFill>
                </w14:textFill>
              </w:rPr>
              <w:t>3</w:t>
            </w:r>
          </w:p>
        </w:tc>
        <w:tc>
          <w:tcPr>
            <w:tcW w:w="895"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sz w:val="22"/>
                <w:szCs w:val="22"/>
                <w14:textFill>
                  <w14:solidFill>
                    <w14:schemeClr w14:val="tx1"/>
                  </w14:solidFill>
                </w14:textFill>
              </w:rPr>
              <w:t>1.72</w:t>
            </w:r>
          </w:p>
        </w:tc>
        <w:tc>
          <w:tcPr>
            <w:tcW w:w="571"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sz w:val="22"/>
                <w:szCs w:val="22"/>
                <w14:textFill>
                  <w14:solidFill>
                    <w14:schemeClr w14:val="tx1"/>
                  </w14:solidFill>
                </w14:textFill>
              </w:rPr>
              <w:t>0.86</w:t>
            </w:r>
          </w:p>
        </w:tc>
        <w:tc>
          <w:tcPr>
            <w:tcW w:w="897"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23</w:t>
            </w:r>
          </w:p>
        </w:tc>
        <w:tc>
          <w:tcPr>
            <w:tcW w:w="506"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28" w:type="pct"/>
            <w:tcBorders>
              <w:top w:val="single" w:color="auto" w:sz="4" w:space="0"/>
              <w:bottom w:val="single" w:color="auto"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pct"/>
            <w:vMerge w:val="continue"/>
            <w:tcBorders>
              <w:bottom w:val="single" w:color="auto" w:sz="12" w:space="0"/>
            </w:tcBorders>
            <w:vAlign w:val="center"/>
          </w:tcPr>
          <w:p>
            <w:pPr>
              <w:pStyle w:val="332"/>
              <w:rPr>
                <w:rFonts w:eastAsia="宋体" w:cs="Times New Roman"/>
                <w:color w:val="000000" w:themeColor="text1"/>
                <w14:textFill>
                  <w14:solidFill>
                    <w14:schemeClr w14:val="tx1"/>
                  </w14:solidFill>
                </w14:textFill>
              </w:rPr>
            </w:pPr>
          </w:p>
        </w:tc>
        <w:tc>
          <w:tcPr>
            <w:tcW w:w="734" w:type="pct"/>
            <w:tcBorders>
              <w:top w:val="single" w:color="auto" w:sz="4"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H</w:t>
            </w:r>
            <w:r>
              <w:rPr>
                <w:rFonts w:eastAsia="宋体" w:cs="Times New Roman"/>
                <w:color w:val="000000" w:themeColor="text1"/>
                <w:vertAlign w:val="subscript"/>
                <w14:textFill>
                  <w14:solidFill>
                    <w14:schemeClr w14:val="tx1"/>
                  </w14:solidFill>
                </w14:textFill>
              </w:rPr>
              <w:t>2</w:t>
            </w:r>
            <w:r>
              <w:rPr>
                <w:rFonts w:eastAsia="宋体" w:cs="Times New Roman"/>
                <w:color w:val="000000" w:themeColor="text1"/>
                <w14:textFill>
                  <w14:solidFill>
                    <w14:schemeClr w14:val="tx1"/>
                  </w14:solidFill>
                </w14:textFill>
              </w:rPr>
              <w:t>S</w:t>
            </w:r>
          </w:p>
        </w:tc>
        <w:tc>
          <w:tcPr>
            <w:tcW w:w="895" w:type="pct"/>
            <w:tcBorders>
              <w:top w:val="single" w:color="auto" w:sz="4"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sz w:val="22"/>
                <w:szCs w:val="22"/>
                <w14:textFill>
                  <w14:solidFill>
                    <w14:schemeClr w14:val="tx1"/>
                  </w14:solidFill>
                </w14:textFill>
              </w:rPr>
              <w:t>0.086</w:t>
            </w:r>
          </w:p>
        </w:tc>
        <w:tc>
          <w:tcPr>
            <w:tcW w:w="571" w:type="pct"/>
            <w:tcBorders>
              <w:top w:val="single" w:color="auto" w:sz="4"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sz w:val="22"/>
                <w:szCs w:val="22"/>
                <w14:textFill>
                  <w14:solidFill>
                    <w14:schemeClr w14:val="tx1"/>
                  </w14:solidFill>
                </w14:textFill>
              </w:rPr>
              <w:t>0.86</w:t>
            </w:r>
          </w:p>
        </w:tc>
        <w:tc>
          <w:tcPr>
            <w:tcW w:w="897" w:type="pct"/>
            <w:tcBorders>
              <w:top w:val="single" w:color="auto" w:sz="4"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23</w:t>
            </w:r>
          </w:p>
        </w:tc>
        <w:tc>
          <w:tcPr>
            <w:tcW w:w="506" w:type="pct"/>
            <w:tcBorders>
              <w:top w:val="single" w:color="auto" w:sz="4"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28" w:type="pct"/>
            <w:tcBorders>
              <w:top w:val="single" w:color="auto" w:sz="4"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综上所述，本项目最大地面浓度占标率P</w:t>
      </w:r>
      <w:r>
        <w:rPr>
          <w:rFonts w:cs="Times New Roman"/>
          <w:color w:val="000000" w:themeColor="text1"/>
          <w:vertAlign w:val="subscript"/>
          <w14:textFill>
            <w14:solidFill>
              <w14:schemeClr w14:val="tx1"/>
            </w14:solidFill>
          </w14:textFill>
        </w:rPr>
        <w:t>max</w:t>
      </w:r>
      <w:r>
        <w:rPr>
          <w:rFonts w:cs="Times New Roman"/>
          <w:color w:val="000000" w:themeColor="text1"/>
          <w14:textFill>
            <w14:solidFill>
              <w14:schemeClr w14:val="tx1"/>
            </w14:solidFill>
          </w14:textFill>
        </w:rPr>
        <w:t>=6.28%，根据评价导则对评价等级的确定原则，确定本项目大气环境影响评价工作等级为二级。</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评价范围：边长5 km的矩形区域。</w:t>
      </w:r>
    </w:p>
    <w:p>
      <w:pPr>
        <w:pStyle w:val="4"/>
        <w:rPr>
          <w:rFonts w:cs="Times New Roman"/>
          <w:color w:val="000000" w:themeColor="text1"/>
          <w14:textFill>
            <w14:solidFill>
              <w14:schemeClr w14:val="tx1"/>
            </w14:solidFill>
          </w14:textFill>
        </w:rPr>
      </w:pPr>
      <w:bookmarkStart w:id="199" w:name="_Toc47619783"/>
      <w:bookmarkStart w:id="200" w:name="_Toc58362737"/>
      <w:bookmarkStart w:id="201" w:name="_Toc47619121"/>
      <w:bookmarkStart w:id="202" w:name="_Toc47619969"/>
      <w:bookmarkStart w:id="203" w:name="_Toc52791838"/>
      <w:bookmarkStart w:id="204" w:name="_Toc91163839"/>
      <w:r>
        <w:rPr>
          <w:rFonts w:cs="Times New Roman"/>
          <w:color w:val="000000" w:themeColor="text1"/>
          <w14:textFill>
            <w14:solidFill>
              <w14:schemeClr w14:val="tx1"/>
            </w14:solidFill>
          </w14:textFill>
        </w:rPr>
        <w:t xml:space="preserve">2.4.2 </w:t>
      </w:r>
      <w:bookmarkEnd w:id="199"/>
      <w:bookmarkEnd w:id="200"/>
      <w:bookmarkEnd w:id="201"/>
      <w:bookmarkEnd w:id="202"/>
      <w:bookmarkEnd w:id="203"/>
      <w:r>
        <w:rPr>
          <w:rFonts w:cs="Times New Roman"/>
          <w:color w:val="000000" w:themeColor="text1"/>
          <w14:textFill>
            <w14:solidFill>
              <w14:schemeClr w14:val="tx1"/>
            </w14:solidFill>
          </w14:textFill>
        </w:rPr>
        <w:t>地表水环境</w:t>
      </w:r>
      <w:bookmarkEnd w:id="204"/>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本项目属于水污染影响型建设项目，根据《环境影响评价技术导则 地表水环境》（HJ2.3-2018），评级等级判定依据见表2.4-7。</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2.4-7 </w:t>
      </w:r>
      <w:r>
        <w:rPr>
          <w:rFonts w:cs="Times New Roman"/>
          <w:color w:val="000000" w:themeColor="text1"/>
          <w14:textFill>
            <w14:solidFill>
              <w14:schemeClr w14:val="tx1"/>
            </w14:solidFill>
          </w14:textFill>
        </w:rPr>
        <w:t>水污染影响型建设项目评价等级判定</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2677"/>
        <w:gridCol w:w="32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评价等级</w:t>
            </w:r>
          </w:p>
        </w:tc>
        <w:tc>
          <w:tcPr>
            <w:tcW w:w="3334" w:type="pct"/>
            <w:gridSpan w:val="2"/>
            <w:tcBorders>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Merge w:val="continue"/>
            <w:tcBorders>
              <w:bottom w:val="single" w:color="auto" w:sz="12" w:space="0"/>
            </w:tcBorders>
            <w:vAlign w:val="center"/>
          </w:tcPr>
          <w:p>
            <w:pPr>
              <w:pStyle w:val="332"/>
              <w:widowControl w:val="0"/>
              <w:rPr>
                <w:color w:val="000000" w:themeColor="text1"/>
                <w14:textFill>
                  <w14:solidFill>
                    <w14:schemeClr w14:val="tx1"/>
                  </w14:solidFill>
                </w14:textFill>
              </w:rPr>
            </w:pPr>
          </w:p>
        </w:tc>
        <w:tc>
          <w:tcPr>
            <w:tcW w:w="1498" w:type="pct"/>
            <w:tcBorders>
              <w:top w:val="single" w:color="auto" w:sz="4"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排放方式</w:t>
            </w:r>
          </w:p>
        </w:tc>
        <w:tc>
          <w:tcPr>
            <w:tcW w:w="1836" w:type="pct"/>
            <w:tcBorders>
              <w:top w:val="single" w:color="auto" w:sz="4"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废水排放量Q/（m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水污染物当量数W/（无量纲）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1498" w:type="pc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直接排放</w:t>
            </w:r>
          </w:p>
        </w:tc>
        <w:tc>
          <w:tcPr>
            <w:tcW w:w="1836" w:type="pc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Q≥20000或W≥600000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1498"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直接排放</w:t>
            </w:r>
          </w:p>
        </w:tc>
        <w:tc>
          <w:tcPr>
            <w:tcW w:w="1836"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三级A</w:t>
            </w:r>
          </w:p>
        </w:tc>
        <w:tc>
          <w:tcPr>
            <w:tcW w:w="1498"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直接排放</w:t>
            </w:r>
          </w:p>
        </w:tc>
        <w:tc>
          <w:tcPr>
            <w:tcW w:w="1836"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Q＜200且W＜6000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tcBorders>
              <w:top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三级B</w:t>
            </w:r>
          </w:p>
        </w:tc>
        <w:tc>
          <w:tcPr>
            <w:tcW w:w="1498" w:type="pct"/>
            <w:tcBorders>
              <w:top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间接排放</w:t>
            </w:r>
          </w:p>
        </w:tc>
        <w:tc>
          <w:tcPr>
            <w:tcW w:w="1836" w:type="pct"/>
            <w:tcBorders>
              <w:top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生产废水主要为养殖过程中产生养殖废水、生活区的职工生活污水。项目食堂含油废水经隔油池处理后与生活污水、养殖区废水经废水收集系统收集后，进入粪污处理区处理，废水处理采用“预处理+厌氧处理+沼液暂存+沼液返田”工艺，处理后沼液储存沼液塘中，用于场区周围农田施肥，不外排。确定本项目地表水环境影响评价等级为三级B，本次评价重点分析废水不外排的保证性。</w:t>
      </w:r>
    </w:p>
    <w:bookmarkEnd w:id="194"/>
    <w:bookmarkEnd w:id="195"/>
    <w:bookmarkEnd w:id="196"/>
    <w:bookmarkEnd w:id="197"/>
    <w:bookmarkEnd w:id="198"/>
    <w:p>
      <w:pPr>
        <w:pStyle w:val="4"/>
        <w:rPr>
          <w:rFonts w:cs="Times New Roman"/>
          <w:color w:val="000000" w:themeColor="text1"/>
          <w14:textFill>
            <w14:solidFill>
              <w14:schemeClr w14:val="tx1"/>
            </w14:solidFill>
          </w14:textFill>
        </w:rPr>
      </w:pPr>
      <w:bookmarkStart w:id="205" w:name="_Toc52791840"/>
      <w:bookmarkStart w:id="206" w:name="_Toc47619123"/>
      <w:bookmarkStart w:id="207" w:name="_Toc47619971"/>
      <w:bookmarkStart w:id="208" w:name="_Toc47619785"/>
      <w:bookmarkStart w:id="209" w:name="_Toc58362739"/>
      <w:bookmarkStart w:id="210" w:name="_Toc91163840"/>
      <w:r>
        <w:rPr>
          <w:rFonts w:cs="Times New Roman"/>
          <w:color w:val="000000" w:themeColor="text1"/>
          <w14:textFill>
            <w14:solidFill>
              <w14:schemeClr w14:val="tx1"/>
            </w14:solidFill>
          </w14:textFill>
        </w:rPr>
        <w:t>2.4.3 地下水环境</w:t>
      </w:r>
      <w:bookmarkEnd w:id="205"/>
      <w:bookmarkEnd w:id="206"/>
      <w:bookmarkEnd w:id="207"/>
      <w:bookmarkEnd w:id="208"/>
      <w:bookmarkEnd w:id="209"/>
      <w:bookmarkEnd w:id="210"/>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1、建设项目分类</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14:textFill>
            <w14:solidFill>
              <w14:schemeClr w14:val="tx1"/>
            </w14:solidFill>
          </w14:textFill>
        </w:rPr>
        <w:t>根据《环境影响评价技术导则 地下水环境》（HJ610-2016）中附录A 地下水环境影响评价行业分类，本项目属于</w:t>
      </w:r>
      <w:r>
        <w:rPr>
          <w:rFonts w:cs="Times New Roman"/>
          <w:color w:val="000000" w:themeColor="text1"/>
          <w:kern w:val="0"/>
          <w:szCs w:val="24"/>
          <w14:textFill>
            <w14:solidFill>
              <w14:schemeClr w14:val="tx1"/>
            </w14:solidFill>
          </w14:textFill>
        </w:rPr>
        <w:t>养殖场为Ⅲ类项目。</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2、地下水环境影响评价等级</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根据《环境影响评价技术导则 地下水环境》（HJ610-2016），对照地下水环境敏感程度，确定本项目地下水环境敏感程度分级见表2.4-8。</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表2.4-8 本项目地下水环境敏感程度分级表</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6128"/>
        <w:gridCol w:w="17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91"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敏感</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程度</w:t>
            </w:r>
          </w:p>
        </w:tc>
        <w:tc>
          <w:tcPr>
            <w:tcW w:w="4409" w:type="pct"/>
            <w:gridSpan w:val="2"/>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敏感</w:t>
            </w:r>
          </w:p>
        </w:tc>
        <w:tc>
          <w:tcPr>
            <w:tcW w:w="3429" w:type="pct"/>
            <w:tcBorders>
              <w:top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集中式饮用水水源（包括已建成的在用、备用、应急水源、在建和规划的饮用水源）准保护区；除中式饮用水水源以外的国家或地方政府设定的与地下水环境相关的其他保护区，如热水、矿泉会、温泉等特殊地下水资源保护区。</w:t>
            </w:r>
          </w:p>
        </w:tc>
        <w:tc>
          <w:tcPr>
            <w:tcW w:w="979"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较敏感</w:t>
            </w:r>
          </w:p>
        </w:tc>
        <w:tc>
          <w:tcPr>
            <w:tcW w:w="3429" w:type="pct"/>
            <w:tcBorders>
              <w:bottom w:val="single" w:color="auto" w:sz="4"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集中式饮用水水源（包括已建成的在用、备用、应急水源、在建和规划的饮用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c>
          <w:tcPr>
            <w:tcW w:w="979" w:type="pct"/>
            <w:tcBorders>
              <w:bottom w:val="single" w:color="auto" w:sz="4" w:space="0"/>
            </w:tcBorders>
            <w:vAlign w:val="center"/>
          </w:tcPr>
          <w:p>
            <w:pPr>
              <w:pStyle w:val="332"/>
              <w:widowControl w:val="0"/>
              <w:rPr>
                <w:color w:val="000000" w:themeColor="text1"/>
                <w14:textFill>
                  <w14:solidFill>
                    <w14:schemeClr w14:val="tx1"/>
                  </w14:solidFill>
                </w14:textFill>
              </w:rPr>
            </w:pPr>
            <w:r>
              <w:rPr>
                <w:bCs/>
                <w:color w:val="000000" w:themeColor="text1"/>
                <w14:textFill>
                  <w14:solidFill>
                    <w14:schemeClr w14:val="tx1"/>
                  </w14:solidFill>
                </w14:textFill>
              </w:rPr>
              <w:t>项目周围存在分散式水源地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op w:val="single" w:color="auto" w:sz="4"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不敏感</w:t>
            </w:r>
          </w:p>
        </w:tc>
        <w:tc>
          <w:tcPr>
            <w:tcW w:w="3429" w:type="pct"/>
            <w:tcBorders>
              <w:top w:val="single" w:color="auto" w:sz="4" w:space="0"/>
              <w:bottom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上述地区之外的其他地区</w:t>
            </w:r>
          </w:p>
        </w:tc>
        <w:tc>
          <w:tcPr>
            <w:tcW w:w="979" w:type="pct"/>
            <w:tcBorders>
              <w:top w:val="single" w:color="auto" w:sz="4"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敏感</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程度</w:t>
            </w:r>
          </w:p>
        </w:tc>
        <w:tc>
          <w:tcPr>
            <w:tcW w:w="4409" w:type="pct"/>
            <w:gridSpan w:val="2"/>
            <w:tcBorders>
              <w:top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本项目地下水环境敏感程度为较敏感</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本项目评价范围内村庄均设有分散水井通过管网供水，水井均未划定准保护区，经走访调查单井供水规模均小于1000人。本项目地下水环境敏感程度为较敏感。</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本项目地下水环境影响评价工作等级划分见表2.4-9。</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表2.4-9 本项目地下水环境敏感程度分级表</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89"/>
        <w:gridCol w:w="2116"/>
        <w:gridCol w:w="2116"/>
        <w:gridCol w:w="21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9" w:type="pct"/>
            <w:tcBorders>
              <w:top w:val="single" w:color="auto" w:sz="12" w:space="0"/>
              <w:bottom w:val="single" w:color="auto" w:sz="12" w:space="0"/>
              <w:tl2br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项目类别</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环境敏感程度</w:t>
            </w:r>
          </w:p>
        </w:tc>
        <w:tc>
          <w:tcPr>
            <w:tcW w:w="1184"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ROMAN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I</w:t>
            </w:r>
            <w:r>
              <w:rPr>
                <w:color w:val="000000" w:themeColor="text1"/>
                <w14:textFill>
                  <w14:solidFill>
                    <w14:schemeClr w14:val="tx1"/>
                  </w14:solidFill>
                </w14:textFill>
              </w:rPr>
              <w:fldChar w:fldCharType="end"/>
            </w:r>
            <w:r>
              <w:rPr>
                <w:color w:val="000000" w:themeColor="text1"/>
                <w14:textFill>
                  <w14:solidFill>
                    <w14:schemeClr w14:val="tx1"/>
                  </w14:solidFill>
                </w14:textFill>
              </w:rPr>
              <w:t>项目</w:t>
            </w:r>
          </w:p>
        </w:tc>
        <w:tc>
          <w:tcPr>
            <w:tcW w:w="1184"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ROMAN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II</w:t>
            </w:r>
            <w:r>
              <w:rPr>
                <w:color w:val="000000" w:themeColor="text1"/>
                <w14:textFill>
                  <w14:solidFill>
                    <w14:schemeClr w14:val="tx1"/>
                  </w14:solidFill>
                </w14:textFill>
              </w:rPr>
              <w:fldChar w:fldCharType="end"/>
            </w:r>
            <w:r>
              <w:rPr>
                <w:color w:val="000000" w:themeColor="text1"/>
                <w14:textFill>
                  <w14:solidFill>
                    <w14:schemeClr w14:val="tx1"/>
                  </w14:solidFill>
                </w14:textFill>
              </w:rPr>
              <w:t>项目</w:t>
            </w:r>
          </w:p>
        </w:tc>
        <w:tc>
          <w:tcPr>
            <w:tcW w:w="1183"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ROMAN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III</w:t>
            </w:r>
            <w:r>
              <w:rPr>
                <w:color w:val="000000" w:themeColor="text1"/>
                <w14:textFill>
                  <w14:solidFill>
                    <w14:schemeClr w14:val="tx1"/>
                  </w14:solidFill>
                </w14:textFill>
              </w:rPr>
              <w:fldChar w:fldCharType="end"/>
            </w:r>
            <w:r>
              <w:rPr>
                <w:color w:val="000000" w:themeColor="text1"/>
                <w14:textFill>
                  <w14:solidFill>
                    <w14:schemeClr w14:val="tx1"/>
                  </w14:solidFill>
                </w14:textFill>
              </w:rPr>
              <w:t>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9"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敏感</w:t>
            </w:r>
          </w:p>
        </w:tc>
        <w:tc>
          <w:tcPr>
            <w:tcW w:w="118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118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1183"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较敏感</w:t>
            </w:r>
          </w:p>
        </w:tc>
        <w:tc>
          <w:tcPr>
            <w:tcW w:w="11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11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二</w:t>
            </w:r>
          </w:p>
        </w:tc>
        <w:tc>
          <w:tcPr>
            <w:tcW w:w="118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4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不敏感</w:t>
            </w:r>
          </w:p>
        </w:tc>
        <w:tc>
          <w:tcPr>
            <w:tcW w:w="11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二</w:t>
            </w:r>
          </w:p>
        </w:tc>
        <w:tc>
          <w:tcPr>
            <w:tcW w:w="11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三</w:t>
            </w:r>
          </w:p>
        </w:tc>
        <w:tc>
          <w:tcPr>
            <w:tcW w:w="118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三</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综上所述，确定本项目的敏感程度为较敏感，项目类别为</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3 \* ROMAN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III</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类，确定本项目地下水评价级别为三级。</w:t>
      </w:r>
    </w:p>
    <w:p>
      <w:pPr>
        <w:pStyle w:val="4"/>
        <w:rPr>
          <w:rFonts w:cs="Times New Roman"/>
          <w:color w:val="000000" w:themeColor="text1"/>
          <w14:textFill>
            <w14:solidFill>
              <w14:schemeClr w14:val="tx1"/>
            </w14:solidFill>
          </w14:textFill>
        </w:rPr>
      </w:pPr>
      <w:bookmarkStart w:id="211" w:name="_Toc47619786"/>
      <w:bookmarkStart w:id="212" w:name="_Toc47619972"/>
      <w:bookmarkStart w:id="213" w:name="_Toc52791841"/>
      <w:bookmarkStart w:id="214" w:name="_Toc58362740"/>
      <w:bookmarkStart w:id="215" w:name="_Toc91163841"/>
      <w:bookmarkStart w:id="216" w:name="_Toc47619124"/>
      <w:r>
        <w:rPr>
          <w:rFonts w:cs="Times New Roman"/>
          <w:color w:val="000000" w:themeColor="text1"/>
          <w14:textFill>
            <w14:solidFill>
              <w14:schemeClr w14:val="tx1"/>
            </w14:solidFill>
          </w14:textFill>
        </w:rPr>
        <w:t>2.4.4 声环境</w:t>
      </w:r>
      <w:bookmarkEnd w:id="211"/>
      <w:bookmarkEnd w:id="212"/>
      <w:bookmarkEnd w:id="213"/>
      <w:bookmarkEnd w:id="214"/>
      <w:bookmarkEnd w:id="215"/>
      <w:bookmarkEnd w:id="216"/>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本项目位于农村地区，场址所处区域声环境功能区为声环境质量标准（GB3096-2008）中规定的1类地区，声环境执行1类标准。按照《环境影响评价技术导则 声环境》（HJ2.4-2009）中评价工作等级的划分原则，项目建设前后评价范围内敏感目标噪声级增高量未达3~5 dB(A)（含5 dB(A)），受噪声影响人口数量增加很少，因此，本次声环境评价工作等级确定为二级。</w:t>
      </w:r>
    </w:p>
    <w:p>
      <w:pPr>
        <w:pStyle w:val="4"/>
        <w:rPr>
          <w:rFonts w:cs="Times New Roman"/>
          <w:color w:val="000000" w:themeColor="text1"/>
          <w14:textFill>
            <w14:solidFill>
              <w14:schemeClr w14:val="tx1"/>
            </w14:solidFill>
          </w14:textFill>
        </w:rPr>
      </w:pPr>
      <w:bookmarkStart w:id="217" w:name="_Toc47619125"/>
      <w:bookmarkStart w:id="218" w:name="_Toc91163842"/>
      <w:bookmarkStart w:id="219" w:name="_Toc58362741"/>
      <w:bookmarkStart w:id="220" w:name="_Toc52791842"/>
      <w:bookmarkStart w:id="221" w:name="_Toc47619787"/>
      <w:bookmarkStart w:id="222" w:name="_Toc47619973"/>
      <w:bookmarkStart w:id="223" w:name="_Hlk80628237"/>
      <w:r>
        <w:rPr>
          <w:rFonts w:cs="Times New Roman"/>
          <w:color w:val="000000" w:themeColor="text1"/>
          <w14:textFill>
            <w14:solidFill>
              <w14:schemeClr w14:val="tx1"/>
            </w14:solidFill>
          </w14:textFill>
        </w:rPr>
        <w:t>2.4.5 土壤环境</w:t>
      </w:r>
      <w:bookmarkEnd w:id="217"/>
      <w:bookmarkEnd w:id="218"/>
      <w:bookmarkEnd w:id="219"/>
      <w:bookmarkEnd w:id="220"/>
      <w:bookmarkEnd w:id="221"/>
      <w:bookmarkEnd w:id="222"/>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1、项目类别</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根据《环境影响评价技术导则 土壤环境（试行）》（HJ964-2018）附录A，本项目行业类别为“农林牧渔业”，本项目年出栏生猪1.5万头，项目类别属于“年出栏生猪5000头及以上的畜禽养殖场或养殖小区”，为III类项目。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2、评价等级</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本项目养殖场以污染影响为主，沼液还田区以生态影响为主，本项目属于复合型项目。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（1）污染型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项目占地面积5.30 hm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，属于中型占地规模（5~50 hm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根据《环境影响评价技术导则 土壤环境》（试行）（HJ964-2018），对照污染影响型环境敏感程度分级表，详见见表2.4-10。</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表2.4-10 污染影响型环境敏感程度分级表</w:t>
      </w:r>
    </w:p>
    <w:tbl>
      <w:tblPr>
        <w:tblStyle w:val="34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5207"/>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pct"/>
            <w:tcBorders>
              <w:top w:val="single" w:color="auto" w:sz="12" w:space="0"/>
              <w:left w:val="single" w:color="auto" w:sz="12" w:space="0"/>
              <w:bottom w:val="single" w:color="auto" w:sz="12" w:space="0"/>
            </w:tcBorders>
            <w:vAlign w:val="center"/>
          </w:tcPr>
          <w:p>
            <w:pPr>
              <w:pStyle w:val="332"/>
              <w:rPr>
                <w:rFonts w:eastAsia="宋体" w:cs="Times New Roman"/>
                <w:b w:val="0"/>
                <w:bCs w:val="0"/>
                <w:color w:val="000000" w:themeColor="text1"/>
                <w14:textFill>
                  <w14:solidFill>
                    <w14:schemeClr w14:val="tx1"/>
                  </w14:solidFill>
                </w14:textFill>
              </w:rPr>
            </w:pPr>
            <w:r>
              <w:rPr>
                <w:rFonts w:eastAsia="宋体" w:cs="Times New Roman"/>
                <w:b w:val="0"/>
                <w:bCs w:val="0"/>
                <w:color w:val="000000" w:themeColor="text1"/>
                <w14:textFill>
                  <w14:solidFill>
                    <w14:schemeClr w14:val="tx1"/>
                  </w14:solidFill>
                </w14:textFill>
              </w:rPr>
              <w:t>敏感程度</w:t>
            </w:r>
          </w:p>
        </w:tc>
        <w:tc>
          <w:tcPr>
            <w:tcW w:w="2914" w:type="pct"/>
            <w:tcBorders>
              <w:top w:val="single" w:color="auto" w:sz="12" w:space="0"/>
              <w:bottom w:val="single" w:color="auto" w:sz="12" w:space="0"/>
              <w:right w:val="single" w:color="auto" w:sz="4" w:space="0"/>
            </w:tcBorders>
            <w:vAlign w:val="center"/>
          </w:tcPr>
          <w:p>
            <w:pPr>
              <w:pStyle w:val="332"/>
              <w:rPr>
                <w:rFonts w:eastAsia="宋体" w:cs="Times New Roman"/>
                <w:b w:val="0"/>
                <w:bCs w:val="0"/>
                <w:color w:val="000000" w:themeColor="text1"/>
                <w14:textFill>
                  <w14:solidFill>
                    <w14:schemeClr w14:val="tx1"/>
                  </w14:solidFill>
                </w14:textFill>
              </w:rPr>
            </w:pPr>
            <w:r>
              <w:rPr>
                <w:rFonts w:eastAsia="宋体" w:cs="Times New Roman"/>
                <w:b w:val="0"/>
                <w:bCs w:val="0"/>
                <w:color w:val="000000" w:themeColor="text1"/>
                <w14:textFill>
                  <w14:solidFill>
                    <w14:schemeClr w14:val="tx1"/>
                  </w14:solidFill>
                </w14:textFill>
              </w:rPr>
              <w:t>判别依据</w:t>
            </w:r>
          </w:p>
        </w:tc>
        <w:tc>
          <w:tcPr>
            <w:tcW w:w="1150" w:type="pct"/>
            <w:tcBorders>
              <w:top w:val="single" w:color="auto" w:sz="12" w:space="0"/>
              <w:left w:val="single" w:color="auto" w:sz="4" w:space="0"/>
              <w:bottom w:val="single" w:color="auto" w:sz="12" w:space="0"/>
              <w:right w:val="single" w:color="auto" w:sz="12" w:space="0"/>
            </w:tcBorders>
            <w:vAlign w:val="center"/>
          </w:tcPr>
          <w:p>
            <w:pPr>
              <w:pStyle w:val="332"/>
              <w:rPr>
                <w:rFonts w:eastAsia="宋体" w:cs="Times New Roman"/>
                <w:b w:val="0"/>
                <w:bCs w:val="0"/>
                <w:color w:val="000000" w:themeColor="text1"/>
                <w14:textFill>
                  <w14:solidFill>
                    <w14:schemeClr w14:val="tx1"/>
                  </w14:solidFill>
                </w14:textFill>
              </w:rPr>
            </w:pPr>
            <w:r>
              <w:rPr>
                <w:rFonts w:eastAsia="宋体" w:cs="Times New Roman"/>
                <w:b w:val="0"/>
                <w:bCs w:val="0"/>
                <w:color w:val="000000" w:themeColor="text1"/>
                <w14:textFill>
                  <w14:solidFill>
                    <w14:schemeClr w14:val="tx1"/>
                  </w14:solidFill>
                </w14:textFill>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pct"/>
            <w:tcBorders>
              <w:top w:val="single" w:color="auto" w:sz="12" w:space="0"/>
              <w:left w:val="single" w:color="auto" w:sz="12" w:space="0"/>
              <w:bottom w:val="single" w:color="7E7E7E" w:themeColor="text1" w:themeTint="80" w:sz="4" w:space="0"/>
              <w:insideH w:val="single" w:sz="4" w:space="0"/>
            </w:tcBorders>
            <w:vAlign w:val="center"/>
          </w:tcPr>
          <w:p>
            <w:pPr>
              <w:pStyle w:val="332"/>
              <w:rPr>
                <w:rFonts w:eastAsia="宋体" w:cs="Times New Roman"/>
                <w:b w:val="0"/>
                <w:bCs w:val="0"/>
                <w:color w:val="000000" w:themeColor="text1"/>
                <w14:textFill>
                  <w14:solidFill>
                    <w14:schemeClr w14:val="tx1"/>
                  </w14:solidFill>
                </w14:textFill>
              </w:rPr>
            </w:pPr>
            <w:r>
              <w:rPr>
                <w:rFonts w:eastAsia="宋体" w:cs="Times New Roman"/>
                <w:b w:val="0"/>
                <w:bCs w:val="0"/>
                <w:color w:val="000000" w:themeColor="text1"/>
                <w14:textFill>
                  <w14:solidFill>
                    <w14:schemeClr w14:val="tx1"/>
                  </w14:solidFill>
                </w14:textFill>
              </w:rPr>
              <w:t>敏感</w:t>
            </w:r>
          </w:p>
        </w:tc>
        <w:tc>
          <w:tcPr>
            <w:tcW w:w="2914" w:type="pct"/>
            <w:tcBorders>
              <w:top w:val="single" w:color="auto" w:sz="12" w:space="0"/>
              <w:bottom w:val="single" w:color="auto" w:sz="4" w:space="0"/>
              <w:right w:val="single" w:color="auto" w:sz="4" w:space="0"/>
            </w:tcBorders>
            <w:vAlign w:val="center"/>
          </w:tcPr>
          <w:p>
            <w:pPr>
              <w:pStyle w:val="332"/>
              <w:jc w:val="both"/>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建设项目周边存在耕地、园地、牧草地、饮用水水源地或居民区、学校、医院、疗养院、养老院等土壤环境敏感目标的</w:t>
            </w:r>
          </w:p>
        </w:tc>
        <w:tc>
          <w:tcPr>
            <w:tcW w:w="1150" w:type="pct"/>
            <w:tcBorders>
              <w:top w:val="single" w:color="auto" w:sz="12" w:space="0"/>
              <w:left w:val="single" w:color="auto" w:sz="4" w:space="0"/>
              <w:bottom w:val="single" w:color="auto" w:sz="4" w:space="0"/>
              <w:right w:val="single" w:color="auto" w:sz="12" w:space="0"/>
            </w:tcBorders>
            <w:vAlign w:val="center"/>
          </w:tcPr>
          <w:p>
            <w:pPr>
              <w:pStyle w:val="332"/>
              <w:jc w:val="both"/>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本项目周边存在农田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pct"/>
            <w:tcBorders>
              <w:left w:val="single" w:color="auto" w:sz="12" w:space="0"/>
            </w:tcBorders>
            <w:vAlign w:val="center"/>
          </w:tcPr>
          <w:p>
            <w:pPr>
              <w:pStyle w:val="332"/>
              <w:rPr>
                <w:rFonts w:eastAsia="宋体" w:cs="Times New Roman"/>
                <w:b w:val="0"/>
                <w:bCs w:val="0"/>
                <w:color w:val="000000" w:themeColor="text1"/>
                <w14:textFill>
                  <w14:solidFill>
                    <w14:schemeClr w14:val="tx1"/>
                  </w14:solidFill>
                </w14:textFill>
              </w:rPr>
            </w:pPr>
            <w:r>
              <w:rPr>
                <w:rFonts w:eastAsia="宋体" w:cs="Times New Roman"/>
                <w:b w:val="0"/>
                <w:bCs w:val="0"/>
                <w:color w:val="000000" w:themeColor="text1"/>
                <w14:textFill>
                  <w14:solidFill>
                    <w14:schemeClr w14:val="tx1"/>
                  </w14:solidFill>
                </w14:textFill>
              </w:rPr>
              <w:t>较敏感</w:t>
            </w:r>
          </w:p>
        </w:tc>
        <w:tc>
          <w:tcPr>
            <w:tcW w:w="2914" w:type="pct"/>
            <w:tcBorders>
              <w:right w:val="single" w:color="auto" w:sz="4" w:space="0"/>
            </w:tcBorders>
            <w:vAlign w:val="center"/>
          </w:tcPr>
          <w:p>
            <w:pPr>
              <w:pStyle w:val="332"/>
              <w:jc w:val="both"/>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建设项目周边存在其他土壤环境敏感目标的</w:t>
            </w:r>
          </w:p>
        </w:tc>
        <w:tc>
          <w:tcPr>
            <w:tcW w:w="1150" w:type="pct"/>
            <w:tcBorders>
              <w:left w:val="single" w:color="auto" w:sz="4" w:space="0"/>
              <w:right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pct"/>
            <w:tcBorders>
              <w:top w:val="single" w:color="7E7E7E" w:themeColor="text1" w:themeTint="80" w:sz="4" w:space="0"/>
              <w:left w:val="single" w:color="auto" w:sz="12" w:space="0"/>
              <w:bottom w:val="single" w:color="auto" w:sz="12" w:space="0"/>
            </w:tcBorders>
            <w:vAlign w:val="center"/>
          </w:tcPr>
          <w:p>
            <w:pPr>
              <w:pStyle w:val="332"/>
              <w:rPr>
                <w:rFonts w:eastAsia="宋体" w:cs="Times New Roman"/>
                <w:b w:val="0"/>
                <w:bCs w:val="0"/>
                <w:color w:val="000000" w:themeColor="text1"/>
                <w14:textFill>
                  <w14:solidFill>
                    <w14:schemeClr w14:val="tx1"/>
                  </w14:solidFill>
                </w14:textFill>
              </w:rPr>
            </w:pPr>
            <w:r>
              <w:rPr>
                <w:rFonts w:eastAsia="宋体" w:cs="Times New Roman"/>
                <w:b w:val="0"/>
                <w:bCs w:val="0"/>
                <w:color w:val="000000" w:themeColor="text1"/>
                <w14:textFill>
                  <w14:solidFill>
                    <w14:schemeClr w14:val="tx1"/>
                  </w14:solidFill>
                </w14:textFill>
              </w:rPr>
              <w:t>不敏感</w:t>
            </w:r>
          </w:p>
        </w:tc>
        <w:tc>
          <w:tcPr>
            <w:tcW w:w="2914" w:type="pct"/>
            <w:tcBorders>
              <w:top w:val="single" w:color="auto" w:sz="4" w:space="0"/>
              <w:bottom w:val="single" w:color="auto" w:sz="12" w:space="0"/>
              <w:right w:val="single" w:color="auto" w:sz="4" w:space="0"/>
            </w:tcBorders>
            <w:vAlign w:val="center"/>
          </w:tcPr>
          <w:p>
            <w:pPr>
              <w:pStyle w:val="332"/>
              <w:jc w:val="both"/>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其他情况</w:t>
            </w:r>
          </w:p>
        </w:tc>
        <w:tc>
          <w:tcPr>
            <w:tcW w:w="1150" w:type="pct"/>
            <w:tcBorders>
              <w:top w:val="single" w:color="auto" w:sz="4" w:space="0"/>
              <w:left w:val="single" w:color="auto" w:sz="4" w:space="0"/>
              <w:bottom w:val="single" w:color="auto" w:sz="12" w:space="0"/>
              <w:right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6" w:type="pct"/>
            <w:tcBorders>
              <w:top w:val="single" w:color="auto" w:sz="12" w:space="0"/>
              <w:left w:val="single" w:color="auto" w:sz="12" w:space="0"/>
              <w:bottom w:val="single" w:color="auto" w:sz="12" w:space="0"/>
            </w:tcBorders>
            <w:vAlign w:val="center"/>
          </w:tcPr>
          <w:p>
            <w:pPr>
              <w:pStyle w:val="332"/>
              <w:rPr>
                <w:rFonts w:eastAsia="宋体" w:cs="Times New Roman"/>
                <w:b w:val="0"/>
                <w:bCs w:val="0"/>
                <w:color w:val="000000" w:themeColor="text1"/>
                <w14:textFill>
                  <w14:solidFill>
                    <w14:schemeClr w14:val="tx1"/>
                  </w14:solidFill>
                </w14:textFill>
              </w:rPr>
            </w:pPr>
            <w:r>
              <w:rPr>
                <w:rFonts w:eastAsia="宋体" w:cs="Times New Roman"/>
                <w:b w:val="0"/>
                <w:bCs w:val="0"/>
                <w:color w:val="000000" w:themeColor="text1"/>
                <w14:textFill>
                  <w14:solidFill>
                    <w14:schemeClr w14:val="tx1"/>
                  </w14:solidFill>
                </w14:textFill>
              </w:rPr>
              <w:t>敏感程度</w:t>
            </w:r>
          </w:p>
        </w:tc>
        <w:tc>
          <w:tcPr>
            <w:tcW w:w="4064" w:type="pct"/>
            <w:gridSpan w:val="2"/>
            <w:tcBorders>
              <w:top w:val="single" w:color="auto" w:sz="12" w:space="0"/>
              <w:bottom w:val="single" w:color="auto" w:sz="12" w:space="0"/>
              <w:right w:val="single" w:color="auto" w:sz="12" w:space="0"/>
            </w:tcBorders>
            <w:vAlign w:val="center"/>
          </w:tcPr>
          <w:p>
            <w:pPr>
              <w:pStyle w:val="332"/>
              <w:jc w:val="both"/>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本项目土壤环境敏感程度为敏感</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本项目土壤环境影响评价工作等级划分见表2.4-11。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表2.4-11 污染影响型评价工作等级划分表</w:t>
      </w:r>
    </w:p>
    <w:tbl>
      <w:tblPr>
        <w:tblStyle w:val="34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5"/>
        <w:gridCol w:w="838"/>
        <w:gridCol w:w="722"/>
        <w:gridCol w:w="726"/>
        <w:gridCol w:w="722"/>
        <w:gridCol w:w="724"/>
        <w:gridCol w:w="722"/>
        <w:gridCol w:w="722"/>
        <w:gridCol w:w="722"/>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pct"/>
            <w:vMerge w:val="restart"/>
            <w:tcBorders>
              <w:top w:val="single" w:color="auto" w:sz="12" w:space="0"/>
              <w:left w:val="single" w:color="auto" w:sz="12" w:space="0"/>
              <w:bottom w:val="single" w:color="7E7E7E" w:themeColor="text1" w:themeTint="80" w:sz="4" w:space="0"/>
              <w:insideH w:val="single" w:sz="4" w:space="0"/>
            </w:tcBorders>
            <w:vAlign w:val="center"/>
          </w:tcPr>
          <w:p>
            <w:pPr>
              <w:pStyle w:val="332"/>
              <w:jc w:val="right"/>
              <w:rPr>
                <w:rFonts w:eastAsia="宋体" w:cs="Times New Roman"/>
                <w:b w:val="0"/>
                <w:bCs w:val="0"/>
                <w:color w:val="000000" w:themeColor="text1"/>
                <w14:textFill>
                  <w14:solidFill>
                    <w14:schemeClr w14:val="tx1"/>
                  </w14:solidFill>
                </w14:textFill>
              </w:rPr>
            </w:pPr>
            <w:r>
              <w:rPr>
                <w:rFonts w:eastAsiaTheme="minorEastAsia" w:cstheme="minorBidi"/>
                <w:b/>
                <w:bCs/>
                <w:color w:val="000000" w:themeColor="text1"/>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600710</wp:posOffset>
                      </wp:positionH>
                      <wp:positionV relativeFrom="paragraph">
                        <wp:posOffset>-15875</wp:posOffset>
                      </wp:positionV>
                      <wp:extent cx="752475" cy="528320"/>
                      <wp:effectExtent l="0" t="0" r="9525" b="5080"/>
                      <wp:wrapNone/>
                      <wp:docPr id="29" name="直接连接符 3"/>
                      <wp:cNvGraphicFramePr/>
                      <a:graphic xmlns:a="http://schemas.openxmlformats.org/drawingml/2006/main">
                        <a:graphicData uri="http://schemas.microsoft.com/office/word/2010/wordprocessingShape">
                          <wps:wsp>
                            <wps:cNvCnPr/>
                            <wps:spPr>
                              <a:xfrm flipH="true" flipV="true">
                                <a:off x="0" y="0"/>
                                <a:ext cx="752475" cy="528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3" o:spid="_x0000_s1026" o:spt="20" style="position:absolute;left:0pt;flip:x y;margin-left:47.3pt;margin-top:-1.25pt;height:41.6pt;width:59.25pt;z-index:251735040;mso-width-relative:page;mso-height-relative:page;" filled="f" stroked="t" coordsize="21600,21600" o:gfxdata="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GU3nJ7YAAAACAEAAA8AAAAAAAAAAQAgAAAAOAAAAGRycy9kb3ducmV2LnhtbFBLAQIU&#10;ABQAAAAIAIdO4kAu2jRN3QEAAIIDAAAOAAAAAAAAAAEAIAAAAD0BAABkcnMvZTJvRG9jLnhtbFBL&#10;BQYAAAAABgAGAFkBAACMBQAAAAA=&#10;">
                      <v:fill on="f" focussize="0,0"/>
                      <v:stroke weight="0.5pt" color="#000000 [3200]" miterlimit="8" joinstyle="miter"/>
                      <v:imagedata o:title=""/>
                      <o:lock v:ext="edit" aspectratio="f"/>
                    </v:line>
                  </w:pict>
                </mc:Fallback>
              </mc:AlternateContent>
            </w:r>
            <w:r>
              <w:rPr>
                <w:rFonts w:eastAsia="宋体" w:cs="Times New Roman"/>
                <w:b w:val="0"/>
                <w:bCs w:val="0"/>
                <w:color w:val="000000" w:themeColor="text1"/>
                <w14:textFill>
                  <w14:solidFill>
                    <w14:schemeClr w14:val="tx1"/>
                  </w14:solidFill>
                </w14:textFill>
              </w:rPr>
              <w:t>占地规模</w:t>
            </w:r>
          </w:p>
          <w:p>
            <w:pPr>
              <w:pStyle w:val="332"/>
              <w:ind w:firstLine="210" w:firstLineChars="100"/>
              <w:jc w:val="both"/>
              <w:rPr>
                <w:rFonts w:eastAsia="宋体" w:cs="Times New Roman"/>
                <w:b w:val="0"/>
                <w:bCs w:val="0"/>
                <w:color w:val="000000" w:themeColor="text1"/>
                <w14:textFill>
                  <w14:solidFill>
                    <w14:schemeClr w14:val="tx1"/>
                  </w14:solidFill>
                </w14:textFill>
              </w:rPr>
            </w:pPr>
            <w:r>
              <w:rPr>
                <w:rFonts w:eastAsiaTheme="minorEastAsia" w:cstheme="minorBidi"/>
                <w:b/>
                <w:bCs/>
                <w:color w:val="000000" w:themeColor="text1"/>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-61595</wp:posOffset>
                      </wp:positionH>
                      <wp:positionV relativeFrom="paragraph">
                        <wp:posOffset>118745</wp:posOffset>
                      </wp:positionV>
                      <wp:extent cx="1415415" cy="221615"/>
                      <wp:effectExtent l="0" t="0" r="13335" b="6985"/>
                      <wp:wrapNone/>
                      <wp:docPr id="28" name="直接连接符 2"/>
                      <wp:cNvGraphicFramePr/>
                      <a:graphic xmlns:a="http://schemas.openxmlformats.org/drawingml/2006/main">
                        <a:graphicData uri="http://schemas.microsoft.com/office/word/2010/wordprocessingShape">
                          <wps:wsp>
                            <wps:cNvCnPr/>
                            <wps:spPr>
                              <a:xfrm>
                                <a:off x="0" y="0"/>
                                <a:ext cx="1415415" cy="221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2" o:spid="_x0000_s1026" o:spt="20" style="position:absolute;left:0pt;margin-left:-4.85pt;margin-top:9.35pt;height:17.45pt;width:111.45pt;z-index:251736064;mso-width-relative:page;mso-height-relative:page;" filled="f" stroked="t" coordsize="21600,21600" o:gfxdata="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Uuk6atcAAAAIAQAA&#10;DwAAAAAAAAABACAAAAA4AAAAZHJzL2Rvd25yZXYueG1sUEsBAhQAFAAAAAgAh07iQAhDYNrLAQAA&#10;aQMAAA4AAAAAAAAAAQAgAAAAPAEAAGRycy9lMm9Eb2MueG1sUEsFBgAAAAAGAAYAWQEAAHkFAAAA&#10;AA==&#10;">
                      <v:fill on="f" focussize="0,0"/>
                      <v:stroke weight="0.5pt" color="#000000 [3200]" miterlimit="8" joinstyle="miter"/>
                      <v:imagedata o:title=""/>
                      <o:lock v:ext="edit" aspectratio="f"/>
                    </v:line>
                  </w:pict>
                </mc:Fallback>
              </mc:AlternateContent>
            </w:r>
            <w:r>
              <w:rPr>
                <w:rFonts w:eastAsia="宋体" w:cs="Times New Roman"/>
                <w:b w:val="0"/>
                <w:bCs w:val="0"/>
                <w:color w:val="000000" w:themeColor="text1"/>
                <w14:textFill>
                  <w14:solidFill>
                    <w14:schemeClr w14:val="tx1"/>
                  </w14:solidFill>
                </w14:textFill>
              </w:rPr>
              <w:t>评价工作等级</w:t>
            </w:r>
          </w:p>
          <w:p>
            <w:pPr>
              <w:pStyle w:val="332"/>
              <w:jc w:val="left"/>
              <w:rPr>
                <w:rFonts w:eastAsia="宋体" w:cs="Times New Roman"/>
                <w:b w:val="0"/>
                <w:bCs w:val="0"/>
                <w:color w:val="000000" w:themeColor="text1"/>
                <w14:textFill>
                  <w14:solidFill>
                    <w14:schemeClr w14:val="tx1"/>
                  </w14:solidFill>
                </w14:textFill>
              </w:rPr>
            </w:pPr>
            <w:r>
              <w:rPr>
                <w:rFonts w:eastAsia="宋体" w:cs="Times New Roman"/>
                <w:b w:val="0"/>
                <w:bCs w:val="0"/>
                <w:color w:val="000000" w:themeColor="text1"/>
                <w14:textFill>
                  <w14:solidFill>
                    <w14:schemeClr w14:val="tx1"/>
                  </w14:solidFill>
                </w14:textFill>
              </w:rPr>
              <w:t>较敏感程度</w:t>
            </w:r>
          </w:p>
        </w:tc>
        <w:tc>
          <w:tcPr>
            <w:tcW w:w="1279" w:type="pct"/>
            <w:gridSpan w:val="3"/>
            <w:tcBorders>
              <w:top w:val="single" w:color="auto" w:sz="12" w:space="0"/>
              <w:bottom w:val="single" w:color="7E7E7E" w:themeColor="text1" w:themeTint="80" w:sz="4" w:space="0"/>
              <w:insideH w:val="single" w:sz="4" w:space="0"/>
            </w:tcBorders>
            <w:vAlign w:val="center"/>
          </w:tcPr>
          <w:p>
            <w:pPr>
              <w:pStyle w:val="332"/>
              <w:rPr>
                <w:rFonts w:eastAsia="宋体" w:cs="Times New Roman"/>
                <w:b w:val="0"/>
                <w:bCs w:val="0"/>
                <w:color w:val="000000" w:themeColor="text1"/>
                <w14:textFill>
                  <w14:solidFill>
                    <w14:schemeClr w14:val="tx1"/>
                  </w14:solidFill>
                </w14:textFill>
              </w:rPr>
            </w:pPr>
            <w:r>
              <w:rPr>
                <w:rFonts w:eastAsia="宋体" w:cs="Times New Roman"/>
                <w:b w:val="0"/>
                <w:bCs w:val="0"/>
                <w:color w:val="000000" w:themeColor="text1"/>
                <w14:textFill>
                  <w14:solidFill>
                    <w14:schemeClr w14:val="tx1"/>
                  </w14:solidFill>
                </w14:textFill>
              </w:rPr>
              <w:t>Ⅰ</w:t>
            </w:r>
          </w:p>
        </w:tc>
        <w:tc>
          <w:tcPr>
            <w:tcW w:w="1213" w:type="pct"/>
            <w:gridSpan w:val="3"/>
            <w:tcBorders>
              <w:top w:val="single" w:color="auto" w:sz="12" w:space="0"/>
              <w:bottom w:val="single" w:color="7E7E7E" w:themeColor="text1" w:themeTint="80" w:sz="4" w:space="0"/>
              <w:insideH w:val="single" w:sz="4" w:space="0"/>
            </w:tcBorders>
            <w:vAlign w:val="center"/>
          </w:tcPr>
          <w:p>
            <w:pPr>
              <w:pStyle w:val="332"/>
              <w:rPr>
                <w:rFonts w:eastAsia="宋体" w:cs="Times New Roman"/>
                <w:b w:val="0"/>
                <w:bCs w:val="0"/>
                <w:color w:val="000000" w:themeColor="text1"/>
                <w14:textFill>
                  <w14:solidFill>
                    <w14:schemeClr w14:val="tx1"/>
                  </w14:solidFill>
                </w14:textFill>
              </w:rPr>
            </w:pPr>
            <w:r>
              <w:rPr>
                <w:rFonts w:eastAsia="宋体" w:cs="Times New Roman"/>
                <w:b w:val="0"/>
                <w:bCs w:val="0"/>
                <w:color w:val="000000" w:themeColor="text1"/>
                <w14:textFill>
                  <w14:solidFill>
                    <w14:schemeClr w14:val="tx1"/>
                  </w14:solidFill>
                </w14:textFill>
              </w:rPr>
              <w:t>Ⅱ</w:t>
            </w:r>
          </w:p>
        </w:tc>
        <w:tc>
          <w:tcPr>
            <w:tcW w:w="1212" w:type="pct"/>
            <w:gridSpan w:val="3"/>
            <w:tcBorders>
              <w:top w:val="single" w:color="auto" w:sz="12" w:space="0"/>
              <w:bottom w:val="single" w:color="7E7E7E" w:themeColor="text1" w:themeTint="80" w:sz="4" w:space="0"/>
              <w:right w:val="single" w:color="auto" w:sz="12" w:space="0"/>
              <w:insideH w:val="single" w:sz="4" w:space="0"/>
            </w:tcBorders>
            <w:vAlign w:val="center"/>
          </w:tcPr>
          <w:p>
            <w:pPr>
              <w:pStyle w:val="332"/>
              <w:rPr>
                <w:rFonts w:eastAsia="宋体" w:cs="Times New Roman"/>
                <w:b w:val="0"/>
                <w:bCs w:val="0"/>
                <w:color w:val="000000" w:themeColor="text1"/>
                <w14:textFill>
                  <w14:solidFill>
                    <w14:schemeClr w14:val="tx1"/>
                  </w14:solidFill>
                </w14:textFill>
              </w:rPr>
            </w:pPr>
            <w:r>
              <w:rPr>
                <w:rFonts w:eastAsia="宋体" w:cs="Times New Roman"/>
                <w:b w:val="0"/>
                <w:bCs w:val="0"/>
                <w:color w:val="000000" w:themeColor="text1"/>
                <w14:textFill>
                  <w14:solidFill>
                    <w14:schemeClr w14:val="tx1"/>
                  </w14:solidFill>
                </w14:textFill>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pct"/>
            <w:vMerge w:val="continue"/>
            <w:tcBorders>
              <w:top w:val="single" w:color="7E7E7E" w:themeColor="text1" w:themeTint="80" w:sz="4" w:space="0"/>
              <w:left w:val="single" w:color="auto" w:sz="12" w:space="0"/>
              <w:bottom w:val="single" w:color="auto" w:sz="12" w:space="0"/>
            </w:tcBorders>
            <w:vAlign w:val="center"/>
          </w:tcPr>
          <w:p>
            <w:pPr>
              <w:pStyle w:val="332"/>
              <w:rPr>
                <w:rFonts w:eastAsia="宋体" w:cs="Times New Roman"/>
                <w:b w:val="0"/>
                <w:bCs w:val="0"/>
                <w:color w:val="000000" w:themeColor="text1"/>
                <w14:textFill>
                  <w14:solidFill>
                    <w14:schemeClr w14:val="tx1"/>
                  </w14:solidFill>
                </w14:textFill>
              </w:rPr>
            </w:pPr>
          </w:p>
        </w:tc>
        <w:tc>
          <w:tcPr>
            <w:tcW w:w="469" w:type="pct"/>
            <w:tcBorders>
              <w:top w:val="single" w:color="7E7E7E" w:themeColor="text1" w:themeTint="80" w:sz="4"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大</w:t>
            </w:r>
          </w:p>
        </w:tc>
        <w:tc>
          <w:tcPr>
            <w:tcW w:w="404" w:type="pct"/>
            <w:tcBorders>
              <w:top w:val="single" w:color="7E7E7E" w:themeColor="text1" w:themeTint="80" w:sz="4"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中</w:t>
            </w:r>
          </w:p>
        </w:tc>
        <w:tc>
          <w:tcPr>
            <w:tcW w:w="406" w:type="pct"/>
            <w:tcBorders>
              <w:top w:val="single" w:color="7E7E7E" w:themeColor="text1" w:themeTint="80" w:sz="4"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小</w:t>
            </w:r>
          </w:p>
        </w:tc>
        <w:tc>
          <w:tcPr>
            <w:tcW w:w="404" w:type="pct"/>
            <w:tcBorders>
              <w:top w:val="single" w:color="7E7E7E" w:themeColor="text1" w:themeTint="80" w:sz="4"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大</w:t>
            </w:r>
          </w:p>
        </w:tc>
        <w:tc>
          <w:tcPr>
            <w:tcW w:w="405" w:type="pct"/>
            <w:tcBorders>
              <w:top w:val="single" w:color="7E7E7E" w:themeColor="text1" w:themeTint="80" w:sz="4"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中</w:t>
            </w:r>
          </w:p>
        </w:tc>
        <w:tc>
          <w:tcPr>
            <w:tcW w:w="404" w:type="pct"/>
            <w:tcBorders>
              <w:top w:val="single" w:color="7E7E7E" w:themeColor="text1" w:themeTint="80" w:sz="4"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小</w:t>
            </w:r>
          </w:p>
        </w:tc>
        <w:tc>
          <w:tcPr>
            <w:tcW w:w="404" w:type="pct"/>
            <w:tcBorders>
              <w:top w:val="single" w:color="7E7E7E" w:themeColor="text1" w:themeTint="80" w:sz="4"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大</w:t>
            </w:r>
          </w:p>
        </w:tc>
        <w:tc>
          <w:tcPr>
            <w:tcW w:w="404" w:type="pct"/>
            <w:tcBorders>
              <w:top w:val="single" w:color="7E7E7E" w:themeColor="text1" w:themeTint="80" w:sz="4" w:space="0"/>
              <w:bottom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中</w:t>
            </w:r>
          </w:p>
        </w:tc>
        <w:tc>
          <w:tcPr>
            <w:tcW w:w="404" w:type="pct"/>
            <w:tcBorders>
              <w:top w:val="single" w:color="7E7E7E" w:themeColor="text1" w:themeTint="80" w:sz="4" w:space="0"/>
              <w:bottom w:val="single" w:color="auto" w:sz="12" w:space="0"/>
              <w:right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pct"/>
            <w:tcBorders>
              <w:top w:val="single" w:color="auto" w:sz="12" w:space="0"/>
              <w:left w:val="single" w:color="auto" w:sz="12" w:space="0"/>
            </w:tcBorders>
            <w:vAlign w:val="center"/>
          </w:tcPr>
          <w:p>
            <w:pPr>
              <w:pStyle w:val="332"/>
              <w:rPr>
                <w:rFonts w:eastAsia="宋体" w:cs="Times New Roman"/>
                <w:b w:val="0"/>
                <w:bCs w:val="0"/>
                <w:color w:val="000000" w:themeColor="text1"/>
                <w14:textFill>
                  <w14:solidFill>
                    <w14:schemeClr w14:val="tx1"/>
                  </w14:solidFill>
                </w14:textFill>
              </w:rPr>
            </w:pPr>
            <w:r>
              <w:rPr>
                <w:rFonts w:eastAsia="宋体" w:cs="Times New Roman"/>
                <w:b w:val="0"/>
                <w:bCs w:val="0"/>
                <w:color w:val="000000" w:themeColor="text1"/>
                <w14:textFill>
                  <w14:solidFill>
                    <w14:schemeClr w14:val="tx1"/>
                  </w14:solidFill>
                </w14:textFill>
              </w:rPr>
              <w:t>敏感</w:t>
            </w:r>
          </w:p>
        </w:tc>
        <w:tc>
          <w:tcPr>
            <w:tcW w:w="469" w:type="pct"/>
            <w:tcBorders>
              <w:top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一级</w:t>
            </w:r>
          </w:p>
        </w:tc>
        <w:tc>
          <w:tcPr>
            <w:tcW w:w="404" w:type="pct"/>
            <w:tcBorders>
              <w:top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一级</w:t>
            </w:r>
          </w:p>
        </w:tc>
        <w:tc>
          <w:tcPr>
            <w:tcW w:w="406" w:type="pct"/>
            <w:tcBorders>
              <w:top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一级</w:t>
            </w:r>
          </w:p>
        </w:tc>
        <w:tc>
          <w:tcPr>
            <w:tcW w:w="404" w:type="pct"/>
            <w:tcBorders>
              <w:top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二级</w:t>
            </w:r>
          </w:p>
        </w:tc>
        <w:tc>
          <w:tcPr>
            <w:tcW w:w="405" w:type="pct"/>
            <w:tcBorders>
              <w:top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二级</w:t>
            </w:r>
          </w:p>
        </w:tc>
        <w:tc>
          <w:tcPr>
            <w:tcW w:w="404" w:type="pct"/>
            <w:tcBorders>
              <w:top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二级</w:t>
            </w:r>
          </w:p>
        </w:tc>
        <w:tc>
          <w:tcPr>
            <w:tcW w:w="404" w:type="pct"/>
            <w:tcBorders>
              <w:top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c>
          <w:tcPr>
            <w:tcW w:w="404" w:type="pct"/>
            <w:tcBorders>
              <w:top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c>
          <w:tcPr>
            <w:tcW w:w="404" w:type="pct"/>
            <w:tcBorders>
              <w:top w:val="single" w:color="auto" w:sz="12" w:space="0"/>
              <w:right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pct"/>
            <w:tcBorders>
              <w:top w:val="single" w:color="7E7E7E" w:themeColor="text1" w:themeTint="80" w:sz="4" w:space="0"/>
              <w:left w:val="single" w:color="auto" w:sz="12" w:space="0"/>
              <w:bottom w:val="single" w:color="7E7E7E" w:themeColor="text1" w:themeTint="80" w:sz="4" w:space="0"/>
              <w:insideH w:val="single" w:sz="4" w:space="0"/>
            </w:tcBorders>
            <w:vAlign w:val="center"/>
          </w:tcPr>
          <w:p>
            <w:pPr>
              <w:pStyle w:val="332"/>
              <w:rPr>
                <w:rFonts w:eastAsia="宋体" w:cs="Times New Roman"/>
                <w:b w:val="0"/>
                <w:bCs w:val="0"/>
                <w:color w:val="000000" w:themeColor="text1"/>
                <w14:textFill>
                  <w14:solidFill>
                    <w14:schemeClr w14:val="tx1"/>
                  </w14:solidFill>
                </w14:textFill>
              </w:rPr>
            </w:pPr>
            <w:r>
              <w:rPr>
                <w:rFonts w:eastAsia="宋体" w:cs="Times New Roman"/>
                <w:b w:val="0"/>
                <w:bCs w:val="0"/>
                <w:color w:val="000000" w:themeColor="text1"/>
                <w14:textFill>
                  <w14:solidFill>
                    <w14:schemeClr w14:val="tx1"/>
                  </w14:solidFill>
                </w14:textFill>
              </w:rPr>
              <w:t>较敏感</w:t>
            </w:r>
          </w:p>
        </w:tc>
        <w:tc>
          <w:tcPr>
            <w:tcW w:w="469" w:type="pct"/>
            <w:tcBorders>
              <w:top w:val="single" w:color="7E7E7E" w:themeColor="text1" w:themeTint="80" w:sz="4" w:space="0"/>
              <w:bottom w:val="single" w:color="7E7E7E" w:themeColor="text1" w:themeTint="80" w:sz="4" w:space="0"/>
              <w:insideH w:val="single"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一级</w:t>
            </w:r>
          </w:p>
        </w:tc>
        <w:tc>
          <w:tcPr>
            <w:tcW w:w="404" w:type="pct"/>
            <w:tcBorders>
              <w:top w:val="single" w:color="7E7E7E" w:themeColor="text1" w:themeTint="80" w:sz="4" w:space="0"/>
              <w:bottom w:val="single" w:color="7E7E7E" w:themeColor="text1" w:themeTint="80" w:sz="4" w:space="0"/>
              <w:insideH w:val="single"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一级</w:t>
            </w:r>
          </w:p>
        </w:tc>
        <w:tc>
          <w:tcPr>
            <w:tcW w:w="406" w:type="pct"/>
            <w:tcBorders>
              <w:top w:val="single" w:color="7E7E7E" w:themeColor="text1" w:themeTint="80" w:sz="4" w:space="0"/>
              <w:bottom w:val="single" w:color="7E7E7E" w:themeColor="text1" w:themeTint="80" w:sz="4" w:space="0"/>
              <w:insideH w:val="single"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二级</w:t>
            </w:r>
          </w:p>
        </w:tc>
        <w:tc>
          <w:tcPr>
            <w:tcW w:w="404" w:type="pct"/>
            <w:tcBorders>
              <w:top w:val="single" w:color="7E7E7E" w:themeColor="text1" w:themeTint="80" w:sz="4" w:space="0"/>
              <w:bottom w:val="single" w:color="7E7E7E" w:themeColor="text1" w:themeTint="80" w:sz="4" w:space="0"/>
              <w:insideH w:val="single"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二级</w:t>
            </w:r>
          </w:p>
        </w:tc>
        <w:tc>
          <w:tcPr>
            <w:tcW w:w="405" w:type="pct"/>
            <w:tcBorders>
              <w:top w:val="single" w:color="7E7E7E" w:themeColor="text1" w:themeTint="80" w:sz="4" w:space="0"/>
              <w:bottom w:val="single" w:color="7E7E7E" w:themeColor="text1" w:themeTint="80" w:sz="4" w:space="0"/>
              <w:insideH w:val="single"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二级</w:t>
            </w:r>
          </w:p>
        </w:tc>
        <w:tc>
          <w:tcPr>
            <w:tcW w:w="404" w:type="pct"/>
            <w:tcBorders>
              <w:top w:val="single" w:color="7E7E7E" w:themeColor="text1" w:themeTint="80" w:sz="4" w:space="0"/>
              <w:bottom w:val="single" w:color="7E7E7E" w:themeColor="text1" w:themeTint="80" w:sz="4" w:space="0"/>
              <w:insideH w:val="single"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c>
          <w:tcPr>
            <w:tcW w:w="404" w:type="pct"/>
            <w:tcBorders>
              <w:top w:val="single" w:color="7E7E7E" w:themeColor="text1" w:themeTint="80" w:sz="4" w:space="0"/>
              <w:bottom w:val="single" w:color="7E7E7E" w:themeColor="text1" w:themeTint="80" w:sz="4" w:space="0"/>
              <w:insideH w:val="single"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c>
          <w:tcPr>
            <w:tcW w:w="404" w:type="pct"/>
            <w:tcBorders>
              <w:top w:val="single" w:color="7E7E7E" w:themeColor="text1" w:themeTint="80" w:sz="4" w:space="0"/>
              <w:bottom w:val="single" w:color="7E7E7E" w:themeColor="text1" w:themeTint="80" w:sz="4" w:space="0"/>
              <w:insideH w:val="single"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c>
          <w:tcPr>
            <w:tcW w:w="404" w:type="pct"/>
            <w:tcBorders>
              <w:top w:val="single" w:color="7E7E7E" w:themeColor="text1" w:themeTint="80" w:sz="4" w:space="0"/>
              <w:bottom w:val="single" w:color="7E7E7E" w:themeColor="text1" w:themeTint="80" w:sz="4" w:space="0"/>
              <w:right w:val="single" w:color="auto" w:sz="12" w:space="0"/>
              <w:insideH w:val="single" w:sz="4"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6" w:type="pct"/>
            <w:tcBorders>
              <w:left w:val="single" w:color="auto" w:sz="12" w:space="0"/>
            </w:tcBorders>
            <w:vAlign w:val="center"/>
          </w:tcPr>
          <w:p>
            <w:pPr>
              <w:pStyle w:val="332"/>
              <w:rPr>
                <w:rFonts w:eastAsia="宋体" w:cs="Times New Roman"/>
                <w:b w:val="0"/>
                <w:bCs w:val="0"/>
                <w:color w:val="000000" w:themeColor="text1"/>
                <w14:textFill>
                  <w14:solidFill>
                    <w14:schemeClr w14:val="tx1"/>
                  </w14:solidFill>
                </w14:textFill>
              </w:rPr>
            </w:pPr>
            <w:r>
              <w:rPr>
                <w:rFonts w:eastAsia="宋体" w:cs="Times New Roman"/>
                <w:b w:val="0"/>
                <w:bCs w:val="0"/>
                <w:color w:val="000000" w:themeColor="text1"/>
                <w14:textFill>
                  <w14:solidFill>
                    <w14:schemeClr w14:val="tx1"/>
                  </w14:solidFill>
                </w14:textFill>
              </w:rPr>
              <w:t>不敏感</w:t>
            </w:r>
          </w:p>
        </w:tc>
        <w:tc>
          <w:tcPr>
            <w:tcW w:w="469" w:type="pct"/>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一级</w:t>
            </w:r>
          </w:p>
        </w:tc>
        <w:tc>
          <w:tcPr>
            <w:tcW w:w="404" w:type="pct"/>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二级</w:t>
            </w:r>
          </w:p>
        </w:tc>
        <w:tc>
          <w:tcPr>
            <w:tcW w:w="406" w:type="pct"/>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二级</w:t>
            </w:r>
          </w:p>
        </w:tc>
        <w:tc>
          <w:tcPr>
            <w:tcW w:w="404" w:type="pct"/>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二级</w:t>
            </w:r>
          </w:p>
        </w:tc>
        <w:tc>
          <w:tcPr>
            <w:tcW w:w="405" w:type="pct"/>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c>
          <w:tcPr>
            <w:tcW w:w="404" w:type="pct"/>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c>
          <w:tcPr>
            <w:tcW w:w="404" w:type="pct"/>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三级</w:t>
            </w:r>
          </w:p>
        </w:tc>
        <w:tc>
          <w:tcPr>
            <w:tcW w:w="404" w:type="pct"/>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c>
          <w:tcPr>
            <w:tcW w:w="404" w:type="pct"/>
            <w:tcBorders>
              <w:right w:val="single" w:color="auto" w:sz="12" w:space="0"/>
            </w:tcBorders>
            <w:vAlign w:val="center"/>
          </w:tcPr>
          <w:p>
            <w:pPr>
              <w:pStyle w:val="332"/>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0"/>
            <w:tcBorders>
              <w:top w:val="single" w:color="7E7E7E" w:themeColor="text1" w:themeTint="80" w:sz="4" w:space="0"/>
              <w:left w:val="single" w:color="auto" w:sz="12" w:space="0"/>
              <w:bottom w:val="single" w:color="auto" w:sz="12" w:space="0"/>
              <w:right w:val="single" w:color="auto" w:sz="12" w:space="0"/>
            </w:tcBorders>
            <w:vAlign w:val="center"/>
          </w:tcPr>
          <w:p>
            <w:pPr>
              <w:pStyle w:val="332"/>
              <w:jc w:val="both"/>
              <w:rPr>
                <w:rFonts w:eastAsia="宋体" w:cs="Times New Roman"/>
                <w:b w:val="0"/>
                <w:bCs w:val="0"/>
                <w:color w:val="000000" w:themeColor="text1"/>
                <w14:textFill>
                  <w14:solidFill>
                    <w14:schemeClr w14:val="tx1"/>
                  </w14:solidFill>
                </w14:textFill>
              </w:rPr>
            </w:pPr>
            <w:r>
              <w:rPr>
                <w:rFonts w:eastAsia="宋体" w:cs="Times New Roman"/>
                <w:b w:val="0"/>
                <w:bCs w:val="0"/>
                <w:color w:val="000000" w:themeColor="text1"/>
                <w14:textFill>
                  <w14:solidFill>
                    <w14:schemeClr w14:val="tx1"/>
                  </w14:solidFill>
                </w14:textFill>
              </w:rPr>
              <w:t>注：“-”表示可不开展土壤环境影响评价工作</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本项目周边涉及耕地，确定污染影响型敏感程度为敏感。因此，污染影响型土壤评价等级为三级。</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（2）生态型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生态影响型敏感程度分级判断2.4-12，生态影响型评价等级划分依据见表2.4-13。</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2.4-12 </w:t>
      </w:r>
      <w:r>
        <w:rPr>
          <w:rFonts w:cs="Times New Roman"/>
          <w:color w:val="000000" w:themeColor="text1"/>
          <w14:textFill>
            <w14:solidFill>
              <w14:schemeClr w14:val="tx1"/>
            </w14:solidFill>
          </w14:textFill>
        </w:rPr>
        <w:t>生态影响型敏感程度分级表</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4807"/>
        <w:gridCol w:w="1603"/>
        <w:gridCol w:w="15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6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敏感</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程度</w:t>
            </w:r>
          </w:p>
        </w:tc>
        <w:tc>
          <w:tcPr>
            <w:tcW w:w="4437" w:type="pct"/>
            <w:gridSpan w:val="3"/>
            <w:tcBorders>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判别依据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63" w:type="pct"/>
            <w:vMerge w:val="continue"/>
            <w:tcBorders>
              <w:bottom w:val="single" w:color="auto" w:sz="12" w:space="0"/>
            </w:tcBorders>
            <w:vAlign w:val="center"/>
          </w:tcPr>
          <w:p>
            <w:pPr>
              <w:pStyle w:val="332"/>
              <w:widowControl w:val="0"/>
              <w:rPr>
                <w:color w:val="000000" w:themeColor="text1"/>
                <w14:textFill>
                  <w14:solidFill>
                    <w14:schemeClr w14:val="tx1"/>
                  </w14:solidFill>
                </w14:textFill>
              </w:rPr>
            </w:pPr>
          </w:p>
        </w:tc>
        <w:tc>
          <w:tcPr>
            <w:tcW w:w="2690" w:type="pct"/>
            <w:tcBorders>
              <w:top w:val="single" w:color="auto" w:sz="4"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盐化</w:t>
            </w:r>
          </w:p>
        </w:tc>
        <w:tc>
          <w:tcPr>
            <w:tcW w:w="897" w:type="pct"/>
            <w:tcBorders>
              <w:top w:val="single" w:color="auto" w:sz="4"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酸化</w:t>
            </w:r>
          </w:p>
        </w:tc>
        <w:tc>
          <w:tcPr>
            <w:tcW w:w="850" w:type="pct"/>
            <w:tcBorders>
              <w:top w:val="single" w:color="auto" w:sz="4"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碱化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敏感</w:t>
            </w:r>
          </w:p>
        </w:tc>
        <w:tc>
          <w:tcPr>
            <w:tcW w:w="2690" w:type="pct"/>
            <w:tcBorders>
              <w:top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建设项目所在地干燥度</w:t>
            </w:r>
            <w:r>
              <w:rPr>
                <w:color w:val="000000" w:themeColor="text1"/>
                <w:vertAlign w:val="superscript"/>
                <w14:textFill>
                  <w14:solidFill>
                    <w14:schemeClr w14:val="tx1"/>
                  </w14:solidFill>
                </w14:textFill>
              </w:rPr>
              <w:t>a</w:t>
            </w:r>
            <w:r>
              <w:rPr>
                <w:color w:val="000000" w:themeColor="text1"/>
                <w14:textFill>
                  <w14:solidFill>
                    <w14:schemeClr w14:val="tx1"/>
                  </w14:solidFill>
                </w14:textFill>
              </w:rPr>
              <w:t>＞2.5且常年地下水位平均埋深&lt;1.5 m的地势平坦区域；或土壤含盐量&gt;4g/kg的区域</w:t>
            </w:r>
          </w:p>
        </w:tc>
        <w:tc>
          <w:tcPr>
            <w:tcW w:w="897"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pH≤4.5</w:t>
            </w:r>
          </w:p>
        </w:tc>
        <w:tc>
          <w:tcPr>
            <w:tcW w:w="850"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pH≥9.0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较敏感</w:t>
            </w:r>
          </w:p>
        </w:tc>
        <w:tc>
          <w:tcPr>
            <w:tcW w:w="2690" w:type="pct"/>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建设项目所在地干燥度</w:t>
            </w:r>
            <w:r>
              <w:rPr>
                <w:rFonts w:cs="Times New Roman"/>
                <w:color w:val="000000" w:themeColor="text1"/>
                <w:kern w:val="44"/>
                <w:sz w:val="21"/>
                <w:szCs w:val="24"/>
                <w:vertAlign w:val="superscript"/>
                <w14:textFill>
                  <w14:solidFill>
                    <w14:schemeClr w14:val="tx1"/>
                  </w14:solidFill>
                </w14:textFill>
              </w:rPr>
              <w:t>a</w:t>
            </w:r>
            <w:r>
              <w:rPr>
                <w:rFonts w:cs="Times New Roman"/>
                <w:color w:val="000000" w:themeColor="text1"/>
                <w14:textFill>
                  <w14:solidFill>
                    <w14:schemeClr w14:val="tx1"/>
                  </w14:solidFill>
                </w14:textFill>
              </w:rPr>
              <w:t>＞</w:t>
            </w:r>
            <w:r>
              <w:rPr>
                <w:rFonts w:cs="Times New Roman"/>
                <w:color w:val="000000" w:themeColor="text1"/>
                <w:kern w:val="0"/>
                <w:sz w:val="21"/>
                <w:szCs w:val="21"/>
                <w14:textFill>
                  <w14:solidFill>
                    <w14:schemeClr w14:val="tx1"/>
                  </w14:solidFill>
                </w14:textFill>
              </w:rPr>
              <w:t xml:space="preserve">2.5且常年地下水位平均埋深≥1.5 m的，或1.8＜干燥度≤2.5且常年地下水位平均埋深＜1.8 m的地势平坦区域；建设项目所在地干燥度＞2.5或常年地下水位平均埋深＜1.5 m的平原区； </w:t>
            </w:r>
          </w:p>
        </w:tc>
        <w:tc>
          <w:tcPr>
            <w:tcW w:w="897"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4.5＜pH≤5.5</w:t>
            </w:r>
          </w:p>
        </w:tc>
        <w:tc>
          <w:tcPr>
            <w:tcW w:w="85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8.5≤pH＜9.0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3" w:type="pct"/>
            <w:vAlign w:val="center"/>
          </w:tcPr>
          <w:p>
            <w:pPr>
              <w:pStyle w:val="332"/>
              <w:widowControl w:val="0"/>
              <w:jc w:val="left"/>
              <w:rPr>
                <w:color w:val="000000" w:themeColor="text1"/>
                <w14:textFill>
                  <w14:solidFill>
                    <w14:schemeClr w14:val="tx1"/>
                  </w14:solidFill>
                </w14:textFill>
              </w:rPr>
            </w:pPr>
            <w:r>
              <w:rPr>
                <w:color w:val="000000" w:themeColor="text1"/>
                <w14:textFill>
                  <w14:solidFill>
                    <w14:schemeClr w14:val="tx1"/>
                  </w14:solidFill>
                </w14:textFill>
              </w:rPr>
              <w:t>不敏感</w:t>
            </w:r>
          </w:p>
        </w:tc>
        <w:tc>
          <w:tcPr>
            <w:tcW w:w="269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其他</w:t>
            </w:r>
          </w:p>
        </w:tc>
        <w:tc>
          <w:tcPr>
            <w:tcW w:w="1747" w:type="pct"/>
            <w:gridSpan w:val="2"/>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5.5＜pH＜8.5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pPr>
              <w:pStyle w:val="332"/>
              <w:widowControl w:val="0"/>
              <w:jc w:val="both"/>
              <w:rPr>
                <w:color w:val="000000" w:themeColor="text1"/>
                <w14:textFill>
                  <w14:solidFill>
                    <w14:schemeClr w14:val="tx1"/>
                  </w14:solidFill>
                </w14:textFill>
              </w:rPr>
            </w:pPr>
            <w:r>
              <w:rPr>
                <w:color w:val="000000" w:themeColor="text1"/>
                <w:vertAlign w:val="superscript"/>
                <w14:textFill>
                  <w14:solidFill>
                    <w14:schemeClr w14:val="tx1"/>
                  </w14:solidFill>
                </w14:textFill>
              </w:rPr>
              <w:t>a</w:t>
            </w:r>
            <w:r>
              <w:rPr>
                <w:color w:val="000000" w:themeColor="text1"/>
                <w:kern w:val="0"/>
                <w:szCs w:val="21"/>
                <w14:textFill>
                  <w14:solidFill>
                    <w14:schemeClr w14:val="tx1"/>
                  </w14:solidFill>
                </w14:textFill>
              </w:rPr>
              <w:t>是指采用E601观测的多年平均水面蒸发量与降水量的比值，即蒸降比值</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17780</wp:posOffset>
                </wp:positionH>
                <wp:positionV relativeFrom="paragraph">
                  <wp:posOffset>560070</wp:posOffset>
                </wp:positionV>
                <wp:extent cx="1610995" cy="220345"/>
                <wp:effectExtent l="0" t="0" r="8255" b="8255"/>
                <wp:wrapNone/>
                <wp:docPr id="27" name="AutoShape 3443"/>
                <wp:cNvGraphicFramePr/>
                <a:graphic xmlns:a="http://schemas.openxmlformats.org/drawingml/2006/main">
                  <a:graphicData uri="http://schemas.microsoft.com/office/word/2010/wordprocessingShape">
                    <wps:wsp>
                      <wps:cNvCnPr>
                        <a:cxnSpLocks noChangeShapeType="true"/>
                      </wps:cNvCnPr>
                      <wps:spPr bwMode="auto">
                        <a:xfrm>
                          <a:off x="0" y="0"/>
                          <a:ext cx="1610995" cy="220345"/>
                        </a:xfrm>
                        <a:prstGeom prst="straightConnector1">
                          <a:avLst/>
                        </a:prstGeom>
                        <a:noFill/>
                        <a:ln w="9525">
                          <a:solidFill>
                            <a:srgbClr val="000000"/>
                          </a:solidFill>
                          <a:round/>
                        </a:ln>
                      </wps:spPr>
                      <wps:bodyPr/>
                    </wps:wsp>
                  </a:graphicData>
                </a:graphic>
              </wp:anchor>
            </w:drawing>
          </mc:Choice>
          <mc:Fallback>
            <w:pict>
              <v:shape id="AutoShape 3443" o:spid="_x0000_s1026" o:spt="32" type="#_x0000_t32" style="position:absolute;left:0pt;margin-left:1.4pt;margin-top:44.1pt;height:17.35pt;width:126.85pt;z-index:251739136;mso-width-relative:page;mso-height-relative:page;" filled="f" stroked="t" coordsize="21600,21600" o:gfxdata="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A2CB0t1gAAAAgBAAAPAAAAAAAA&#10;AAEAIAAAADgAAABkcnMvZG93bnJldi54bWxQSwECFAAUAAAACACHTuJAa5d60sUBAABwAwAADgAA&#10;AAAAAAABACAAAAA7AQAAZHJzL2Uyb0RvYy54bWxQSwUGAAAAAAYABgBZAQAAcgUAAAAA&#10;">
                <v:fill on="f" focussize="0,0"/>
                <v:stroke color="#000000" joinstyle="round"/>
                <v:imagedata o:title=""/>
                <o:lock v:ext="edit" aspectratio="f"/>
              </v:shape>
            </w:pict>
          </mc:Fallback>
        </mc:AlternateContent>
      </w:r>
      <w:r>
        <w:rPr>
          <w:rFonts w:cs="Times New Roman"/>
          <w:color w:val="000000" w:themeColor="text1"/>
          <w14:textFill>
            <w14:solidFill>
              <w14:schemeClr w14:val="tx1"/>
            </w14:solidFill>
          </w14:textFill>
        </w:rPr>
        <w:t>表2.4-13 生态影响型评价工作等级划分表</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580"/>
        <w:gridCol w:w="2068"/>
        <w:gridCol w:w="2070"/>
        <w:gridCol w:w="20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68" w:type="pct"/>
            <w:tcBorders>
              <w:top w:val="single" w:color="auto" w:sz="12" w:space="0"/>
              <w:bottom w:val="single" w:color="auto" w:sz="12" w:space="0"/>
              <w:tl2br w:val="nil"/>
            </w:tcBorders>
            <w:vAlign w:val="center"/>
          </w:tcPr>
          <w:p>
            <w:pPr>
              <w:pStyle w:val="332"/>
              <w:jc w:val="right"/>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844550</wp:posOffset>
                      </wp:positionH>
                      <wp:positionV relativeFrom="paragraph">
                        <wp:posOffset>-6350</wp:posOffset>
                      </wp:positionV>
                      <wp:extent cx="756285" cy="519430"/>
                      <wp:effectExtent l="0" t="0" r="5715" b="13970"/>
                      <wp:wrapNone/>
                      <wp:docPr id="26" name="AutoShape 3442"/>
                      <wp:cNvGraphicFramePr/>
                      <a:graphic xmlns:a="http://schemas.openxmlformats.org/drawingml/2006/main">
                        <a:graphicData uri="http://schemas.microsoft.com/office/word/2010/wordprocessingShape">
                          <wps:wsp>
                            <wps:cNvCnPr>
                              <a:cxnSpLocks noChangeShapeType="true"/>
                            </wps:cNvCnPr>
                            <wps:spPr bwMode="auto">
                              <a:xfrm>
                                <a:off x="0" y="0"/>
                                <a:ext cx="756285" cy="519430"/>
                              </a:xfrm>
                              <a:prstGeom prst="straightConnector1">
                                <a:avLst/>
                              </a:prstGeom>
                              <a:noFill/>
                              <a:ln w="9525">
                                <a:solidFill>
                                  <a:srgbClr val="000000"/>
                                </a:solidFill>
                                <a:round/>
                              </a:ln>
                            </wps:spPr>
                            <wps:bodyPr/>
                          </wps:wsp>
                        </a:graphicData>
                      </a:graphic>
                    </wp:anchor>
                  </w:drawing>
                </mc:Choice>
                <mc:Fallback>
                  <w:pict>
                    <v:shape id="AutoShape 3442" o:spid="_x0000_s1026" o:spt="32" type="#_x0000_t32" style="position:absolute;left:0pt;margin-left:66.5pt;margin-top:-0.5pt;height:40.9pt;width:59.55pt;z-index:251738112;mso-width-relative:page;mso-height-relative:page;" filled="f" stroked="t" coordsize="21600,21600" o:gfxdata="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WAAAAZHJzL1BLAQIUABQAAAAIAIdO4kChpiGu2AAAAAkBAAAPAAAA&#10;AAAAAAEAIAAAADgAAABkcnMvZG93bnJldi54bWxQSwECFAAUAAAACACHTuJA+DzkFMYBAABvAwAA&#10;DgAAAAAAAAABACAAAAA9AQAAZHJzL2Uyb0RvYy54bWxQSwUGAAAAAAYABgBZAQAAdQUAAAAA&#10;">
                      <v:fill on="f" focussize="0,0"/>
                      <v:stroke color="#000000" joinstyle="round"/>
                      <v:imagedata o:title=""/>
                      <o:lock v:ext="edit" aspectratio="f"/>
                    </v:shape>
                  </w:pict>
                </mc:Fallback>
              </mc:AlternateContent>
            </w:r>
            <w:r>
              <w:rPr>
                <w:color w:val="000000" w:themeColor="text1"/>
                <w14:textFill>
                  <w14:solidFill>
                    <w14:schemeClr w14:val="tx1"/>
                  </w14:solidFill>
                </w14:textFill>
              </w:rPr>
              <w:t>项目类别</w:t>
            </w:r>
          </w:p>
          <w:p>
            <w:pPr>
              <w:pStyle w:val="332"/>
              <w:rPr>
                <w:color w:val="000000" w:themeColor="text1"/>
                <w14:textFill>
                  <w14:solidFill>
                    <w14:schemeClr w14:val="tx1"/>
                  </w14:solidFill>
                </w14:textFill>
              </w:rPr>
            </w:pPr>
            <w:r>
              <w:rPr>
                <w:color w:val="000000" w:themeColor="text1"/>
                <w14:textFill>
                  <w14:solidFill>
                    <w14:schemeClr w14:val="tx1"/>
                  </w14:solidFill>
                </w14:textFill>
              </w:rPr>
              <w:t>评价工作等级</w:t>
            </w:r>
          </w:p>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敏感程度</w:t>
            </w:r>
          </w:p>
        </w:tc>
        <w:tc>
          <w:tcPr>
            <w:tcW w:w="117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Ⅰ类</w:t>
            </w:r>
          </w:p>
        </w:tc>
        <w:tc>
          <w:tcPr>
            <w:tcW w:w="117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Ⅱ类</w:t>
            </w:r>
          </w:p>
        </w:tc>
        <w:tc>
          <w:tcPr>
            <w:tcW w:w="117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68"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敏感</w:t>
            </w:r>
          </w:p>
        </w:tc>
        <w:tc>
          <w:tcPr>
            <w:tcW w:w="117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1178"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1178"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6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较敏感</w:t>
            </w:r>
          </w:p>
        </w:tc>
        <w:tc>
          <w:tcPr>
            <w:tcW w:w="117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117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117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6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不敏感</w:t>
            </w:r>
          </w:p>
        </w:tc>
        <w:tc>
          <w:tcPr>
            <w:tcW w:w="117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117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117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4"/>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注：“-”表示可不开展突然环境影响评价工作</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根据屯留区多年气象统计资料可知，屯留区多年平均降水量为538.6 mm，年平均蒸发量为1670.6 mm，计算其干燥度为3.10＞2.5；且评价区土壤含盐量为0.07~0.12 g/kg，为未盐化；pH为8.36~8.49，属于无酸化或碱化。故判定生态影响型敏感程度等级为“较敏感”，生态影响型评价等级为三级。</w:t>
      </w:r>
    </w:p>
    <w:bookmarkEnd w:id="223"/>
    <w:p>
      <w:pPr>
        <w:pStyle w:val="4"/>
        <w:rPr>
          <w:rFonts w:cs="Times New Roman"/>
          <w:color w:val="000000" w:themeColor="text1"/>
          <w14:textFill>
            <w14:solidFill>
              <w14:schemeClr w14:val="tx1"/>
            </w14:solidFill>
          </w14:textFill>
        </w:rPr>
      </w:pPr>
      <w:bookmarkStart w:id="224" w:name="_Toc91163843"/>
      <w:bookmarkStart w:id="225" w:name="_Toc47619457"/>
      <w:bookmarkStart w:id="226" w:name="_Toc47619788"/>
      <w:bookmarkStart w:id="227" w:name="_Toc47619351"/>
      <w:bookmarkStart w:id="228" w:name="_Toc52791843"/>
      <w:bookmarkStart w:id="229" w:name="_Toc47619974"/>
      <w:bookmarkStart w:id="230" w:name="_Toc58362742"/>
      <w:bookmarkStart w:id="231" w:name="_Toc47619126"/>
      <w:r>
        <w:rPr>
          <w:rFonts w:cs="Times New Roman"/>
          <w:color w:val="000000" w:themeColor="text1"/>
          <w14:textFill>
            <w14:solidFill>
              <w14:schemeClr w14:val="tx1"/>
            </w14:solidFill>
          </w14:textFill>
        </w:rPr>
        <w:t>2.4.6 生态环境</w:t>
      </w:r>
      <w:bookmarkEnd w:id="224"/>
    </w:p>
    <w:p>
      <w:pPr>
        <w:pStyle w:val="3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根据《环境影响评价技术导则 生态影响》（HJ19-2011），划分生态影响评价工作等级的依据见下表。</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表2.4-14 生态环境评价工作等级划分表</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2258"/>
        <w:gridCol w:w="2405"/>
        <w:gridCol w:w="24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vMerge w:val="restar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影响区域生态敏感性</w:t>
            </w:r>
          </w:p>
        </w:tc>
        <w:tc>
          <w:tcPr>
            <w:tcW w:w="3949" w:type="pct"/>
            <w:gridSpan w:val="3"/>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工程占地（水域）范围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vMerge w:val="continue"/>
            <w:tcBorders>
              <w:bottom w:val="single" w:color="auto" w:sz="12" w:space="0"/>
            </w:tcBorders>
            <w:shd w:val="clear" w:color="auto" w:fill="auto"/>
            <w:vAlign w:val="center"/>
          </w:tcPr>
          <w:p>
            <w:pPr>
              <w:pStyle w:val="332"/>
              <w:rPr>
                <w:color w:val="000000" w:themeColor="text1"/>
                <w14:textFill>
                  <w14:solidFill>
                    <w14:schemeClr w14:val="tx1"/>
                  </w14:solidFill>
                </w14:textFill>
              </w:rPr>
            </w:pPr>
          </w:p>
        </w:tc>
        <w:tc>
          <w:tcPr>
            <w:tcW w:w="1262"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面积≥20km</w:t>
            </w:r>
            <w:r>
              <w:rPr>
                <w:color w:val="000000" w:themeColor="text1"/>
                <w:vertAlign w:val="superscript"/>
                <w14:textFill>
                  <w14:solidFill>
                    <w14:schemeClr w14:val="tx1"/>
                  </w14:solidFill>
                </w14:textFill>
              </w:rPr>
              <w:t>2</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或长度≥100km</w:t>
            </w:r>
          </w:p>
        </w:tc>
        <w:tc>
          <w:tcPr>
            <w:tcW w:w="1344" w:type="pct"/>
            <w:tcBorders>
              <w:bottom w:val="single" w:color="auto" w:sz="12" w:space="0"/>
            </w:tcBorders>
            <w:shd w:val="clear" w:color="auto" w:fill="auto"/>
            <w:vAlign w:val="center"/>
          </w:tcPr>
          <w:p>
            <w:pPr>
              <w:pStyle w:val="332"/>
              <w:rPr>
                <w:color w:val="000000" w:themeColor="text1"/>
                <w:vertAlign w:val="superscript"/>
                <w14:textFill>
                  <w14:solidFill>
                    <w14:schemeClr w14:val="tx1"/>
                  </w14:solidFill>
                </w14:textFill>
              </w:rPr>
            </w:pPr>
            <w:r>
              <w:rPr>
                <w:color w:val="000000" w:themeColor="text1"/>
                <w14:textFill>
                  <w14:solidFill>
                    <w14:schemeClr w14:val="tx1"/>
                  </w14:solidFill>
                </w14:textFill>
              </w:rPr>
              <w:t>面积2km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~20km</w:t>
            </w:r>
            <w:r>
              <w:rPr>
                <w:color w:val="000000" w:themeColor="text1"/>
                <w:vertAlign w:val="superscript"/>
                <w14:textFill>
                  <w14:solidFill>
                    <w14:schemeClr w14:val="tx1"/>
                  </w14:solidFill>
                </w14:textFill>
              </w:rPr>
              <w:t>2</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或长度50km~100km</w:t>
            </w:r>
          </w:p>
        </w:tc>
        <w:tc>
          <w:tcPr>
            <w:tcW w:w="1343" w:type="pct"/>
            <w:tcBorders>
              <w:bottom w:val="single" w:color="auto" w:sz="12" w:space="0"/>
            </w:tcBorders>
            <w:shd w:val="clear" w:color="auto" w:fill="auto"/>
            <w:vAlign w:val="center"/>
          </w:tcPr>
          <w:p>
            <w:pPr>
              <w:pStyle w:val="332"/>
              <w:rPr>
                <w:color w:val="000000" w:themeColor="text1"/>
                <w:vertAlign w:val="superscript"/>
                <w14:textFill>
                  <w14:solidFill>
                    <w14:schemeClr w14:val="tx1"/>
                  </w14:solidFill>
                </w14:textFill>
              </w:rPr>
            </w:pPr>
            <w:r>
              <w:rPr>
                <w:color w:val="000000" w:themeColor="text1"/>
                <w14:textFill>
                  <w14:solidFill>
                    <w14:schemeClr w14:val="tx1"/>
                  </w14:solidFill>
                </w14:textFill>
              </w:rPr>
              <w:t>面积≤2km</w:t>
            </w:r>
            <w:r>
              <w:rPr>
                <w:color w:val="000000" w:themeColor="text1"/>
                <w:vertAlign w:val="superscript"/>
                <w14:textFill>
                  <w14:solidFill>
                    <w14:schemeClr w14:val="tx1"/>
                  </w14:solidFill>
                </w14:textFill>
              </w:rPr>
              <w:t>2</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或长度≤50km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tcBorders>
              <w:top w:val="single" w:color="auto" w:sz="12" w:space="0"/>
              <w:bottom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特殊生态敏感区</w:t>
            </w:r>
          </w:p>
        </w:tc>
        <w:tc>
          <w:tcPr>
            <w:tcW w:w="1262" w:type="pct"/>
            <w:tcBorders>
              <w:top w:val="single" w:color="auto" w:sz="12" w:space="0"/>
              <w:bottom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1344" w:type="pct"/>
            <w:tcBorders>
              <w:top w:val="single" w:color="auto" w:sz="12" w:space="0"/>
              <w:bottom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1343" w:type="pct"/>
            <w:tcBorders>
              <w:top w:val="single" w:color="auto" w:sz="12" w:space="0"/>
              <w:bottom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tcBorders>
              <w:top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重要生态敏感区</w:t>
            </w:r>
          </w:p>
        </w:tc>
        <w:tc>
          <w:tcPr>
            <w:tcW w:w="1262" w:type="pct"/>
            <w:tcBorders>
              <w:top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1344" w:type="pct"/>
            <w:tcBorders>
              <w:top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1343" w:type="pct"/>
            <w:tcBorders>
              <w:top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51"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一般区域</w:t>
            </w:r>
          </w:p>
        </w:tc>
        <w:tc>
          <w:tcPr>
            <w:tcW w:w="1262"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二级</w:t>
            </w:r>
          </w:p>
        </w:tc>
        <w:tc>
          <w:tcPr>
            <w:tcW w:w="1344"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三级</w:t>
            </w:r>
          </w:p>
        </w:tc>
        <w:tc>
          <w:tcPr>
            <w:tcW w:w="1343"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op w:val="single" w:color="auto" w:sz="12" w:space="0"/>
              <w:bottom w:val="single" w:color="auto" w:sz="12" w:space="0"/>
            </w:tcBorders>
            <w:shd w:val="clear" w:color="auto" w:fill="auto"/>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特殊生态敏感区*：指具有极重要的生态服务功能，生态系统极为脆弱或已有较为严重的生态问题，如遭到占用、损失或破坏后所造成的生态影响后果严重且难以预防、生态功能难以恢复和替代的区域，包括自然保护区、世界文化和自然遗产地等。</w:t>
            </w:r>
          </w:p>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重要生态敏感区*：指具有相对重要的生态服务功能或生态系统较为脆弱，如遭到占用、损失或破坏后所造成的生态影响后果较为严重，但可以通过一定措施加以预防、恢复和替代的区域，包括风景名胜区、森林公园、地质公园、重要湿地、原始天然林、珍惜濒危野生动植物天然集中分布区、重要水生生物自然产卵场及索饵场、越冬场和洄游通道、天然渔场等。</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本项目占地面积0.53 km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，不涉及HJ19-2011中规定的特殊与重要生态敏感区，本项目生态环境影响评价工作等级为三级。</w:t>
      </w:r>
    </w:p>
    <w:p>
      <w:pPr>
        <w:pStyle w:val="4"/>
        <w:rPr>
          <w:rFonts w:cs="Times New Roman"/>
          <w:color w:val="000000" w:themeColor="text1"/>
          <w14:textFill>
            <w14:solidFill>
              <w14:schemeClr w14:val="tx1"/>
            </w14:solidFill>
          </w14:textFill>
        </w:rPr>
      </w:pPr>
      <w:bookmarkStart w:id="232" w:name="_Toc91163844"/>
      <w:r>
        <w:rPr>
          <w:rFonts w:cs="Times New Roman"/>
          <w:color w:val="000000" w:themeColor="text1"/>
          <w14:textFill>
            <w14:solidFill>
              <w14:schemeClr w14:val="tx1"/>
            </w14:solidFill>
          </w14:textFill>
        </w:rPr>
        <w:t>2.4.7 环境风险</w:t>
      </w:r>
      <w:bookmarkEnd w:id="232"/>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根据《建设项目环境风险评价技术导则》（HJ169-2018），环境风险评价等级划分原则见表2.4-15。</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表2.4-15</w:t>
      </w:r>
      <w:r>
        <w:rPr>
          <w:rFonts w:cs="Times New Roman"/>
          <w:bCs/>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环境风险评价等级划分表</w:t>
      </w:r>
    </w:p>
    <w:p>
      <w:pPr>
        <w:kinsoku w:val="0"/>
        <w:overflowPunct w:val="0"/>
        <w:autoSpaceDE w:val="0"/>
        <w:autoSpaceDN w:val="0"/>
        <w:adjustRightInd w:val="0"/>
        <w:spacing w:before="10" w:line="240" w:lineRule="auto"/>
        <w:ind w:firstLine="0" w:firstLineChars="0"/>
        <w:jc w:val="left"/>
        <w:rPr>
          <w:rFonts w:cs="Times New Roman"/>
          <w:color w:val="000000" w:themeColor="text1"/>
          <w:kern w:val="0"/>
          <w:sz w:val="5"/>
          <w:szCs w:val="5"/>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2973"/>
        <w:gridCol w:w="1447"/>
        <w:gridCol w:w="1447"/>
        <w:gridCol w:w="1449"/>
        <w:gridCol w:w="144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69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环境风险潜势</w:t>
            </w:r>
          </w:p>
        </w:tc>
        <w:tc>
          <w:tcPr>
            <w:tcW w:w="82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Ⅳ、Ⅳ</w:t>
            </w:r>
            <w:r>
              <w:rPr>
                <w:color w:val="000000" w:themeColor="text1"/>
                <w:vertAlign w:val="superscript"/>
                <w14:textFill>
                  <w14:solidFill>
                    <w14:schemeClr w14:val="tx1"/>
                  </w14:solidFill>
                </w14:textFill>
              </w:rPr>
              <w:t>+</w:t>
            </w:r>
          </w:p>
        </w:tc>
        <w:tc>
          <w:tcPr>
            <w:tcW w:w="82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82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82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Ⅰ</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69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评价工作等级</w:t>
            </w:r>
          </w:p>
        </w:tc>
        <w:tc>
          <w:tcPr>
            <w:tcW w:w="82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82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w:t>
            </w:r>
          </w:p>
        </w:tc>
        <w:tc>
          <w:tcPr>
            <w:tcW w:w="82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三</w:t>
            </w:r>
          </w:p>
        </w:tc>
        <w:tc>
          <w:tcPr>
            <w:tcW w:w="82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简单分析</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本项目项目涉及到的主要危险物质为沼气（主要成分为甲烷〉和高浓度有机废水(COD≥10000 mg/L)。</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根据《建设项目环境风险评价技术导则》(H/T169-2018）附录B 计算， Q=4.09（1≤Q＜10）；生产过程中不涉及危险工艺，涉及危险物质使用、贮存，M=5（M4）；照表C.2确定危险物质及工艺系统危险性等级为P4级。</w:t>
      </w:r>
      <w:r>
        <w:rPr>
          <w:rFonts w:cs="Times New Roman"/>
          <w:color w:val="000000" w:themeColor="text1"/>
          <w:lang w:bidi="en-US"/>
          <w14:textFill>
            <w14:solidFill>
              <w14:schemeClr w14:val="tx1"/>
            </w14:solidFill>
          </w14:textFill>
        </w:rPr>
        <w:t>根据HJ169-2018 附录D确定本项目大气环境敏感性为E3、地表水环境敏感性为E3、地下水环境敏感程度为E2，故</w:t>
      </w:r>
      <w:r>
        <w:rPr>
          <w:rFonts w:cs="Times New Roman"/>
          <w:color w:val="000000" w:themeColor="text1"/>
          <w14:textFill>
            <w14:solidFill>
              <w14:schemeClr w14:val="tx1"/>
            </w14:solidFill>
          </w14:textFill>
        </w:rPr>
        <w:t>大气环境、地表水环境风险潜势均为Ⅰ，对大气环境、地表水环境风险影响进行简单分析。地下水环境风险潜势均为Ⅱ，地下水环境风险评价等级为三级。</w:t>
      </w:r>
    </w:p>
    <w:p>
      <w:pPr>
        <w:pStyle w:val="3"/>
        <w:spacing w:before="120" w:after="120"/>
        <w:rPr>
          <w:rFonts w:cs="Times New Roman"/>
          <w:color w:val="000000" w:themeColor="text1"/>
          <w14:textFill>
            <w14:solidFill>
              <w14:schemeClr w14:val="tx1"/>
            </w14:solidFill>
          </w14:textFill>
        </w:rPr>
      </w:pPr>
      <w:bookmarkStart w:id="233" w:name="_Toc91163845"/>
      <w:r>
        <w:rPr>
          <w:rFonts w:cs="Times New Roman"/>
          <w:color w:val="000000" w:themeColor="text1"/>
          <w14:textFill>
            <w14:solidFill>
              <w14:schemeClr w14:val="tx1"/>
            </w14:solidFill>
          </w14:textFill>
        </w:rPr>
        <w:t>2.5  评价范围</w:t>
      </w:r>
      <w:bookmarkEnd w:id="225"/>
      <w:bookmarkEnd w:id="226"/>
      <w:bookmarkEnd w:id="227"/>
      <w:bookmarkEnd w:id="228"/>
      <w:bookmarkEnd w:id="229"/>
      <w:bookmarkEnd w:id="230"/>
      <w:bookmarkEnd w:id="231"/>
      <w:bookmarkEnd w:id="233"/>
    </w:p>
    <w:p>
      <w:pPr>
        <w:pStyle w:val="4"/>
        <w:rPr>
          <w:rFonts w:cs="Times New Roman"/>
          <w:color w:val="000000" w:themeColor="text1"/>
          <w14:textFill>
            <w14:solidFill>
              <w14:schemeClr w14:val="tx1"/>
            </w14:solidFill>
          </w14:textFill>
        </w:rPr>
      </w:pPr>
      <w:bookmarkStart w:id="234" w:name="_Toc91163846"/>
      <w:bookmarkStart w:id="235" w:name="_Toc47619789"/>
      <w:bookmarkStart w:id="236" w:name="_Toc52791844"/>
      <w:bookmarkStart w:id="237" w:name="_Toc58362743"/>
      <w:bookmarkStart w:id="238" w:name="_Toc47619127"/>
      <w:bookmarkStart w:id="239" w:name="_Toc47619975"/>
      <w:r>
        <w:rPr>
          <w:rFonts w:cs="Times New Roman"/>
          <w:color w:val="000000" w:themeColor="text1"/>
          <w14:textFill>
            <w14:solidFill>
              <w14:schemeClr w14:val="tx1"/>
            </w14:solidFill>
          </w14:textFill>
        </w:rPr>
        <w:t>2.5.1 大气评价范围</w:t>
      </w:r>
      <w:bookmarkEnd w:id="234"/>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结合本项目布局及大气污染排放特征，同时考虑该地区主导风向，结合养殖场场址周围的污染源分布情况，确定大气环境影响评价范围为：</w:t>
      </w:r>
    </w:p>
    <w:p>
      <w:pPr>
        <w:ind w:firstLine="480"/>
        <w:rPr>
          <w:rFonts w:cs="Times New Roman"/>
          <w:color w:val="000000" w:themeColor="text1"/>
          <w14:textFill>
            <w14:solidFill>
              <w14:schemeClr w14:val="tx1"/>
            </w14:solidFill>
          </w14:textFill>
        </w:rPr>
      </w:pPr>
      <w:r>
        <w:rPr>
          <w:rFonts w:cs="Times New Roman"/>
          <w:color w:val="000000" w:themeColor="text1"/>
          <w:kern w:val="0"/>
          <w:szCs w:val="24"/>
          <w14:textFill>
            <w14:solidFill>
              <w14:schemeClr w14:val="tx1"/>
            </w14:solidFill>
          </w14:textFill>
        </w:rPr>
        <w:t>以养殖区为中心，南北各延伸2.5 km，东西各延伸2.5 km，约25 km</w:t>
      </w:r>
      <w:r>
        <w:rPr>
          <w:rFonts w:cs="Times New Roman"/>
          <w:color w:val="000000" w:themeColor="text1"/>
          <w:vertAlign w:val="superscript"/>
          <w14:textFill>
            <w14:solidFill>
              <w14:schemeClr w14:val="tx1"/>
            </w14:solidFill>
          </w14:textFill>
        </w:rPr>
        <w:t>2</w:t>
      </w:r>
      <w:r>
        <w:rPr>
          <w:rFonts w:cs="Times New Roman"/>
          <w:color w:val="000000" w:themeColor="text1"/>
          <w:kern w:val="0"/>
          <w:szCs w:val="24"/>
          <w14:textFill>
            <w14:solidFill>
              <w14:schemeClr w14:val="tx1"/>
            </w14:solidFill>
          </w14:textFill>
        </w:rPr>
        <w:t>。</w:t>
      </w:r>
    </w:p>
    <w:p>
      <w:pPr>
        <w:pStyle w:val="4"/>
        <w:rPr>
          <w:rFonts w:cs="Times New Roman"/>
          <w:color w:val="000000" w:themeColor="text1"/>
          <w14:textFill>
            <w14:solidFill>
              <w14:schemeClr w14:val="tx1"/>
            </w14:solidFill>
          </w14:textFill>
        </w:rPr>
      </w:pPr>
      <w:bookmarkStart w:id="240" w:name="_Toc91163847"/>
      <w:r>
        <w:rPr>
          <w:rFonts w:cs="Times New Roman"/>
          <w:color w:val="000000" w:themeColor="text1"/>
          <w14:textFill>
            <w14:solidFill>
              <w14:schemeClr w14:val="tx1"/>
            </w14:solidFill>
          </w14:textFill>
        </w:rPr>
        <w:t>2.5.2 地表水评价范围</w:t>
      </w:r>
      <w:bookmarkEnd w:id="240"/>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本项目废水处理后用于周边农田施肥。本次评价重点分析废水不外排的保证性，不设置地表水评价范围。</w:t>
      </w:r>
    </w:p>
    <w:p>
      <w:pPr>
        <w:pStyle w:val="4"/>
        <w:rPr>
          <w:rFonts w:cs="Times New Roman"/>
          <w:color w:val="000000" w:themeColor="text1"/>
          <w14:textFill>
            <w14:solidFill>
              <w14:schemeClr w14:val="tx1"/>
            </w14:solidFill>
          </w14:textFill>
        </w:rPr>
      </w:pPr>
      <w:bookmarkStart w:id="241" w:name="_Toc91163848"/>
      <w:bookmarkStart w:id="242" w:name="_Toc58362746"/>
      <w:bookmarkStart w:id="243" w:name="_Toc47619130"/>
      <w:bookmarkStart w:id="244" w:name="_Toc47619792"/>
      <w:bookmarkStart w:id="245" w:name="_Toc47619978"/>
      <w:bookmarkStart w:id="246" w:name="_Toc52791847"/>
      <w:r>
        <w:rPr>
          <w:rFonts w:cs="Times New Roman"/>
          <w:color w:val="000000" w:themeColor="text1"/>
          <w14:textFill>
            <w14:solidFill>
              <w14:schemeClr w14:val="tx1"/>
            </w14:solidFill>
          </w14:textFill>
        </w:rPr>
        <w:t>2.5.3 地下水评价范围</w:t>
      </w:r>
      <w:bookmarkEnd w:id="241"/>
      <w:bookmarkEnd w:id="242"/>
      <w:bookmarkEnd w:id="243"/>
      <w:bookmarkEnd w:id="244"/>
      <w:bookmarkEnd w:id="245"/>
      <w:bookmarkEnd w:id="246"/>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根据《环境影响评价技术导则 地下水环境》（HJ610-2016），本项目为三级评价，地下水评价范围以场区为中心向上游延伸1.5 km，向西延伸1 km，向东延伸1 km，下游以鸡鸣水河河床为界，评价范围约为7.3 km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p>
    <w:p>
      <w:pPr>
        <w:pStyle w:val="4"/>
        <w:rPr>
          <w:rFonts w:cs="Times New Roman"/>
          <w:color w:val="000000" w:themeColor="text1"/>
          <w14:textFill>
            <w14:solidFill>
              <w14:schemeClr w14:val="tx1"/>
            </w14:solidFill>
          </w14:textFill>
        </w:rPr>
      </w:pPr>
      <w:bookmarkStart w:id="247" w:name="_Toc91163849"/>
      <w:bookmarkStart w:id="248" w:name="_Toc58362747"/>
      <w:bookmarkStart w:id="249" w:name="_Toc52791848"/>
      <w:bookmarkStart w:id="250" w:name="_Toc47619131"/>
      <w:bookmarkStart w:id="251" w:name="_Toc47619979"/>
      <w:bookmarkStart w:id="252" w:name="_Toc47619793"/>
      <w:r>
        <w:rPr>
          <w:rFonts w:cs="Times New Roman"/>
          <w:color w:val="000000" w:themeColor="text1"/>
          <w14:textFill>
            <w14:solidFill>
              <w14:schemeClr w14:val="tx1"/>
            </w14:solidFill>
          </w14:textFill>
        </w:rPr>
        <w:t>2.5.4 声环境评价范围</w:t>
      </w:r>
      <w:bookmarkEnd w:id="247"/>
      <w:bookmarkEnd w:id="248"/>
      <w:bookmarkEnd w:id="249"/>
      <w:bookmarkEnd w:id="250"/>
      <w:bookmarkEnd w:id="251"/>
      <w:bookmarkEnd w:id="252"/>
    </w:p>
    <w:p>
      <w:pPr>
        <w:ind w:firstLine="480"/>
        <w:rPr>
          <w:rFonts w:cs="Times New Roman"/>
          <w:color w:val="000000" w:themeColor="text1"/>
          <w14:textFill>
            <w14:solidFill>
              <w14:schemeClr w14:val="tx1"/>
            </w14:solidFill>
          </w14:textFill>
        </w:rPr>
      </w:pPr>
      <w:bookmarkStart w:id="253" w:name="_Hlk45204167"/>
      <w:r>
        <w:rPr>
          <w:rFonts w:cs="Times New Roman"/>
          <w:color w:val="000000" w:themeColor="text1"/>
          <w14:textFill>
            <w14:solidFill>
              <w14:schemeClr w14:val="tx1"/>
            </w14:solidFill>
          </w14:textFill>
        </w:rPr>
        <w:t>根据《环境影响评价技术导则 声环境》（HJ2.4-2009），项目养殖区场址距离村庄较远，本次评价声环境影响评价范围确定为厂界外200 m的区域内。</w:t>
      </w:r>
      <w:bookmarkEnd w:id="253"/>
    </w:p>
    <w:p>
      <w:pPr>
        <w:pStyle w:val="4"/>
        <w:rPr>
          <w:rFonts w:cs="Times New Roman"/>
          <w:color w:val="000000" w:themeColor="text1"/>
          <w14:textFill>
            <w14:solidFill>
              <w14:schemeClr w14:val="tx1"/>
            </w14:solidFill>
          </w14:textFill>
        </w:rPr>
      </w:pPr>
      <w:bookmarkStart w:id="254" w:name="_Toc91163850"/>
      <w:r>
        <w:rPr>
          <w:rFonts w:cs="Times New Roman"/>
          <w:color w:val="000000" w:themeColor="text1"/>
          <w14:textFill>
            <w14:solidFill>
              <w14:schemeClr w14:val="tx1"/>
            </w14:solidFill>
          </w14:textFill>
        </w:rPr>
        <w:t>2.5.5 土壤环境评价范围</w:t>
      </w:r>
      <w:bookmarkEnd w:id="254"/>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生态影响类三级评价范围为沼液消纳耕地及周边1 km范围内。</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污染影响评价范围为养殖场占地范围及场界外0.05 km。</w:t>
      </w:r>
    </w:p>
    <w:p>
      <w:pPr>
        <w:pStyle w:val="4"/>
        <w:rPr>
          <w:rFonts w:cs="Times New Roman"/>
          <w:color w:val="000000" w:themeColor="text1"/>
          <w14:textFill>
            <w14:solidFill>
              <w14:schemeClr w14:val="tx1"/>
            </w14:solidFill>
          </w14:textFill>
        </w:rPr>
      </w:pPr>
      <w:bookmarkStart w:id="255" w:name="_Toc91163851"/>
      <w:r>
        <w:rPr>
          <w:rFonts w:cs="Times New Roman"/>
          <w:color w:val="000000" w:themeColor="text1"/>
          <w14:textFill>
            <w14:solidFill>
              <w14:schemeClr w14:val="tx1"/>
            </w14:solidFill>
          </w14:textFill>
        </w:rPr>
        <w:t>2.5.6 生态环境评价范围</w:t>
      </w:r>
      <w:bookmarkEnd w:id="235"/>
      <w:bookmarkEnd w:id="236"/>
      <w:bookmarkEnd w:id="237"/>
      <w:bookmarkEnd w:id="238"/>
      <w:bookmarkEnd w:id="239"/>
      <w:bookmarkEnd w:id="25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根据《环境影响评价技术导则 生态影响》（HJ19-2011），本项目生态评价为三级评价，确定评价范围为项目养殖场场界及场界外200 m的范围。</w:t>
      </w:r>
    </w:p>
    <w:p>
      <w:pPr>
        <w:pStyle w:val="4"/>
        <w:rPr>
          <w:rFonts w:cs="Times New Roman"/>
          <w:color w:val="000000" w:themeColor="text1"/>
          <w:kern w:val="0"/>
          <w:szCs w:val="24"/>
          <w14:textFill>
            <w14:solidFill>
              <w14:schemeClr w14:val="tx1"/>
            </w14:solidFill>
          </w14:textFill>
        </w:rPr>
      </w:pPr>
      <w:bookmarkStart w:id="256" w:name="_Toc91163852"/>
      <w:r>
        <w:rPr>
          <w:rFonts w:cs="Times New Roman"/>
          <w:color w:val="000000" w:themeColor="text1"/>
          <w14:textFill>
            <w14:solidFill>
              <w14:schemeClr w14:val="tx1"/>
            </w14:solidFill>
          </w14:textFill>
        </w:rPr>
        <w:t xml:space="preserve">2.5.7 </w:t>
      </w:r>
      <w:r>
        <w:rPr>
          <w:rFonts w:cs="Times New Roman"/>
          <w:color w:val="000000" w:themeColor="text1"/>
          <w:kern w:val="0"/>
          <w:szCs w:val="24"/>
          <w14:textFill>
            <w14:solidFill>
              <w14:schemeClr w14:val="tx1"/>
            </w14:solidFill>
          </w14:textFill>
        </w:rPr>
        <w:t>环境风险评价范围</w:t>
      </w:r>
      <w:bookmarkEnd w:id="256"/>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根据《建设项目环境风险评价技术导则》（HJ169-2018），本项目环境风险评价为三级，风险评价范围为项目养殖场场界及场界外3.0km的范围。</w:t>
      </w:r>
    </w:p>
    <w:bookmarkEnd w:id="98"/>
    <w:bookmarkEnd w:id="99"/>
    <w:p>
      <w:pPr>
        <w:pStyle w:val="3"/>
        <w:spacing w:before="120" w:after="120"/>
        <w:ind w:firstLine="300" w:firstLineChars="100"/>
        <w:rPr>
          <w:rFonts w:cs="Times New Roman"/>
          <w:color w:val="000000" w:themeColor="text1"/>
          <w14:textFill>
            <w14:solidFill>
              <w14:schemeClr w14:val="tx1"/>
            </w14:solidFill>
          </w14:textFill>
        </w:rPr>
      </w:pPr>
      <w:bookmarkStart w:id="257" w:name="_Toc91163853"/>
      <w:bookmarkStart w:id="258" w:name="_Toc47619152"/>
      <w:bookmarkStart w:id="259" w:name="_Toc47619814"/>
      <w:bookmarkStart w:id="260" w:name="_Toc47620000"/>
      <w:bookmarkStart w:id="261" w:name="_Toc52791868"/>
      <w:bookmarkStart w:id="262" w:name="_Toc58362769"/>
      <w:bookmarkStart w:id="263" w:name="_Toc249090494"/>
      <w:bookmarkStart w:id="264" w:name="_Toc228067761"/>
      <w:bookmarkStart w:id="265" w:name="_Toc249090491"/>
      <w:bookmarkStart w:id="266" w:name="_Toc228067760"/>
      <w:r>
        <w:rPr>
          <w:rFonts w:cs="Times New Roman"/>
          <w:color w:val="000000" w:themeColor="text1"/>
          <w14:textFill>
            <w14:solidFill>
              <w14:schemeClr w14:val="tx1"/>
            </w14:solidFill>
          </w14:textFill>
        </w:rPr>
        <w:t>2.6 环境功能区划</w:t>
      </w:r>
      <w:bookmarkEnd w:id="257"/>
    </w:p>
    <w:p>
      <w:pPr>
        <w:pStyle w:val="4"/>
        <w:rPr>
          <w:rFonts w:cs="Times New Roman"/>
          <w:color w:val="000000" w:themeColor="text1"/>
          <w14:textFill>
            <w14:solidFill>
              <w14:schemeClr w14:val="tx1"/>
            </w14:solidFill>
          </w14:textFill>
        </w:rPr>
      </w:pPr>
      <w:bookmarkStart w:id="267" w:name="_Toc52791866"/>
      <w:bookmarkStart w:id="268" w:name="_Toc58362767"/>
      <w:bookmarkStart w:id="269" w:name="_Toc91163854"/>
      <w:bookmarkStart w:id="270" w:name="_Toc47619998"/>
      <w:bookmarkStart w:id="271" w:name="_Toc47619812"/>
      <w:bookmarkStart w:id="272" w:name="_Toc47619150"/>
      <w:r>
        <w:rPr>
          <w:rFonts w:cs="Times New Roman"/>
          <w:color w:val="000000" w:themeColor="text1"/>
          <w14:textFill>
            <w14:solidFill>
              <w14:schemeClr w14:val="tx1"/>
            </w14:solidFill>
          </w14:textFill>
        </w:rPr>
        <w:t>2.6.1 环境空气</w:t>
      </w:r>
      <w:bookmarkEnd w:id="267"/>
      <w:bookmarkEnd w:id="268"/>
      <w:bookmarkEnd w:id="269"/>
      <w:bookmarkEnd w:id="270"/>
      <w:bookmarkEnd w:id="271"/>
      <w:bookmarkEnd w:id="272"/>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空气质量标准》（GB3095-2012）中有关环境空气质量功能分类规定：“二类区为城镇规划中确定的居住区、商业交通居民混合区、文化区、一般工业区和农村地区”，本项目所在地属于农村地区，本评价区环境空气质量功能区应划为二类区，执行环境空气质量二级标准。</w:t>
      </w:r>
    </w:p>
    <w:p>
      <w:pPr>
        <w:pStyle w:val="4"/>
        <w:rPr>
          <w:rFonts w:cs="Times New Roman"/>
          <w:color w:val="000000" w:themeColor="text1"/>
          <w14:textFill>
            <w14:solidFill>
              <w14:schemeClr w14:val="tx1"/>
            </w14:solidFill>
          </w14:textFill>
        </w:rPr>
      </w:pPr>
      <w:bookmarkStart w:id="273" w:name="_Toc47619813"/>
      <w:bookmarkStart w:id="274" w:name="_Toc52791867"/>
      <w:bookmarkStart w:id="275" w:name="_Toc58362768"/>
      <w:bookmarkStart w:id="276" w:name="_Toc47619999"/>
      <w:bookmarkStart w:id="277" w:name="_Toc47619151"/>
      <w:bookmarkStart w:id="278" w:name="_Toc91163855"/>
      <w:r>
        <w:rPr>
          <w:rFonts w:cs="Times New Roman"/>
          <w:color w:val="000000" w:themeColor="text1"/>
          <w14:textFill>
            <w14:solidFill>
              <w14:schemeClr w14:val="tx1"/>
            </w14:solidFill>
          </w14:textFill>
        </w:rPr>
        <w:t>2.6.2 地表水</w:t>
      </w:r>
      <w:bookmarkEnd w:id="273"/>
      <w:bookmarkEnd w:id="274"/>
      <w:bookmarkEnd w:id="275"/>
      <w:bookmarkEnd w:id="276"/>
      <w:bookmarkEnd w:id="277"/>
      <w:bookmarkEnd w:id="278"/>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本项目最近地表水为厂址南侧约1.4 km处的鸡鸣水河，鸡鸣水河为绛河的一级支流；根据《山西省地表水水环境功能区划》（DB14/67-2019），绛河属海河流域-漳河山区-浊漳河水系-绛河（屯降水库-入南源段），水环境功能为“工农业用水保护”，水质要求为Ⅱ类，执行《地表水环境质量标准》（GB3838-2002）中Ⅱ类标准。</w:t>
      </w:r>
    </w:p>
    <w:p>
      <w:pPr>
        <w:pStyle w:val="4"/>
        <w:rPr>
          <w:rFonts w:cs="Times New Roman"/>
          <w:color w:val="000000" w:themeColor="text1"/>
          <w14:textFill>
            <w14:solidFill>
              <w14:schemeClr w14:val="tx1"/>
            </w14:solidFill>
          </w14:textFill>
        </w:rPr>
      </w:pPr>
      <w:bookmarkStart w:id="279" w:name="_Toc91163856"/>
      <w:r>
        <w:rPr>
          <w:rFonts w:cs="Times New Roman"/>
          <w:color w:val="000000" w:themeColor="text1"/>
          <w14:textFill>
            <w14:solidFill>
              <w14:schemeClr w14:val="tx1"/>
            </w14:solidFill>
          </w14:textFill>
        </w:rPr>
        <w:t>2.6.3 地下水</w:t>
      </w:r>
      <w:bookmarkEnd w:id="258"/>
      <w:bookmarkEnd w:id="259"/>
      <w:bookmarkEnd w:id="260"/>
      <w:bookmarkEnd w:id="261"/>
      <w:bookmarkEnd w:id="262"/>
      <w:bookmarkEnd w:id="279"/>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根据《地下水质量标准》（GB/T14848-2017）中的地下水质量分类以人体健康基准为依据，主要适用于集中式生活饮用水水源及工、农业用水的地下水为Ⅲ类水质，则本项目执行地下水Ⅲ级水质标准。</w:t>
      </w:r>
    </w:p>
    <w:p>
      <w:pPr>
        <w:pStyle w:val="4"/>
        <w:rPr>
          <w:rFonts w:cs="Times New Roman"/>
          <w:color w:val="000000" w:themeColor="text1"/>
          <w14:textFill>
            <w14:solidFill>
              <w14:schemeClr w14:val="tx1"/>
            </w14:solidFill>
          </w14:textFill>
        </w:rPr>
      </w:pPr>
      <w:bookmarkStart w:id="280" w:name="_Toc58362770"/>
      <w:bookmarkStart w:id="281" w:name="_Toc52791869"/>
      <w:bookmarkStart w:id="282" w:name="_Toc47620001"/>
      <w:bookmarkStart w:id="283" w:name="_Toc91163857"/>
      <w:bookmarkStart w:id="284" w:name="_Toc47619815"/>
      <w:bookmarkStart w:id="285" w:name="_Toc47619153"/>
      <w:r>
        <w:rPr>
          <w:rFonts w:cs="Times New Roman"/>
          <w:color w:val="000000" w:themeColor="text1"/>
          <w14:textFill>
            <w14:solidFill>
              <w14:schemeClr w14:val="tx1"/>
            </w14:solidFill>
          </w14:textFill>
        </w:rPr>
        <w:t>2.6.4 声环境</w:t>
      </w:r>
      <w:bookmarkEnd w:id="280"/>
      <w:bookmarkEnd w:id="281"/>
      <w:bookmarkEnd w:id="282"/>
      <w:bookmarkEnd w:id="283"/>
      <w:bookmarkEnd w:id="284"/>
      <w:bookmarkEnd w:id="28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根据《声环境质量标准》（GB3096-2008）中声环境功能区分类，本项目位于农村地区，属于声环境为1类功能区。</w:t>
      </w:r>
    </w:p>
    <w:bookmarkEnd w:id="263"/>
    <w:bookmarkEnd w:id="264"/>
    <w:p>
      <w:pPr>
        <w:pStyle w:val="3"/>
        <w:spacing w:before="120" w:after="120"/>
        <w:rPr>
          <w:rFonts w:cs="Times New Roman"/>
          <w:color w:val="000000" w:themeColor="text1"/>
          <w14:textFill>
            <w14:solidFill>
              <w14:schemeClr w14:val="tx1"/>
            </w14:solidFill>
          </w14:textFill>
        </w:rPr>
      </w:pPr>
      <w:bookmarkStart w:id="286" w:name="_Toc52791870"/>
      <w:bookmarkStart w:id="287" w:name="_Toc47619462"/>
      <w:bookmarkStart w:id="288" w:name="_Toc91163858"/>
      <w:bookmarkStart w:id="289" w:name="_Toc47619816"/>
      <w:bookmarkStart w:id="290" w:name="_Toc58362771"/>
      <w:bookmarkStart w:id="291" w:name="_Toc47619154"/>
      <w:bookmarkStart w:id="292" w:name="_Toc47619356"/>
      <w:bookmarkStart w:id="293" w:name="_Toc47620002"/>
      <w:r>
        <w:rPr>
          <w:rFonts w:cs="Times New Roman"/>
          <w:color w:val="000000" w:themeColor="text1"/>
          <w14:textFill>
            <w14:solidFill>
              <w14:schemeClr w14:val="tx1"/>
            </w14:solidFill>
          </w14:textFill>
        </w:rPr>
        <w:t>2.7 主要环境保护目标</w:t>
      </w:r>
      <w:bookmarkEnd w:id="286"/>
      <w:bookmarkEnd w:id="287"/>
      <w:bookmarkEnd w:id="288"/>
      <w:bookmarkEnd w:id="289"/>
      <w:bookmarkEnd w:id="290"/>
      <w:bookmarkEnd w:id="291"/>
      <w:bookmarkEnd w:id="292"/>
      <w:bookmarkEnd w:id="293"/>
    </w:p>
    <w:p>
      <w:pPr>
        <w:ind w:firstLine="480"/>
        <w:rPr>
          <w:rFonts w:cs="Times New Roman"/>
          <w:color w:val="000000" w:themeColor="text1"/>
          <w14:textFill>
            <w14:solidFill>
              <w14:schemeClr w14:val="tx1"/>
            </w14:solidFill>
          </w14:textFill>
        </w:rPr>
      </w:pPr>
      <w:bookmarkStart w:id="294" w:name="_Toc47619818"/>
      <w:bookmarkStart w:id="295" w:name="_Toc58362773"/>
      <w:bookmarkStart w:id="296" w:name="_Toc47620004"/>
      <w:bookmarkStart w:id="297" w:name="_Toc52791872"/>
      <w:bookmarkStart w:id="298" w:name="_Toc47619156"/>
      <w:r>
        <w:rPr>
          <w:rFonts w:cs="Times New Roman"/>
          <w:color w:val="000000" w:themeColor="text1"/>
          <w14:textFill>
            <w14:solidFill>
              <w14:schemeClr w14:val="tx1"/>
            </w14:solidFill>
          </w14:textFill>
        </w:rPr>
        <w:t>根据《建设项目环境影响评价分类管理名录》中关于敏感因素的界定原则，经调查本地区不属于特殊保护地区、社会关注地区、生态脆弱区和特殊地貌景区。经实地踏勘，评价区内无风景名胜、文物保护区、自然保护区等特殊环境敏感因素，结合工程特点，确定评价主要保护目标为附近居民。详见表2.7-1。</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环境保护目标图见图2.7-1。</w:t>
      </w:r>
    </w:p>
    <w:bookmarkEnd w:id="294"/>
    <w:bookmarkEnd w:id="295"/>
    <w:bookmarkEnd w:id="296"/>
    <w:bookmarkEnd w:id="297"/>
    <w:bookmarkEnd w:id="298"/>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表2.7-1 环境保护目标</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147"/>
        <w:gridCol w:w="1104"/>
        <w:gridCol w:w="209"/>
        <w:gridCol w:w="288"/>
        <w:gridCol w:w="728"/>
        <w:gridCol w:w="433"/>
        <w:gridCol w:w="301"/>
        <w:gridCol w:w="437"/>
        <w:gridCol w:w="1020"/>
        <w:gridCol w:w="875"/>
        <w:gridCol w:w="875"/>
        <w:gridCol w:w="10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000" w:type="pct"/>
            <w:gridSpan w:val="13"/>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环境空气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1626" w:type="pct"/>
            <w:gridSpan w:val="6"/>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坐标</w:t>
            </w:r>
          </w:p>
        </w:tc>
        <w:tc>
          <w:tcPr>
            <w:tcW w:w="412" w:type="pct"/>
            <w:gridSpan w:val="2"/>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保护对象</w:t>
            </w:r>
          </w:p>
        </w:tc>
        <w:tc>
          <w:tcPr>
            <w:tcW w:w="570"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保护内容/人</w:t>
            </w:r>
          </w:p>
        </w:tc>
        <w:tc>
          <w:tcPr>
            <w:tcW w:w="489"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环境功能区</w:t>
            </w:r>
          </w:p>
        </w:tc>
        <w:tc>
          <w:tcPr>
            <w:tcW w:w="489"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相对工程方位</w:t>
            </w:r>
          </w:p>
        </w:tc>
        <w:tc>
          <w:tcPr>
            <w:tcW w:w="609"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相对工程距离/m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Merge w:val="continue"/>
            <w:vAlign w:val="center"/>
          </w:tcPr>
          <w:p>
            <w:pPr>
              <w:pStyle w:val="332"/>
              <w:rPr>
                <w:color w:val="000000" w:themeColor="text1"/>
                <w14:textFill>
                  <w14:solidFill>
                    <w14:schemeClr w14:val="tx1"/>
                  </w14:solidFill>
                </w14:textFill>
              </w:rPr>
            </w:pPr>
          </w:p>
        </w:tc>
        <w:tc>
          <w:tcPr>
            <w:tcW w:w="816"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E/°</w:t>
            </w:r>
          </w:p>
        </w:tc>
        <w:tc>
          <w:tcPr>
            <w:tcW w:w="810"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w:t>
            </w:r>
          </w:p>
        </w:tc>
        <w:tc>
          <w:tcPr>
            <w:tcW w:w="412" w:type="pct"/>
            <w:gridSpan w:val="2"/>
            <w:vMerge w:val="continue"/>
            <w:vAlign w:val="center"/>
          </w:tcPr>
          <w:p>
            <w:pPr>
              <w:pStyle w:val="332"/>
              <w:rPr>
                <w:color w:val="000000" w:themeColor="text1"/>
                <w14:textFill>
                  <w14:solidFill>
                    <w14:schemeClr w14:val="tx1"/>
                  </w14:solidFill>
                </w14:textFill>
              </w:rPr>
            </w:pPr>
          </w:p>
        </w:tc>
        <w:tc>
          <w:tcPr>
            <w:tcW w:w="570" w:type="pct"/>
            <w:vMerge w:val="continue"/>
            <w:vAlign w:val="center"/>
          </w:tcPr>
          <w:p>
            <w:pPr>
              <w:pStyle w:val="332"/>
              <w:rPr>
                <w:color w:val="000000" w:themeColor="text1"/>
                <w14:textFill>
                  <w14:solidFill>
                    <w14:schemeClr w14:val="tx1"/>
                  </w14:solidFill>
                </w14:textFill>
              </w:rPr>
            </w:pPr>
          </w:p>
        </w:tc>
        <w:tc>
          <w:tcPr>
            <w:tcW w:w="489" w:type="pct"/>
            <w:vMerge w:val="continue"/>
            <w:vAlign w:val="center"/>
          </w:tcPr>
          <w:p>
            <w:pPr>
              <w:pStyle w:val="332"/>
              <w:rPr>
                <w:color w:val="000000" w:themeColor="text1"/>
                <w14:textFill>
                  <w14:solidFill>
                    <w14:schemeClr w14:val="tx1"/>
                  </w14:solidFill>
                </w14:textFill>
              </w:rPr>
            </w:pPr>
          </w:p>
        </w:tc>
        <w:tc>
          <w:tcPr>
            <w:tcW w:w="489"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杨家湾村</w:t>
            </w:r>
          </w:p>
        </w:tc>
        <w:tc>
          <w:tcPr>
            <w:tcW w:w="816"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112.824522</w:t>
            </w:r>
          </w:p>
        </w:tc>
        <w:tc>
          <w:tcPr>
            <w:tcW w:w="810"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36.292518</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557人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牛角川村</w:t>
            </w:r>
          </w:p>
        </w:tc>
        <w:tc>
          <w:tcPr>
            <w:tcW w:w="816"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112.842546</w:t>
            </w:r>
          </w:p>
        </w:tc>
        <w:tc>
          <w:tcPr>
            <w:tcW w:w="810"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36.279128</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980人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NE</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东庄村</w:t>
            </w:r>
          </w:p>
        </w:tc>
        <w:tc>
          <w:tcPr>
            <w:tcW w:w="816"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112.838770</w:t>
            </w:r>
          </w:p>
        </w:tc>
        <w:tc>
          <w:tcPr>
            <w:tcW w:w="810"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36.265224</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912人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SE</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北部村</w:t>
            </w:r>
          </w:p>
        </w:tc>
        <w:tc>
          <w:tcPr>
            <w:tcW w:w="816"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112.840915</w:t>
            </w:r>
          </w:p>
        </w:tc>
        <w:tc>
          <w:tcPr>
            <w:tcW w:w="810"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36.254753</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1400人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SE</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杜村</w:t>
            </w:r>
          </w:p>
        </w:tc>
        <w:tc>
          <w:tcPr>
            <w:tcW w:w="816"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112.821689</w:t>
            </w:r>
          </w:p>
        </w:tc>
        <w:tc>
          <w:tcPr>
            <w:tcW w:w="810"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36.263679</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897人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崔郭村</w:t>
            </w:r>
          </w:p>
        </w:tc>
        <w:tc>
          <w:tcPr>
            <w:tcW w:w="816"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112.802635</w:t>
            </w:r>
          </w:p>
        </w:tc>
        <w:tc>
          <w:tcPr>
            <w:tcW w:w="810"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36.265224</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1068人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SW</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苗岭村</w:t>
            </w:r>
          </w:p>
        </w:tc>
        <w:tc>
          <w:tcPr>
            <w:tcW w:w="816"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112.816969</w:t>
            </w:r>
          </w:p>
        </w:tc>
        <w:tc>
          <w:tcPr>
            <w:tcW w:w="810"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36.278785</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90人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NW</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赵家沟村</w:t>
            </w:r>
          </w:p>
        </w:tc>
        <w:tc>
          <w:tcPr>
            <w:tcW w:w="816"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112.807785</w:t>
            </w:r>
          </w:p>
        </w:tc>
        <w:tc>
          <w:tcPr>
            <w:tcW w:w="810"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36.281360</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419人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NW</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1810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000" w:type="pct"/>
            <w:gridSpan w:val="13"/>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保护对象</w:t>
            </w:r>
          </w:p>
        </w:tc>
        <w:tc>
          <w:tcPr>
            <w:tcW w:w="699" w:type="pct"/>
            <w:gridSpan w:val="2"/>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相对方位</w:t>
            </w:r>
          </w:p>
        </w:tc>
        <w:tc>
          <w:tcPr>
            <w:tcW w:w="1095" w:type="pct"/>
            <w:gridSpan w:val="5"/>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距离</w:t>
            </w:r>
          </w:p>
        </w:tc>
        <w:tc>
          <w:tcPr>
            <w:tcW w:w="2402" w:type="pct"/>
            <w:gridSpan w:val="5"/>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鸡鸣水河</w:t>
            </w:r>
          </w:p>
        </w:tc>
        <w:tc>
          <w:tcPr>
            <w:tcW w:w="699" w:type="pct"/>
            <w:gridSpan w:val="2"/>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w:t>
            </w:r>
          </w:p>
        </w:tc>
        <w:tc>
          <w:tcPr>
            <w:tcW w:w="1095" w:type="pct"/>
            <w:gridSpan w:val="5"/>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1.4 km</w:t>
            </w:r>
          </w:p>
        </w:tc>
        <w:tc>
          <w:tcPr>
            <w:tcW w:w="2402" w:type="pct"/>
            <w:gridSpan w:val="5"/>
            <w:tcBorders>
              <w:bottom w:val="single" w:color="auto" w:sz="12" w:space="0"/>
            </w:tcBorders>
            <w:vAlign w:val="center"/>
          </w:tcPr>
          <w:p>
            <w:pPr>
              <w:pStyle w:val="332"/>
              <w:rPr>
                <w:color w:val="000000" w:themeColor="text1"/>
                <w14:textFill>
                  <w14:solidFill>
                    <w14:schemeClr w14:val="tx1"/>
                  </w14:solidFill>
                </w14:textFill>
              </w:rPr>
            </w:pPr>
            <w:r>
              <w:rPr>
                <w:bCs/>
                <w:color w:val="000000" w:themeColor="text1"/>
                <w14:textFill>
                  <w14:solidFill>
                    <w14:schemeClr w14:val="tx1"/>
                  </w14:solidFill>
                </w14:textFill>
              </w:rPr>
              <w:t>《地表水环境质量标准》（GB3838-2002）</w:t>
            </w:r>
            <w:r>
              <w:rPr>
                <w:color w:val="000000" w:themeColor="text1"/>
                <w14:textFill>
                  <w14:solidFill>
                    <w14:schemeClr w14:val="tx1"/>
                  </w14:solidFill>
                </w14:textFill>
              </w:rPr>
              <w:t>Ⅱ</w:t>
            </w:r>
            <w:r>
              <w:rPr>
                <w:bCs/>
                <w:color w:val="000000" w:themeColor="text1"/>
                <w14:textFill>
                  <w14:solidFill>
                    <w14:schemeClr w14:val="tx1"/>
                  </w14:solidFill>
                </w14:textFill>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000" w:type="pct"/>
            <w:gridSpan w:val="13"/>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87" w:type="pct"/>
            <w:gridSpan w:val="2"/>
            <w:tcBorders>
              <w:top w:val="single" w:color="auto" w:sz="12" w:space="0"/>
              <w:left w:val="single" w:color="auto" w:sz="12"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14:textFill>
                  <w14:solidFill>
                    <w14:schemeClr w14:val="tx1"/>
                  </w14:solidFill>
                </w14:textFill>
              </w:rPr>
              <w:t>保护对象</w:t>
            </w:r>
          </w:p>
        </w:tc>
        <w:tc>
          <w:tcPr>
            <w:tcW w:w="616"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相对方位</w:t>
            </w:r>
          </w:p>
        </w:tc>
        <w:tc>
          <w:tcPr>
            <w:tcW w:w="1095" w:type="pct"/>
            <w:gridSpan w:val="5"/>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距离/ km</w:t>
            </w:r>
          </w:p>
        </w:tc>
        <w:tc>
          <w:tcPr>
            <w:tcW w:w="2402" w:type="pct"/>
            <w:gridSpan w:val="5"/>
            <w:tcBorders>
              <w:top w:val="single" w:color="auto" w:sz="12" w:space="0"/>
              <w:bottom w:val="single" w:color="auto" w:sz="4" w:space="0"/>
              <w:right w:val="single" w:color="auto" w:sz="12" w:space="0"/>
            </w:tcBorders>
            <w:vAlign w:val="center"/>
          </w:tcPr>
          <w:p>
            <w:pPr>
              <w:pStyle w:val="332"/>
              <w:rPr>
                <w:bCs/>
                <w:color w:val="000000" w:themeColor="text1"/>
                <w14:textFill>
                  <w14:solidFill>
                    <w14:schemeClr w14:val="tx1"/>
                  </w14:solidFill>
                </w14:textFill>
              </w:rPr>
            </w:pPr>
            <w:r>
              <w:rPr>
                <w:color w:val="000000" w:themeColor="text1"/>
                <w14:textFill>
                  <w14:solidFill>
                    <w14:schemeClr w14:val="tx1"/>
                  </w14:solidFill>
                </w14:textFill>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87" w:type="pct"/>
            <w:gridSpan w:val="2"/>
            <w:tcBorders>
              <w:top w:val="single" w:color="auto" w:sz="4" w:space="0"/>
              <w:left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苗岭村水井</w:t>
            </w:r>
          </w:p>
        </w:tc>
        <w:tc>
          <w:tcPr>
            <w:tcW w:w="61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NW</w:t>
            </w:r>
          </w:p>
        </w:tc>
        <w:tc>
          <w:tcPr>
            <w:tcW w:w="1095" w:type="pct"/>
            <w:gridSpan w:val="5"/>
            <w:tcBorders>
              <w:top w:val="single" w:color="auto" w:sz="4" w:space="0"/>
              <w:bottom w:val="single" w:color="auto" w:sz="4" w:space="0"/>
            </w:tcBorders>
            <w:vAlign w:val="center"/>
          </w:tcPr>
          <w:p>
            <w:pPr>
              <w:pStyle w:val="332"/>
              <w:rPr>
                <w:bCs/>
                <w:color w:val="000000" w:themeColor="text1"/>
                <w14:textFill>
                  <w14:solidFill>
                    <w14:schemeClr w14:val="tx1"/>
                  </w14:solidFill>
                </w14:textFill>
              </w:rPr>
            </w:pPr>
            <w:r>
              <w:rPr>
                <w:color w:val="000000" w:themeColor="text1"/>
                <w14:textFill>
                  <w14:solidFill>
                    <w14:schemeClr w14:val="tx1"/>
                  </w14:solidFill>
                </w14:textFill>
              </w:rPr>
              <w:t>1.02</w:t>
            </w:r>
          </w:p>
        </w:tc>
        <w:tc>
          <w:tcPr>
            <w:tcW w:w="2402" w:type="pct"/>
            <w:gridSpan w:val="5"/>
            <w:vMerge w:val="restart"/>
            <w:tcBorders>
              <w:top w:val="single" w:color="auto" w:sz="4" w:space="0"/>
              <w:bottom w:val="single" w:color="auto" w:sz="4" w:space="0"/>
              <w:right w:val="single" w:color="auto" w:sz="12" w:space="0"/>
            </w:tcBorders>
            <w:vAlign w:val="center"/>
          </w:tcPr>
          <w:p>
            <w:pPr>
              <w:pStyle w:val="332"/>
              <w:rPr>
                <w:bCs/>
                <w:color w:val="000000" w:themeColor="text1"/>
                <w14:textFill>
                  <w14:solidFill>
                    <w14:schemeClr w14:val="tx1"/>
                  </w14:solidFill>
                </w14:textFill>
              </w:rPr>
            </w:pPr>
            <w:r>
              <w:rPr>
                <w:bCs/>
                <w:color w:val="000000" w:themeColor="text1"/>
                <w14:textFill>
                  <w14:solidFill>
                    <w14:schemeClr w14:val="tx1"/>
                  </w14:solidFill>
                </w14:textFill>
              </w:rPr>
              <w:t>《地下水质量标准》（GB/T14848-2017）Ⅲ类标准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87" w:type="pct"/>
            <w:gridSpan w:val="2"/>
            <w:tcBorders>
              <w:top w:val="single" w:color="auto" w:sz="4" w:space="0"/>
              <w:left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牛角川水井</w:t>
            </w:r>
          </w:p>
        </w:tc>
        <w:tc>
          <w:tcPr>
            <w:tcW w:w="61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NE</w:t>
            </w:r>
          </w:p>
        </w:tc>
        <w:tc>
          <w:tcPr>
            <w:tcW w:w="1095" w:type="pct"/>
            <w:gridSpan w:val="5"/>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1.21</w:t>
            </w:r>
          </w:p>
        </w:tc>
        <w:tc>
          <w:tcPr>
            <w:tcW w:w="2402" w:type="pct"/>
            <w:gridSpan w:val="5"/>
            <w:vMerge w:val="continue"/>
            <w:tcBorders>
              <w:top w:val="single" w:color="auto" w:sz="4" w:space="0"/>
              <w:right w:val="single" w:color="auto" w:sz="12" w:space="0"/>
            </w:tcBorders>
            <w:vAlign w:val="center"/>
          </w:tcPr>
          <w:p>
            <w:pPr>
              <w:pStyle w:val="332"/>
              <w:rPr>
                <w:bCs/>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87" w:type="pct"/>
            <w:gridSpan w:val="2"/>
            <w:tcBorders>
              <w:top w:val="single" w:color="auto" w:sz="4" w:space="0"/>
              <w:left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东庄村水井</w:t>
            </w:r>
          </w:p>
        </w:tc>
        <w:tc>
          <w:tcPr>
            <w:tcW w:w="61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SE</w:t>
            </w:r>
          </w:p>
        </w:tc>
        <w:tc>
          <w:tcPr>
            <w:tcW w:w="1095" w:type="pct"/>
            <w:gridSpan w:val="5"/>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1.26</w:t>
            </w:r>
          </w:p>
        </w:tc>
        <w:tc>
          <w:tcPr>
            <w:tcW w:w="2402" w:type="pct"/>
            <w:gridSpan w:val="5"/>
            <w:vMerge w:val="continue"/>
            <w:tcBorders>
              <w:right w:val="single" w:color="auto" w:sz="12" w:space="0"/>
            </w:tcBorders>
            <w:vAlign w:val="center"/>
          </w:tcPr>
          <w:p>
            <w:pPr>
              <w:pStyle w:val="332"/>
              <w:rPr>
                <w:bCs/>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87" w:type="pct"/>
            <w:gridSpan w:val="2"/>
            <w:tcBorders>
              <w:top w:val="single" w:color="auto" w:sz="4" w:space="0"/>
              <w:left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杜村水井</w:t>
            </w:r>
          </w:p>
        </w:tc>
        <w:tc>
          <w:tcPr>
            <w:tcW w:w="61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SW</w:t>
            </w:r>
          </w:p>
        </w:tc>
        <w:tc>
          <w:tcPr>
            <w:tcW w:w="1095" w:type="pct"/>
            <w:gridSpan w:val="5"/>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1.02</w:t>
            </w:r>
          </w:p>
        </w:tc>
        <w:tc>
          <w:tcPr>
            <w:tcW w:w="2402" w:type="pct"/>
            <w:gridSpan w:val="5"/>
            <w:vMerge w:val="continue"/>
            <w:tcBorders>
              <w:right w:val="single" w:color="auto" w:sz="12" w:space="0"/>
            </w:tcBorders>
            <w:vAlign w:val="center"/>
          </w:tcPr>
          <w:p>
            <w:pPr>
              <w:pStyle w:val="332"/>
              <w:rPr>
                <w:bCs/>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87" w:type="pct"/>
            <w:gridSpan w:val="2"/>
            <w:tcBorders>
              <w:top w:val="single" w:color="auto" w:sz="4" w:space="0"/>
              <w:left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杨家湾村水井</w:t>
            </w:r>
          </w:p>
        </w:tc>
        <w:tc>
          <w:tcPr>
            <w:tcW w:w="616"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w:t>
            </w:r>
          </w:p>
        </w:tc>
        <w:tc>
          <w:tcPr>
            <w:tcW w:w="1095" w:type="pct"/>
            <w:gridSpan w:val="5"/>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1.83</w:t>
            </w:r>
          </w:p>
        </w:tc>
        <w:tc>
          <w:tcPr>
            <w:tcW w:w="2402" w:type="pct"/>
            <w:gridSpan w:val="5"/>
            <w:vMerge w:val="continue"/>
            <w:tcBorders>
              <w:bottom w:val="single" w:color="auto" w:sz="12" w:space="0"/>
              <w:right w:val="single" w:color="auto" w:sz="12" w:space="0"/>
            </w:tcBorders>
            <w:vAlign w:val="center"/>
          </w:tcPr>
          <w:p>
            <w:pPr>
              <w:pStyle w:val="332"/>
              <w:rPr>
                <w:bCs/>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000" w:type="pct"/>
            <w:gridSpan w:val="13"/>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声环境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保护对象</w:t>
            </w:r>
          </w:p>
        </w:tc>
        <w:tc>
          <w:tcPr>
            <w:tcW w:w="1384" w:type="pct"/>
            <w:gridSpan w:val="5"/>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相对方位</w:t>
            </w:r>
          </w:p>
        </w:tc>
        <w:tc>
          <w:tcPr>
            <w:tcW w:w="654" w:type="pct"/>
            <w:gridSpan w:val="3"/>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距离</w:t>
            </w:r>
          </w:p>
        </w:tc>
        <w:tc>
          <w:tcPr>
            <w:tcW w:w="2157" w:type="pct"/>
            <w:gridSpan w:val="4"/>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843" w:type="pct"/>
            <w:gridSpan w:val="9"/>
            <w:vAlign w:val="center"/>
          </w:tcPr>
          <w:p>
            <w:pPr>
              <w:pStyle w:val="332"/>
              <w:rPr>
                <w:bCs/>
                <w:color w:val="000000" w:themeColor="text1"/>
                <w14:textFill>
                  <w14:solidFill>
                    <w14:schemeClr w14:val="tx1"/>
                  </w14:solidFill>
                </w14:textFill>
              </w:rPr>
            </w:pPr>
            <w:r>
              <w:rPr>
                <w:bCs/>
                <w:color w:val="000000" w:themeColor="text1"/>
                <w14:textFill>
                  <w14:solidFill>
                    <w14:schemeClr w14:val="tx1"/>
                  </w14:solidFill>
                </w14:textFill>
              </w:rPr>
              <w:t>厂界四周200 m内</w:t>
            </w:r>
          </w:p>
        </w:tc>
        <w:tc>
          <w:tcPr>
            <w:tcW w:w="2157" w:type="pct"/>
            <w:gridSpan w:val="4"/>
            <w:vAlign w:val="center"/>
          </w:tcPr>
          <w:p>
            <w:pPr>
              <w:pStyle w:val="332"/>
              <w:rPr>
                <w:bCs/>
                <w:color w:val="000000" w:themeColor="text1"/>
                <w14:textFill>
                  <w14:solidFill>
                    <w14:schemeClr w14:val="tx1"/>
                  </w14:solidFill>
                </w14:textFill>
              </w:rPr>
            </w:pPr>
            <w:r>
              <w:rPr>
                <w:color w:val="000000" w:themeColor="text1"/>
                <w14:textFill>
                  <w14:solidFill>
                    <w14:schemeClr w14:val="tx1"/>
                  </w14:solidFill>
                </w14:textFill>
              </w:rPr>
              <w:t>《声环境质量标准》（GB3096-2008）1类标准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000" w:type="pct"/>
            <w:gridSpan w:val="13"/>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土壤环境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782" w:type="pct"/>
            <w:gridSpan w:val="5"/>
            <w:tcBorders>
              <w:top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保护对象及范围</w:t>
            </w:r>
          </w:p>
        </w:tc>
        <w:tc>
          <w:tcPr>
            <w:tcW w:w="3218" w:type="pct"/>
            <w:gridSpan w:val="8"/>
            <w:tcBorders>
              <w:top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782" w:type="pct"/>
            <w:gridSpan w:val="5"/>
            <w:tcBorders>
              <w:top w:val="single" w:color="auto" w:sz="4" w:space="0"/>
            </w:tcBorders>
            <w:vAlign w:val="center"/>
          </w:tcPr>
          <w:p>
            <w:pPr>
              <w:pStyle w:val="332"/>
              <w:rPr>
                <w:color w:val="000000" w:themeColor="text1"/>
                <w14:textFill>
                  <w14:solidFill>
                    <w14:schemeClr w14:val="tx1"/>
                  </w14:solidFill>
                </w14:textFill>
              </w:rPr>
            </w:pPr>
            <w:r>
              <w:rPr>
                <w:bCs/>
                <w:color w:val="000000" w:themeColor="text1"/>
                <w14:textFill>
                  <w14:solidFill>
                    <w14:schemeClr w14:val="tx1"/>
                  </w14:solidFill>
                </w14:textFill>
              </w:rPr>
              <w:t>场区占地范围及沼液消纳农田区域</w:t>
            </w:r>
          </w:p>
        </w:tc>
        <w:tc>
          <w:tcPr>
            <w:tcW w:w="3218" w:type="pct"/>
            <w:gridSpan w:val="8"/>
            <w:tcBorders>
              <w:top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《土壤环境质量农用地土壤污染风险管控标准（试行）》（GB15618-2018））表1、表2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000" w:type="pct"/>
            <w:gridSpan w:val="13"/>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保护对象</w:t>
            </w:r>
          </w:p>
        </w:tc>
        <w:tc>
          <w:tcPr>
            <w:tcW w:w="1626" w:type="pct"/>
            <w:gridSpan w:val="6"/>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相对方位</w:t>
            </w:r>
          </w:p>
        </w:tc>
        <w:tc>
          <w:tcPr>
            <w:tcW w:w="2570" w:type="pct"/>
            <w:gridSpan w:val="6"/>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tcBorders>
              <w:top w:val="single" w:color="auto" w:sz="4" w:space="0"/>
              <w:bottom w:val="single" w:color="auto" w:sz="12" w:space="0"/>
            </w:tcBorders>
            <w:vAlign w:val="center"/>
          </w:tcPr>
          <w:p>
            <w:pPr>
              <w:pStyle w:val="332"/>
              <w:rPr>
                <w:bCs/>
                <w:color w:val="000000" w:themeColor="text1"/>
                <w14:textFill>
                  <w14:solidFill>
                    <w14:schemeClr w14:val="tx1"/>
                  </w14:solidFill>
                </w14:textFill>
              </w:rPr>
            </w:pPr>
            <w:r>
              <w:rPr>
                <w:bCs/>
                <w:color w:val="000000" w:themeColor="text1"/>
                <w14:textFill>
                  <w14:solidFill>
                    <w14:schemeClr w14:val="tx1"/>
                  </w14:solidFill>
                </w14:textFill>
              </w:rPr>
              <w:t>占地范围内及周边</w:t>
            </w:r>
          </w:p>
        </w:tc>
        <w:tc>
          <w:tcPr>
            <w:tcW w:w="1626" w:type="pct"/>
            <w:gridSpan w:val="6"/>
            <w:tcBorders>
              <w:top w:val="single" w:color="auto" w:sz="4" w:space="0"/>
              <w:bottom w:val="single" w:color="auto" w:sz="12" w:space="0"/>
            </w:tcBorders>
            <w:vAlign w:val="center"/>
          </w:tcPr>
          <w:p>
            <w:pPr>
              <w:pStyle w:val="332"/>
              <w:rPr>
                <w:bCs/>
                <w:color w:val="000000" w:themeColor="text1"/>
                <w14:textFill>
                  <w14:solidFill>
                    <w14:schemeClr w14:val="tx1"/>
                  </w14:solidFill>
                </w14:textFill>
              </w:rPr>
            </w:pPr>
            <w:r>
              <w:rPr>
                <w:bCs/>
                <w:color w:val="000000" w:themeColor="text1"/>
                <w14:textFill>
                  <w14:solidFill>
                    <w14:schemeClr w14:val="tx1"/>
                  </w14:solidFill>
                </w14:textFill>
              </w:rPr>
              <w:t>农田、土壤、厂区占地</w:t>
            </w:r>
          </w:p>
        </w:tc>
        <w:tc>
          <w:tcPr>
            <w:tcW w:w="2570" w:type="pct"/>
            <w:gridSpan w:val="6"/>
            <w:tcBorders>
              <w:top w:val="single" w:color="auto" w:sz="4" w:space="0"/>
              <w:bottom w:val="single" w:color="auto" w:sz="1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加强绿化，维护生态系统稳定，防止水土流失</w:t>
            </w:r>
          </w:p>
        </w:tc>
      </w:tr>
    </w:tbl>
    <w:p>
      <w:pPr>
        <w:ind w:firstLine="480"/>
        <w:rPr>
          <w:rFonts w:cs="Times New Roman"/>
          <w:color w:val="000000" w:themeColor="text1"/>
          <w14:textFill>
            <w14:solidFill>
              <w14:schemeClr w14:val="tx1"/>
            </w14:solidFill>
          </w14:textFill>
        </w:rPr>
        <w:sectPr>
          <w:pgSz w:w="11906" w:h="16838"/>
          <w:pgMar w:top="1418" w:right="1588" w:bottom="1418" w:left="1588" w:header="851" w:footer="992" w:gutter="0"/>
          <w:pgNumType w:fmt="numberInDash"/>
          <w:cols w:space="720" w:num="1"/>
          <w:docGrid w:linePitch="400" w:charSpace="0"/>
        </w:sectPr>
      </w:pP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anchor distT="0" distB="0" distL="114300" distR="114300" simplePos="0" relativeHeight="251776000" behindDoc="0" locked="0" layoutInCell="1" allowOverlap="1">
            <wp:simplePos x="0" y="0"/>
            <wp:positionH relativeFrom="margin">
              <wp:posOffset>59690</wp:posOffset>
            </wp:positionH>
            <wp:positionV relativeFrom="margin">
              <wp:posOffset>-172720</wp:posOffset>
            </wp:positionV>
            <wp:extent cx="8771890" cy="5548630"/>
            <wp:effectExtent l="0" t="0" r="0" b="0"/>
            <wp:wrapTopAndBottom/>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20" cstate="print">
                      <a:extLst>
                        <a:ext uri="{28A0092B-C50C-407E-A947-70E740481C1C}">
                          <a14:useLocalDpi xmlns:a14="http://schemas.microsoft.com/office/drawing/2010/main" val="false"/>
                        </a:ext>
                      </a:extLst>
                    </a:blip>
                    <a:srcRect/>
                    <a:stretch>
                      <a:fillRect/>
                    </a:stretch>
                  </pic:blipFill>
                  <pic:spPr>
                    <a:xfrm>
                      <a:off x="0" y="0"/>
                      <a:ext cx="8771890" cy="5548630"/>
                    </a:xfrm>
                    <a:prstGeom prst="rect">
                      <a:avLst/>
                    </a:prstGeom>
                    <a:noFill/>
                    <a:ln>
                      <a:noFill/>
                    </a:ln>
                  </pic:spPr>
                </pic:pic>
              </a:graphicData>
            </a:graphic>
          </wp:anchor>
        </w:drawing>
      </w:r>
      <w:r>
        <w:rPr>
          <w:rFonts w:cs="Times New Roman"/>
          <w:color w:val="000000" w:themeColor="text1"/>
          <w14:textFill>
            <w14:solidFill>
              <w14:schemeClr w14:val="tx1"/>
            </w14:solidFill>
          </w14:textFill>
        </w:rPr>
        <w:t>图2.7-1 环境保护目标图</w:t>
      </w:r>
    </w:p>
    <w:p>
      <w:pPr>
        <w:ind w:firstLine="480"/>
        <w:rPr>
          <w:rFonts w:cs="Times New Roman"/>
          <w:color w:val="000000" w:themeColor="text1"/>
          <w14:textFill>
            <w14:solidFill>
              <w14:schemeClr w14:val="tx1"/>
            </w14:solidFill>
          </w14:textFill>
        </w:rPr>
        <w:sectPr>
          <w:pgSz w:w="16838" w:h="11906" w:orient="landscape"/>
          <w:pgMar w:top="1588" w:right="1418" w:bottom="1588" w:left="1418" w:header="851" w:footer="992" w:gutter="0"/>
          <w:pgNumType w:fmt="numberInDash"/>
          <w:cols w:space="720" w:num="1"/>
          <w:docGrid w:linePitch="400" w:charSpace="0"/>
        </w:sectPr>
      </w:pPr>
    </w:p>
    <w:bookmarkEnd w:id="265"/>
    <w:bookmarkEnd w:id="266"/>
    <w:p>
      <w:pPr>
        <w:pStyle w:val="2"/>
        <w:spacing w:before="240" w:after="120"/>
        <w:rPr>
          <w:rFonts w:cs="Times New Roman"/>
          <w:color w:val="000000" w:themeColor="text1"/>
          <w14:textFill>
            <w14:solidFill>
              <w14:schemeClr w14:val="tx1"/>
            </w14:solidFill>
          </w14:textFill>
        </w:rPr>
      </w:pPr>
      <w:bookmarkStart w:id="299" w:name="_Toc499731485"/>
      <w:bookmarkEnd w:id="299"/>
      <w:bookmarkStart w:id="300" w:name="_Toc58362774"/>
      <w:bookmarkStart w:id="301" w:name="_Toc52791873"/>
      <w:bookmarkStart w:id="302" w:name="_Toc91163859"/>
      <w:bookmarkStart w:id="303" w:name="_Toc47620005"/>
      <w:bookmarkStart w:id="304" w:name="_Toc47619357"/>
      <w:bookmarkStart w:id="305" w:name="_Toc47619463"/>
      <w:bookmarkStart w:id="306" w:name="_Toc47619157"/>
      <w:bookmarkStart w:id="307" w:name="_Toc249090496"/>
      <w:bookmarkStart w:id="308" w:name="_Toc228067762"/>
      <w:bookmarkStart w:id="309" w:name="_Toc47619819"/>
      <w:r>
        <w:rPr>
          <w:rFonts w:cs="Times New Roman"/>
          <w:color w:val="000000" w:themeColor="text1"/>
          <w14:textFill>
            <w14:solidFill>
              <w14:schemeClr w14:val="tx1"/>
            </w14:solidFill>
          </w14:textFill>
        </w:rPr>
        <w:t>第三章 工程概况及工程分析</w:t>
      </w:r>
      <w:bookmarkEnd w:id="300"/>
      <w:bookmarkEnd w:id="301"/>
      <w:bookmarkEnd w:id="302"/>
      <w:bookmarkEnd w:id="303"/>
      <w:bookmarkEnd w:id="304"/>
      <w:bookmarkEnd w:id="305"/>
      <w:bookmarkEnd w:id="306"/>
      <w:bookmarkEnd w:id="307"/>
      <w:bookmarkEnd w:id="308"/>
      <w:bookmarkEnd w:id="309"/>
    </w:p>
    <w:p>
      <w:pPr>
        <w:pStyle w:val="3"/>
        <w:spacing w:before="120" w:after="120"/>
        <w:rPr>
          <w:rFonts w:cs="Times New Roman"/>
          <w:color w:val="000000" w:themeColor="text1"/>
          <w14:textFill>
            <w14:solidFill>
              <w14:schemeClr w14:val="tx1"/>
            </w14:solidFill>
          </w14:textFill>
        </w:rPr>
      </w:pPr>
      <w:bookmarkStart w:id="310" w:name="_Toc47619158"/>
      <w:bookmarkStart w:id="311" w:name="_Toc91163860"/>
      <w:bookmarkStart w:id="312" w:name="_Toc47619820"/>
      <w:bookmarkStart w:id="313" w:name="_Toc47619358"/>
      <w:bookmarkStart w:id="314" w:name="_Toc47619464"/>
      <w:bookmarkStart w:id="315" w:name="_Toc52791874"/>
      <w:bookmarkStart w:id="316" w:name="_Toc47620006"/>
      <w:bookmarkStart w:id="317" w:name="_Toc58362775"/>
      <w:r>
        <w:rPr>
          <w:rFonts w:cs="Times New Roman"/>
          <w:color w:val="000000" w:themeColor="text1"/>
          <w14:textFill>
            <w14:solidFill>
              <w14:schemeClr w14:val="tx1"/>
            </w14:solidFill>
          </w14:textFill>
        </w:rPr>
        <w:t>3.1  工程概况</w:t>
      </w:r>
      <w:bookmarkEnd w:id="310"/>
      <w:bookmarkEnd w:id="311"/>
      <w:bookmarkEnd w:id="312"/>
      <w:bookmarkEnd w:id="313"/>
      <w:bookmarkEnd w:id="314"/>
      <w:bookmarkEnd w:id="315"/>
      <w:bookmarkEnd w:id="316"/>
      <w:bookmarkEnd w:id="317"/>
    </w:p>
    <w:p>
      <w:pPr>
        <w:pStyle w:val="4"/>
        <w:rPr>
          <w:rFonts w:cs="Times New Roman"/>
          <w:color w:val="000000" w:themeColor="text1"/>
          <w14:textFill>
            <w14:solidFill>
              <w14:schemeClr w14:val="tx1"/>
            </w14:solidFill>
          </w14:textFill>
        </w:rPr>
      </w:pPr>
      <w:bookmarkStart w:id="318" w:name="_Toc58362776"/>
      <w:bookmarkStart w:id="319" w:name="_Toc47620007"/>
      <w:bookmarkStart w:id="320" w:name="_Toc52791875"/>
      <w:bookmarkStart w:id="321" w:name="_Toc47619821"/>
      <w:bookmarkStart w:id="322" w:name="_Toc47619159"/>
      <w:bookmarkStart w:id="323" w:name="_Toc91163861"/>
      <w:r>
        <w:rPr>
          <w:rFonts w:cs="Times New Roman"/>
          <w:color w:val="000000" w:themeColor="text1"/>
          <w14:textFill>
            <w14:solidFill>
              <w14:schemeClr w14:val="tx1"/>
            </w14:solidFill>
          </w14:textFill>
        </w:rPr>
        <w:t xml:space="preserve">3.1.1 </w:t>
      </w:r>
      <w:bookmarkEnd w:id="318"/>
      <w:bookmarkEnd w:id="319"/>
      <w:bookmarkEnd w:id="320"/>
      <w:bookmarkEnd w:id="321"/>
      <w:bookmarkEnd w:id="322"/>
      <w:r>
        <w:rPr>
          <w:rFonts w:cs="Times New Roman"/>
          <w:color w:val="000000" w:themeColor="text1"/>
          <w14:textFill>
            <w14:solidFill>
              <w14:schemeClr w14:val="tx1"/>
            </w14:solidFill>
          </w14:textFill>
        </w:rPr>
        <w:t>项目基本情况</w:t>
      </w:r>
      <w:bookmarkEnd w:id="323"/>
    </w:p>
    <w:p>
      <w:pPr>
        <w:ind w:firstLine="480"/>
        <w:rPr>
          <w:rFonts w:cs="Times New Roman"/>
          <w:color w:val="000000" w:themeColor="text1"/>
          <w14:textFill>
            <w14:solidFill>
              <w14:schemeClr w14:val="tx1"/>
            </w14:solidFill>
          </w14:textFill>
        </w:rPr>
      </w:pPr>
      <w:bookmarkStart w:id="324" w:name="_Toc47619822"/>
      <w:bookmarkStart w:id="325" w:name="_Toc47620008"/>
      <w:bookmarkStart w:id="326" w:name="_Toc52791876"/>
      <w:bookmarkStart w:id="327" w:name="_Toc58362777"/>
      <w:bookmarkStart w:id="328" w:name="_Toc47619160"/>
      <w:r>
        <w:rPr>
          <w:rFonts w:cs="Times New Roman"/>
          <w:color w:val="000000" w:themeColor="text1"/>
          <w14:textFill>
            <w14:solidFill>
              <w14:schemeClr w14:val="tx1"/>
            </w14:solidFill>
          </w14:textFill>
        </w:rPr>
        <w:t>项目名称：山西鑫达农牧有限公司1.5万头生猪产业化项目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建设地点：</w:t>
      </w:r>
      <w:r>
        <w:rPr>
          <w:rFonts w:cs="Times New Roman"/>
          <w:bCs/>
          <w:color w:val="000000" w:themeColor="text1"/>
          <w:kern w:val="24"/>
          <w:szCs w:val="20"/>
          <w14:textFill>
            <w14:solidFill>
              <w14:schemeClr w14:val="tx1"/>
            </w14:solidFill>
          </w14:textFill>
        </w:rPr>
        <w:t>长治市屯留区丰宜镇杜村村北约630 m处</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建设单位：山西鑫达农牧有限公司</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建设性质：新建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项目总投资及资金来源：总投资2400.28万元，自筹解决。</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劳动定员及工作制度：劳动定员30人，全年工作365天，猪舍每天2班，每班8小时</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建设周期：6个月</w:t>
      </w:r>
    </w:p>
    <w:p>
      <w:pPr>
        <w:pStyle w:val="4"/>
        <w:rPr>
          <w:rFonts w:cs="Times New Roman"/>
          <w:color w:val="000000" w:themeColor="text1"/>
          <w14:textFill>
            <w14:solidFill>
              <w14:schemeClr w14:val="tx1"/>
            </w14:solidFill>
          </w14:textFill>
        </w:rPr>
      </w:pPr>
      <w:bookmarkStart w:id="329" w:name="_Toc91163862"/>
      <w:r>
        <w:rPr>
          <w:rFonts w:cs="Times New Roman"/>
          <w:color w:val="000000" w:themeColor="text1"/>
          <w14:textFill>
            <w14:solidFill>
              <w14:schemeClr w14:val="tx1"/>
            </w14:solidFill>
          </w14:textFill>
        </w:rPr>
        <w:t xml:space="preserve">3.1.2 </w:t>
      </w:r>
      <w:bookmarkEnd w:id="324"/>
      <w:bookmarkEnd w:id="325"/>
      <w:bookmarkEnd w:id="326"/>
      <w:bookmarkEnd w:id="327"/>
      <w:bookmarkEnd w:id="328"/>
      <w:r>
        <w:rPr>
          <w:rFonts w:cs="Times New Roman"/>
          <w:color w:val="000000" w:themeColor="text1"/>
          <w14:textFill>
            <w14:solidFill>
              <w14:schemeClr w14:val="tx1"/>
            </w14:solidFill>
          </w14:textFill>
        </w:rPr>
        <w:t>建设内容及建设规模</w:t>
      </w:r>
      <w:bookmarkEnd w:id="329"/>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本项目位于</w:t>
      </w:r>
      <w:r>
        <w:rPr>
          <w:rFonts w:cs="Times New Roman"/>
          <w:bCs/>
          <w:color w:val="000000" w:themeColor="text1"/>
          <w:kern w:val="24"/>
          <w:szCs w:val="20"/>
          <w14:textFill>
            <w14:solidFill>
              <w14:schemeClr w14:val="tx1"/>
            </w14:solidFill>
          </w14:textFill>
        </w:rPr>
        <w:t>长治市屯留区丰宜镇杜村村北约630 m处</w:t>
      </w:r>
      <w:r>
        <w:rPr>
          <w:rFonts w:cs="Times New Roman"/>
          <w:color w:val="000000" w:themeColor="text1"/>
          <w14:textFill>
            <w14:solidFill>
              <w14:schemeClr w14:val="tx1"/>
            </w14:solidFill>
          </w14:textFill>
        </w:rPr>
        <w:t>，</w:t>
      </w:r>
      <w:r>
        <w:rPr>
          <w:rFonts w:cs="Times New Roman"/>
          <w:bCs/>
          <w:color w:val="000000" w:themeColor="text1"/>
          <w14:textFill>
            <w14:solidFill>
              <w14:schemeClr w14:val="tx1"/>
            </w14:solidFill>
          </w14:textFill>
        </w:rPr>
        <w:t>中心地理坐标为E112.8283333°、N36.272742°，</w:t>
      </w:r>
      <w:r>
        <w:rPr>
          <w:rFonts w:cs="Times New Roman"/>
          <w:bCs/>
          <w:color w:val="000000" w:themeColor="text1"/>
          <w:kern w:val="24"/>
          <w:szCs w:val="20"/>
          <w14:textFill>
            <w14:solidFill>
              <w14:schemeClr w14:val="tx1"/>
            </w14:solidFill>
          </w14:textFill>
        </w:rPr>
        <w:t>占地面积53019.51m</w:t>
      </w:r>
      <w:r>
        <w:rPr>
          <w:rFonts w:cs="Times New Roman"/>
          <w:bCs/>
          <w:color w:val="000000" w:themeColor="text1"/>
          <w:kern w:val="24"/>
          <w:szCs w:val="20"/>
          <w:vertAlign w:val="superscript"/>
          <w14:textFill>
            <w14:solidFill>
              <w14:schemeClr w14:val="tx1"/>
            </w14:solidFill>
          </w14:textFill>
        </w:rPr>
        <w:t>2</w:t>
      </w:r>
      <w:r>
        <w:rPr>
          <w:rFonts w:cs="Times New Roman"/>
          <w:bCs/>
          <w:color w:val="000000" w:themeColor="text1"/>
          <w:kern w:val="24"/>
          <w:szCs w:val="20"/>
          <w14:textFill>
            <w14:solidFill>
              <w14:schemeClr w14:val="tx1"/>
            </w14:solidFill>
          </w14:textFill>
        </w:rPr>
        <w:t>，约79.53亩，</w:t>
      </w:r>
      <w:r>
        <w:rPr>
          <w:rFonts w:cs="Times New Roman"/>
          <w:color w:val="000000" w:themeColor="text1"/>
          <w14:textFill>
            <w14:solidFill>
              <w14:schemeClr w14:val="tx1"/>
            </w14:solidFill>
          </w14:textFill>
        </w:rPr>
        <w:t>现状为一般农田，属经营权流转土地；场区周围均为农田，可消纳本项目养殖场粪污，实现生态循环。</w:t>
      </w:r>
      <w:r>
        <w:rPr>
          <w:rFonts w:cs="Times New Roman"/>
          <w:color w:val="000000" w:themeColor="text1"/>
          <w:kern w:val="0"/>
          <w:szCs w:val="24"/>
          <w14:textFill>
            <w14:solidFill>
              <w14:schemeClr w14:val="tx1"/>
            </w14:solidFill>
          </w14:textFill>
        </w:rPr>
        <w:t>经现场勘察，项目厂址为空地，尚未动工建设。</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14:textFill>
            <w14:solidFill>
              <w14:schemeClr w14:val="tx1"/>
            </w14:solidFill>
          </w14:textFill>
        </w:rPr>
        <w:t>施工期施工营地及物料堆放等临时占地均位于项目场地内，不新增临时用地。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本项目主要建设包括养殖区、办公区，配套建设有污水处理系统、水、电、绿化、道路和其他附属工程等设施。其中养殖区1栋配种舍、3栋妊娠舍、5栋分娩舍、1栋保育舍、12栋中大猪舍。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本项目主要建设内容见表3.1-1。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表3.1-1 主要建设内容一览表</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42"/>
        <w:gridCol w:w="444"/>
        <w:gridCol w:w="142"/>
        <w:gridCol w:w="1144"/>
        <w:gridCol w:w="5937"/>
        <w:gridCol w:w="6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blHeader/>
        </w:trPr>
        <w:tc>
          <w:tcPr>
            <w:tcW w:w="305" w:type="pct"/>
            <w:tcBorders>
              <w:top w:val="single" w:color="auto" w:sz="12" w:space="0"/>
              <w:bottom w:val="single" w:color="auto" w:sz="12" w:space="0"/>
            </w:tcBorders>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974" w:type="pct"/>
            <w:gridSpan w:val="3"/>
            <w:tcBorders>
              <w:top w:val="single" w:color="auto" w:sz="12" w:space="0"/>
              <w:bottom w:val="single" w:color="auto" w:sz="12" w:space="0"/>
            </w:tcBorders>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建设内容</w:t>
            </w:r>
          </w:p>
        </w:tc>
        <w:tc>
          <w:tcPr>
            <w:tcW w:w="3341" w:type="pct"/>
            <w:tcBorders>
              <w:top w:val="single" w:color="auto" w:sz="12" w:space="0"/>
              <w:bottom w:val="single" w:color="auto" w:sz="12" w:space="0"/>
            </w:tcBorders>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kern w:val="2"/>
                <w:szCs w:val="21"/>
                <w14:textFill>
                  <w14:solidFill>
                    <w14:schemeClr w14:val="tx1"/>
                  </w14:solidFill>
                </w14:textFill>
              </w:rPr>
              <w:t>工程内容及指标</w:t>
            </w:r>
          </w:p>
        </w:tc>
        <w:tc>
          <w:tcPr>
            <w:tcW w:w="380" w:type="pct"/>
            <w:tcBorders>
              <w:top w:val="single" w:color="auto" w:sz="12" w:space="0"/>
              <w:bottom w:val="single" w:color="auto" w:sz="12" w:space="0"/>
            </w:tcBorders>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restart"/>
            <w:tcBorders>
              <w:top w:val="single" w:color="auto" w:sz="12" w:space="0"/>
            </w:tcBorders>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主体工程</w:t>
            </w:r>
          </w:p>
        </w:tc>
        <w:tc>
          <w:tcPr>
            <w:tcW w:w="330" w:type="pct"/>
            <w:gridSpan w:val="2"/>
            <w:vMerge w:val="restart"/>
            <w:tcBorders>
              <w:top w:val="single" w:color="auto" w:sz="12" w:space="0"/>
            </w:tcBorders>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养殖一区</w:t>
            </w:r>
          </w:p>
        </w:tc>
        <w:tc>
          <w:tcPr>
            <w:tcW w:w="644" w:type="pct"/>
            <w:tcBorders>
              <w:top w:val="single" w:color="auto" w:sz="12" w:space="0"/>
            </w:tcBorders>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配种舍</w:t>
            </w:r>
          </w:p>
        </w:tc>
        <w:tc>
          <w:tcPr>
            <w:tcW w:w="3341" w:type="pct"/>
            <w:tcBorders>
              <w:top w:val="single" w:color="auto" w:sz="12" w:space="0"/>
            </w:tcBorders>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lang w:bidi="ar"/>
                <w14:textFill>
                  <w14:solidFill>
                    <w14:schemeClr w14:val="tx1"/>
                  </w14:solidFill>
                </w14:textFill>
              </w:rPr>
              <w:t>1栋，砖混结构，建筑面积426 m</w:t>
            </w:r>
            <w:r>
              <w:rPr>
                <w:color w:val="000000" w:themeColor="text1"/>
                <w:vertAlign w:val="superscript"/>
                <w:lang w:bidi="ar"/>
                <w14:textFill>
                  <w14:solidFill>
                    <w14:schemeClr w14:val="tx1"/>
                  </w14:solidFill>
                </w14:textFill>
              </w:rPr>
              <w:t>2</w:t>
            </w:r>
            <w:r>
              <w:rPr>
                <w:color w:val="000000" w:themeColor="text1"/>
                <w:lang w:bidi="ar"/>
                <w14:textFill>
                  <w14:solidFill>
                    <w14:schemeClr w14:val="tx1"/>
                  </w14:solidFill>
                </w14:textFill>
              </w:rPr>
              <w:t>，规格14.2×30×2.5 m；</w:t>
            </w:r>
          </w:p>
        </w:tc>
        <w:tc>
          <w:tcPr>
            <w:tcW w:w="380" w:type="pct"/>
            <w:tcBorders>
              <w:top w:val="single" w:color="auto" w:sz="12" w:space="0"/>
            </w:tcBorders>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妊娠舍</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3</w:t>
            </w:r>
            <w:r>
              <w:rPr>
                <w:color w:val="000000" w:themeColor="text1"/>
                <w:lang w:bidi="ar"/>
                <w14:textFill>
                  <w14:solidFill>
                    <w14:schemeClr w14:val="tx1"/>
                  </w14:solidFill>
                </w14:textFill>
              </w:rPr>
              <w:t>栋</w:t>
            </w:r>
            <w:r>
              <w:rPr>
                <w:color w:val="000000" w:themeColor="text1"/>
                <w14:textFill>
                  <w14:solidFill>
                    <w14:schemeClr w14:val="tx1"/>
                  </w14:solidFill>
                </w14:textFill>
              </w:rPr>
              <w:t>，</w:t>
            </w:r>
            <w:r>
              <w:rPr>
                <w:color w:val="000000" w:themeColor="text1"/>
                <w:lang w:bidi="ar"/>
                <w14:textFill>
                  <w14:solidFill>
                    <w14:schemeClr w14:val="tx1"/>
                  </w14:solidFill>
                </w14:textFill>
              </w:rPr>
              <w:t>砖混结构，每栋建筑规格14.2×30×2.5 m，每栋建筑面积426 m</w:t>
            </w:r>
            <w:r>
              <w:rPr>
                <w:color w:val="000000" w:themeColor="text1"/>
                <w:vertAlign w:val="superscript"/>
                <w:lang w:bidi="ar"/>
                <w14:textFill>
                  <w14:solidFill>
                    <w14:schemeClr w14:val="tx1"/>
                  </w14:solidFill>
                </w14:textFill>
              </w:rPr>
              <w:t>2</w:t>
            </w:r>
            <w:r>
              <w:rPr>
                <w:color w:val="000000" w:themeColor="text1"/>
                <w:lang w:bidi="ar"/>
                <w14:textFill>
                  <w14:solidFill>
                    <w14:schemeClr w14:val="tx1"/>
                  </w14:solidFill>
                </w14:textFill>
              </w:rPr>
              <w:t>，合计1278 m</w:t>
            </w:r>
            <w:r>
              <w:rPr>
                <w:color w:val="000000" w:themeColor="text1"/>
                <w:vertAlign w:val="superscript"/>
                <w:lang w:bidi="ar"/>
                <w14:textFill>
                  <w14:solidFill>
                    <w14:schemeClr w14:val="tx1"/>
                  </w14:solidFill>
                </w14:textFill>
              </w:rPr>
              <w:t>2</w:t>
            </w:r>
            <w:r>
              <w:rPr>
                <w:color w:val="000000" w:themeColor="text1"/>
                <w:lang w:bidi="ar"/>
                <w14:textFill>
                  <w14:solidFill>
                    <w14:schemeClr w14:val="tx1"/>
                  </w14:solidFill>
                </w14:textFill>
              </w:rPr>
              <w:t>；用于怀孕母猪的饲养；</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分娩舍</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5栋，</w:t>
            </w:r>
            <w:r>
              <w:rPr>
                <w:color w:val="000000" w:themeColor="text1"/>
                <w:lang w:bidi="ar"/>
                <w14:textFill>
                  <w14:solidFill>
                    <w14:schemeClr w14:val="tx1"/>
                  </w14:solidFill>
                </w14:textFill>
              </w:rPr>
              <w:t>砖混结构，每栋建筑规格25×14.6×2.5 m，每栋建筑面积365 m</w:t>
            </w:r>
            <w:r>
              <w:rPr>
                <w:color w:val="000000" w:themeColor="text1"/>
                <w:vertAlign w:val="superscript"/>
                <w:lang w:bidi="ar"/>
                <w14:textFill>
                  <w14:solidFill>
                    <w14:schemeClr w14:val="tx1"/>
                  </w14:solidFill>
                </w14:textFill>
              </w:rPr>
              <w:t>2</w:t>
            </w:r>
            <w:r>
              <w:rPr>
                <w:color w:val="000000" w:themeColor="text1"/>
                <w:lang w:bidi="ar"/>
                <w14:textFill>
                  <w14:solidFill>
                    <w14:schemeClr w14:val="tx1"/>
                  </w14:solidFill>
                </w14:textFill>
              </w:rPr>
              <w:t>，合计1825 m</w:t>
            </w:r>
            <w:r>
              <w:rPr>
                <w:color w:val="000000" w:themeColor="text1"/>
                <w:vertAlign w:val="superscript"/>
                <w:lang w:bidi="ar"/>
                <w14:textFill>
                  <w14:solidFill>
                    <w14:schemeClr w14:val="tx1"/>
                  </w14:solidFill>
                </w14:textFill>
              </w:rPr>
              <w:t>2</w:t>
            </w:r>
            <w:r>
              <w:rPr>
                <w:color w:val="000000" w:themeColor="text1"/>
                <w:lang w:bidi="ar"/>
                <w14:textFill>
                  <w14:solidFill>
                    <w14:schemeClr w14:val="tx1"/>
                  </w14:solidFill>
                </w14:textFill>
              </w:rPr>
              <w:t>；用于生产和哺乳过程的母猪饲养；</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保育舍</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lang w:bidi="ar"/>
                <w14:textFill>
                  <w14:solidFill>
                    <w14:schemeClr w14:val="tx1"/>
                  </w14:solidFill>
                </w14:textFill>
              </w:rPr>
              <w:t>1栋，砖混结构，规格</w:t>
            </w:r>
            <w:r>
              <w:rPr>
                <w:color w:val="000000" w:themeColor="text1"/>
                <w14:textFill>
                  <w14:solidFill>
                    <w14:schemeClr w14:val="tx1"/>
                  </w14:solidFill>
                </w14:textFill>
              </w:rPr>
              <w:t>25</w:t>
            </w:r>
            <w:r>
              <w:rPr>
                <w:color w:val="000000" w:themeColor="text1"/>
                <w:lang w:bidi="ar"/>
                <w14:textFill>
                  <w14:solidFill>
                    <w14:schemeClr w14:val="tx1"/>
                  </w14:solidFill>
                </w14:textFill>
              </w:rPr>
              <w:t>×</w:t>
            </w:r>
            <w:r>
              <w:rPr>
                <w:color w:val="000000" w:themeColor="text1"/>
                <w14:textFill>
                  <w14:solidFill>
                    <w14:schemeClr w14:val="tx1"/>
                  </w14:solidFill>
                </w14:textFill>
              </w:rPr>
              <w:t>50.4</w:t>
            </w:r>
            <w:r>
              <w:rPr>
                <w:color w:val="000000" w:themeColor="text1"/>
                <w:lang w:bidi="ar"/>
                <w14:textFill>
                  <w14:solidFill>
                    <w14:schemeClr w14:val="tx1"/>
                  </w14:solidFill>
                </w14:textFill>
              </w:rPr>
              <w:t xml:space="preserve"> m，</w:t>
            </w:r>
            <w:r>
              <w:rPr>
                <w:color w:val="000000" w:themeColor="text1"/>
                <w14:textFill>
                  <w14:solidFill>
                    <w14:schemeClr w14:val="tx1"/>
                  </w14:solidFill>
                </w14:textFill>
              </w:rPr>
              <w:t>建筑面积1260</w:t>
            </w:r>
            <w:r>
              <w:rPr>
                <w:color w:val="000000" w:themeColor="text1"/>
                <w:lang w:bidi="ar"/>
                <w14:textFill>
                  <w14:solidFill>
                    <w14:schemeClr w14:val="tx1"/>
                  </w14:solidFill>
                </w14:textFill>
              </w:rPr>
              <w:t xml:space="preserve"> m</w:t>
            </w:r>
            <w:r>
              <w:rPr>
                <w:color w:val="000000" w:themeColor="text1"/>
                <w:vertAlign w:val="superscript"/>
                <w:lang w:bidi="ar"/>
                <w14:textFill>
                  <w14:solidFill>
                    <w14:schemeClr w14:val="tx1"/>
                  </w14:solidFill>
                </w14:textFill>
              </w:rPr>
              <w:t>2</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养殖二区</w:t>
            </w: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中大猪舍</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lang w:bidi="ar"/>
                <w14:textFill>
                  <w14:solidFill>
                    <w14:schemeClr w14:val="tx1"/>
                  </w14:solidFill>
                </w14:textFill>
              </w:rPr>
              <w:t>12栋，砖混结构，每栋建筑规格</w:t>
            </w:r>
            <w:r>
              <w:rPr>
                <w:color w:val="000000" w:themeColor="text1"/>
                <w14:textFill>
                  <w14:solidFill>
                    <w14:schemeClr w14:val="tx1"/>
                  </w14:solidFill>
                </w14:textFill>
              </w:rPr>
              <w:t>18</w:t>
            </w:r>
            <w:r>
              <w:rPr>
                <w:color w:val="000000" w:themeColor="text1"/>
                <w:lang w:bidi="ar"/>
                <w14:textFill>
                  <w14:solidFill>
                    <w14:schemeClr w14:val="tx1"/>
                  </w14:solidFill>
                </w14:textFill>
              </w:rPr>
              <w:t>×</w:t>
            </w:r>
            <w:r>
              <w:rPr>
                <w:color w:val="000000" w:themeColor="text1"/>
                <w14:textFill>
                  <w14:solidFill>
                    <w14:schemeClr w14:val="tx1"/>
                  </w14:solidFill>
                </w14:textFill>
              </w:rPr>
              <w:t>55</w:t>
            </w:r>
            <w:r>
              <w:rPr>
                <w:color w:val="000000" w:themeColor="text1"/>
                <w:lang w:bidi="ar"/>
                <w14:textFill>
                  <w14:solidFill>
                    <w14:schemeClr w14:val="tx1"/>
                  </w14:solidFill>
                </w14:textFill>
              </w:rPr>
              <w:t>×</w:t>
            </w:r>
            <w:r>
              <w:rPr>
                <w:color w:val="000000" w:themeColor="text1"/>
                <w14:textFill>
                  <w14:solidFill>
                    <w14:schemeClr w14:val="tx1"/>
                  </w14:solidFill>
                </w14:textFill>
              </w:rPr>
              <w:t>2.5</w:t>
            </w:r>
            <w:r>
              <w:rPr>
                <w:color w:val="000000" w:themeColor="text1"/>
                <w:lang w:bidi="ar"/>
                <w14:textFill>
                  <w14:solidFill>
                    <w14:schemeClr w14:val="tx1"/>
                  </w14:solidFill>
                </w14:textFill>
              </w:rPr>
              <w:t xml:space="preserve"> m，每栋建筑面积990 m</w:t>
            </w:r>
            <w:r>
              <w:rPr>
                <w:color w:val="000000" w:themeColor="text1"/>
                <w:vertAlign w:val="superscript"/>
                <w:lang w:bidi="ar"/>
                <w14:textFill>
                  <w14:solidFill>
                    <w14:schemeClr w14:val="tx1"/>
                  </w14:solidFill>
                </w14:textFill>
              </w:rPr>
              <w:t>2</w:t>
            </w:r>
            <w:r>
              <w:rPr>
                <w:color w:val="000000" w:themeColor="text1"/>
                <w:lang w:bidi="ar"/>
                <w14:textFill>
                  <w14:solidFill>
                    <w14:schemeClr w14:val="tx1"/>
                  </w14:solidFill>
                </w14:textFill>
              </w:rPr>
              <w:t>，合计11880 m</w:t>
            </w:r>
            <w:r>
              <w:rPr>
                <w:color w:val="000000" w:themeColor="text1"/>
                <w:vertAlign w:val="superscript"/>
                <w:lang w:bidi="ar"/>
                <w14:textFill>
                  <w14:solidFill>
                    <w14:schemeClr w14:val="tx1"/>
                  </w14:solidFill>
                </w14:textFill>
              </w:rPr>
              <w:t>2</w:t>
            </w:r>
            <w:r>
              <w:rPr>
                <w:color w:val="000000" w:themeColor="text1"/>
                <w:lang w:bidi="ar"/>
                <w14:textFill>
                  <w14:solidFill>
                    <w14:schemeClr w14:val="tx1"/>
                  </w14:solidFill>
                </w14:textFill>
              </w:rPr>
              <w:t>；用于育肥猪、空怀母猪、公猪及后备猪的饲养；</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restar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辅助工程</w:t>
            </w:r>
          </w:p>
        </w:tc>
        <w:tc>
          <w:tcPr>
            <w:tcW w:w="974" w:type="pct"/>
            <w:gridSpan w:val="3"/>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办公楼</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位于场区西北角，地面三层，砖混结构，占地面积570 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（15</w:t>
            </w:r>
            <w:r>
              <w:rPr>
                <w:color w:val="000000" w:themeColor="text1"/>
                <w:lang w:bidi="ar"/>
                <w14:textFill>
                  <w14:solidFill>
                    <w14:schemeClr w14:val="tx1"/>
                  </w14:solidFill>
                </w14:textFill>
              </w:rPr>
              <w:t>×</w:t>
            </w:r>
            <w:r>
              <w:rPr>
                <w:color w:val="000000" w:themeColor="text1"/>
                <w14:textFill>
                  <w14:solidFill>
                    <w14:schemeClr w14:val="tx1"/>
                  </w14:solidFill>
                </w14:textFill>
              </w:rPr>
              <w:t>38</w:t>
            </w:r>
            <w:r>
              <w:rPr>
                <w:color w:val="000000" w:themeColor="text1"/>
                <w:lang w:bidi="ar"/>
                <w14:textFill>
                  <w14:solidFill>
                    <w14:schemeClr w14:val="tx1"/>
                  </w14:solidFill>
                </w14:textFill>
              </w:rPr>
              <w:t xml:space="preserve"> m），建筑面积1710</w:t>
            </w:r>
            <w:r>
              <w:rPr>
                <w:color w:val="000000" w:themeColor="text1"/>
                <w14:textFill>
                  <w14:solidFill>
                    <w14:schemeClr w14:val="tx1"/>
                  </w14:solidFill>
                </w14:textFill>
              </w:rPr>
              <w:t xml:space="preserve"> 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，配有药品房/库房、活动室、会议室；大件熏件、更衣室、小件熏件、值班室、洗衣房及宿舍等</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974" w:type="pct"/>
            <w:gridSpan w:val="3"/>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集中供料区</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供料区规格15×20 m，建筑面积为300 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 xml:space="preserve">，设4个饲料罐； </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974" w:type="pct"/>
            <w:gridSpan w:val="3"/>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医疗废物暂存间</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位于办公楼南侧，建筑面积10 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，地面硬化，做防渗处理；</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restar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配套工程</w:t>
            </w:r>
          </w:p>
        </w:tc>
        <w:tc>
          <w:tcPr>
            <w:tcW w:w="974" w:type="pct"/>
            <w:gridSpan w:val="3"/>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沼气综合利用系统</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黑膜沼气池产生的沼气经配套的沼气净化装置净化后用于沼气发电。配套设置1套脱硫装置、1套脱水装置、1套阻火装置等</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974" w:type="pct"/>
            <w:gridSpan w:val="3"/>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沼液利用管网系统</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lang w:bidi="ar"/>
                <w14:textFill>
                  <w14:solidFill>
                    <w14:schemeClr w14:val="tx1"/>
                  </w14:solidFill>
                </w14:textFill>
              </w:rPr>
              <w:t>沼液储存池1个，总容积11170 m</w:t>
            </w:r>
            <w:r>
              <w:rPr>
                <w:color w:val="000000" w:themeColor="text1"/>
                <w:vertAlign w:val="superscript"/>
                <w:lang w:bidi="ar"/>
                <w14:textFill>
                  <w14:solidFill>
                    <w14:schemeClr w14:val="tx1"/>
                  </w14:solidFill>
                </w14:textFill>
              </w:rPr>
              <w:t>3</w:t>
            </w:r>
            <w:r>
              <w:rPr>
                <w:color w:val="000000" w:themeColor="text1"/>
                <w:lang w:bidi="ar"/>
                <w14:textFill>
                  <w14:solidFill>
                    <w14:schemeClr w14:val="tx1"/>
                  </w14:solidFill>
                </w14:textFill>
              </w:rPr>
              <w:t>；沼液由沼液储存池引至施肥农田，项目使用的管材为PVC管，每个施肥口设有阀门，每两个施肥口间隔50~60 m沼液消纳地主要分布于养殖场四周</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974" w:type="pct"/>
            <w:gridSpan w:val="3"/>
            <w:tcMar>
              <w:top w:w="20" w:type="dxa"/>
              <w:left w:w="20" w:type="dxa"/>
              <w:bottom w:w="0" w:type="dxa"/>
              <w:right w:w="20" w:type="dxa"/>
            </w:tcMar>
            <w:vAlign w:val="center"/>
          </w:tcPr>
          <w:p>
            <w:pPr>
              <w:pStyle w:val="332"/>
              <w:rPr>
                <w:color w:val="000000" w:themeColor="text1"/>
                <w:lang w:bidi="en-US"/>
                <w14:textFill>
                  <w14:solidFill>
                    <w14:schemeClr w14:val="tx1"/>
                  </w14:solidFill>
                </w14:textFill>
              </w:rPr>
            </w:pPr>
            <w:r>
              <w:rPr>
                <w:color w:val="000000" w:themeColor="text1"/>
                <w:lang w:bidi="en-US"/>
                <w14:textFill>
                  <w14:solidFill>
                    <w14:schemeClr w14:val="tx1"/>
                  </w14:solidFill>
                </w14:textFill>
              </w:rPr>
              <w:t>（固粪处理区）</w:t>
            </w:r>
          </w:p>
          <w:p>
            <w:pPr>
              <w:pStyle w:val="332"/>
              <w:rPr>
                <w:color w:val="000000" w:themeColor="text1"/>
                <w14:textFill>
                  <w14:solidFill>
                    <w14:schemeClr w14:val="tx1"/>
                  </w14:solidFill>
                </w14:textFill>
              </w:rPr>
            </w:pPr>
            <w:r>
              <w:rPr>
                <w:color w:val="000000" w:themeColor="text1"/>
                <w:lang w:bidi="en-US"/>
                <w14:textFill>
                  <w14:solidFill>
                    <w14:schemeClr w14:val="tx1"/>
                  </w14:solidFill>
                </w14:textFill>
              </w:rPr>
              <w:t>堆肥发酵场</w:t>
            </w:r>
          </w:p>
        </w:tc>
        <w:tc>
          <w:tcPr>
            <w:tcW w:w="3341" w:type="pct"/>
            <w:tcMar>
              <w:top w:w="20" w:type="dxa"/>
              <w:left w:w="20" w:type="dxa"/>
              <w:bottom w:w="0" w:type="dxa"/>
              <w:right w:w="20" w:type="dxa"/>
            </w:tcMar>
            <w:vAlign w:val="center"/>
          </w:tcPr>
          <w:p>
            <w:pPr>
              <w:pStyle w:val="332"/>
              <w:jc w:val="both"/>
              <w:rPr>
                <w:color w:val="000000" w:themeColor="text1"/>
                <w:lang w:bidi="ar"/>
                <w14:textFill>
                  <w14:solidFill>
                    <w14:schemeClr w14:val="tx1"/>
                  </w14:solidFill>
                </w14:textFill>
              </w:rPr>
            </w:pPr>
            <w:r>
              <w:rPr>
                <w:color w:val="000000" w:themeColor="text1"/>
                <w:lang w:bidi="ar"/>
                <w14:textFill>
                  <w14:solidFill>
                    <w14:schemeClr w14:val="tx1"/>
                  </w14:solidFill>
                </w14:textFill>
              </w:rPr>
              <w:t>1座，建筑面积600 m</w:t>
            </w:r>
            <w:r>
              <w:rPr>
                <w:color w:val="000000" w:themeColor="text1"/>
                <w:vertAlign w:val="superscript"/>
                <w:lang w:bidi="ar"/>
                <w14:textFill>
                  <w14:solidFill>
                    <w14:schemeClr w14:val="tx1"/>
                  </w14:solidFill>
                </w14:textFill>
              </w:rPr>
              <w:t>2</w:t>
            </w:r>
            <w:r>
              <w:rPr>
                <w:color w:val="000000" w:themeColor="text1"/>
                <w:lang w:bidi="ar"/>
                <w14:textFill>
                  <w14:solidFill>
                    <w14:schemeClr w14:val="tx1"/>
                  </w14:solidFill>
                </w14:textFill>
              </w:rPr>
              <w:t>，半封闭钢架结构，三面为实体围墙+半封闭采光瓦，另外一面是大门，上部设置顶棚；用于对生产过程中产生的粪便、饲料残渣和粪污处理区沼渣进行堆肥处理。四周设置围墙，围墙高度约2 m，设置渗滤液收集管道</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974" w:type="pct"/>
            <w:gridSpan w:val="3"/>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无害化处理间</w:t>
            </w:r>
          </w:p>
        </w:tc>
        <w:tc>
          <w:tcPr>
            <w:tcW w:w="3341" w:type="pct"/>
            <w:tcMar>
              <w:top w:w="20" w:type="dxa"/>
              <w:left w:w="20" w:type="dxa"/>
              <w:bottom w:w="0" w:type="dxa"/>
              <w:right w:w="20" w:type="dxa"/>
            </w:tcMar>
            <w:vAlign w:val="center"/>
          </w:tcPr>
          <w:p>
            <w:pPr>
              <w:pStyle w:val="332"/>
              <w:jc w:val="both"/>
              <w:rPr>
                <w:color w:val="000000" w:themeColor="text1"/>
                <w:lang w:bidi="ar"/>
                <w14:textFill>
                  <w14:solidFill>
                    <w14:schemeClr w14:val="tx1"/>
                  </w14:solidFill>
                </w14:textFill>
              </w:rPr>
            </w:pPr>
            <w:r>
              <w:rPr>
                <w:color w:val="000000" w:themeColor="text1"/>
                <w:lang w:bidi="ar"/>
                <w14:textFill>
                  <w14:solidFill>
                    <w14:schemeClr w14:val="tx1"/>
                  </w14:solidFill>
                </w14:textFill>
              </w:rPr>
              <w:t>1座，位于场内东南，全封闭，建筑面积450 m</w:t>
            </w:r>
            <w:r>
              <w:rPr>
                <w:color w:val="000000" w:themeColor="text1"/>
                <w:vertAlign w:val="superscript"/>
                <w:lang w:bidi="ar"/>
                <w14:textFill>
                  <w14:solidFill>
                    <w14:schemeClr w14:val="tx1"/>
                  </w14:solidFill>
                </w14:textFill>
              </w:rPr>
              <w:t>2</w:t>
            </w:r>
            <w:r>
              <w:rPr>
                <w:color w:val="000000" w:themeColor="text1"/>
                <w:lang w:bidi="ar"/>
                <w14:textFill>
                  <w14:solidFill>
                    <w14:schemeClr w14:val="tx1"/>
                  </w14:solidFill>
                </w14:textFill>
              </w:rPr>
              <w:t>，地面硬化、防渗处理，内置1 台1.3 t/d的无害化处理设备</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restar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公用工程</w:t>
            </w:r>
          </w:p>
        </w:tc>
        <w:tc>
          <w:tcPr>
            <w:tcW w:w="974" w:type="pct"/>
            <w:gridSpan w:val="3"/>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供水系统</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kern w:val="0"/>
                <w:szCs w:val="21"/>
                <w14:textFill>
                  <w14:solidFill>
                    <w14:schemeClr w14:val="tx1"/>
                  </w14:solidFill>
                </w14:textFill>
              </w:rPr>
              <w:t>利用农田内现有机井</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974" w:type="pct"/>
            <w:gridSpan w:val="3"/>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排水系统</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本项目排水采用雨污分流制；</w:t>
            </w:r>
          </w:p>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雨水：初期雨水经雨水管线收集后进入自建污水处理设施，后期雨水经地势差排出场外。</w:t>
            </w:r>
          </w:p>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污水：项目污水主要为养殖废水和生活废水，食堂废水经隔油处理后与其他生活废水、养殖区废水进入粪污处理区处理，沼液全部综合利用不外排；</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974" w:type="pct"/>
            <w:gridSpan w:val="3"/>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供电系统</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丰宜镇变电站接入，场内设置2台250 kVA变压器，并设1台150KW沼气发电机</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974" w:type="pct"/>
            <w:gridSpan w:val="3"/>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供暖系统</w:t>
            </w:r>
          </w:p>
        </w:tc>
        <w:tc>
          <w:tcPr>
            <w:tcW w:w="3341" w:type="pct"/>
            <w:tcMar>
              <w:top w:w="20" w:type="dxa"/>
              <w:left w:w="20" w:type="dxa"/>
              <w:bottom w:w="0" w:type="dxa"/>
              <w:right w:w="20" w:type="dxa"/>
            </w:tcMar>
            <w:vAlign w:val="center"/>
          </w:tcPr>
          <w:p>
            <w:pPr>
              <w:autoSpaceDE w:val="0"/>
              <w:autoSpaceDN w:val="0"/>
              <w:adjustRightInd w:val="0"/>
              <w:spacing w:line="240" w:lineRule="auto"/>
              <w:ind w:firstLine="0" w:firstLineChars="0"/>
              <w:jc w:val="left"/>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猪舍：猪舍墙体为保温材料，减少猪舍热量损失，项目采用热交换系统和红外线灯用于冬季猪舍取暖；</w:t>
            </w:r>
          </w:p>
          <w:p>
            <w:pPr>
              <w:autoSpaceDE w:val="0"/>
              <w:autoSpaceDN w:val="0"/>
              <w:adjustRightInd w:val="0"/>
              <w:spacing w:line="240" w:lineRule="auto"/>
              <w:ind w:firstLine="0" w:firstLineChars="0"/>
              <w:jc w:val="left"/>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黑膜沼气池：顶部的沼气隔温、外层黑膜可吸热和地埋式沼气池具有冬季相对恒温的特点，池内污水温度受外界影响较小，冬季不需保温，也不需另设热源启动，冬季其自身温度调节可满足发酵要求；</w:t>
            </w:r>
          </w:p>
          <w:p>
            <w:pPr>
              <w:pStyle w:val="332"/>
              <w:jc w:val="both"/>
              <w:rPr>
                <w:color w:val="000000" w:themeColor="text1"/>
                <w14:textFill>
                  <w14:solidFill>
                    <w14:schemeClr w14:val="tx1"/>
                  </w14:solidFill>
                </w14:textFill>
              </w:rPr>
            </w:pPr>
            <w:r>
              <w:rPr>
                <w:color w:val="000000" w:themeColor="text1"/>
                <w:kern w:val="0"/>
                <w:szCs w:val="21"/>
                <w14:textFill>
                  <w14:solidFill>
                    <w14:schemeClr w14:val="tx1"/>
                  </w14:solidFill>
                </w14:textFill>
              </w:rPr>
              <w:t>办公生活区：使用空调供暖</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9" w:hRule="atLeast"/>
        </w:trPr>
        <w:tc>
          <w:tcPr>
            <w:tcW w:w="305" w:type="pct"/>
            <w:vMerge w:val="restar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环保工程</w:t>
            </w:r>
          </w:p>
        </w:tc>
        <w:tc>
          <w:tcPr>
            <w:tcW w:w="330" w:type="pct"/>
            <w:gridSpan w:val="2"/>
            <w:vMerge w:val="restar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（养殖区）</w:t>
            </w:r>
          </w:p>
        </w:tc>
        <w:tc>
          <w:tcPr>
            <w:tcW w:w="3341"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饲料添加EM，加强通风，每栋猪舍出风口处设置过滤吸附除臭装置（共22套），喷淋含除臭剂的水对臭气进行吸附处理；控制饲养密度、全漏缝地板并及时清粪，喷洒除臭剂等</w:t>
            </w:r>
            <w:r>
              <w:rPr>
                <w:color w:val="000000" w:themeColor="text1"/>
                <w:lang w:bidi="en-US"/>
                <w14:textFill>
                  <w14:solidFill>
                    <w14:schemeClr w14:val="tx1"/>
                  </w14:solidFill>
                </w14:textFill>
              </w:rPr>
              <w:t>，</w:t>
            </w:r>
            <w:r>
              <w:rPr>
                <w:color w:val="000000" w:themeColor="text1"/>
                <w14:textFill>
                  <w14:solidFill>
                    <w14:schemeClr w14:val="tx1"/>
                  </w14:solidFill>
                </w14:textFill>
              </w:rPr>
              <w:t>可消减85%</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lang w:bidi="en-US"/>
                <w14:textFill>
                  <w14:solidFill>
                    <w14:schemeClr w14:val="tx1"/>
                  </w14:solidFill>
                </w14:textFill>
              </w:rPr>
              <w:t>黑膜沼气池、沼液储存池</w:t>
            </w:r>
          </w:p>
        </w:tc>
        <w:tc>
          <w:tcPr>
            <w:tcW w:w="3341"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黑膜沼气池密闭，</w:t>
            </w:r>
            <w:r>
              <w:rPr>
                <w:color w:val="000000" w:themeColor="text1"/>
                <w:lang w:bidi="en-US"/>
                <w14:textFill>
                  <w14:solidFill>
                    <w14:schemeClr w14:val="tx1"/>
                  </w14:solidFill>
                </w14:textFill>
              </w:rPr>
              <w:t>沼液储存池顶部覆盖HDPE膜，</w:t>
            </w:r>
            <w:r>
              <w:rPr>
                <w:color w:val="000000" w:themeColor="text1"/>
                <w14:textFill>
                  <w14:solidFill>
                    <w14:schemeClr w14:val="tx1"/>
                  </w14:solidFill>
                </w14:textFill>
              </w:rPr>
              <w:t>四周绿化；定期</w:t>
            </w:r>
            <w:r>
              <w:rPr>
                <w:color w:val="000000" w:themeColor="text1"/>
                <w:lang w:bidi="en-US"/>
                <w14:textFill>
                  <w14:solidFill>
                    <w14:schemeClr w14:val="tx1"/>
                  </w14:solidFill>
                </w14:textFill>
              </w:rPr>
              <w:t>喷洒除臭剂，</w:t>
            </w:r>
            <w:r>
              <w:rPr>
                <w:color w:val="000000" w:themeColor="text1"/>
                <w14:textFill>
                  <w14:solidFill>
                    <w14:schemeClr w14:val="tx1"/>
                  </w14:solidFill>
                </w14:textFill>
              </w:rPr>
              <w:t>可消减90%；</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固粪处理区</w:t>
            </w:r>
          </w:p>
        </w:tc>
        <w:tc>
          <w:tcPr>
            <w:tcW w:w="3341" w:type="pct"/>
            <w:vAlign w:val="center"/>
          </w:tcPr>
          <w:p>
            <w:pPr>
              <w:pStyle w:val="332"/>
              <w:jc w:val="both"/>
              <w:rPr>
                <w:color w:val="000000" w:themeColor="text1"/>
                <w14:textFill>
                  <w14:solidFill>
                    <w14:schemeClr w14:val="tx1"/>
                  </w14:solidFill>
                </w14:textFill>
              </w:rPr>
            </w:pPr>
            <w:r>
              <w:rPr>
                <w:color w:val="000000" w:themeColor="text1"/>
                <w:lang w:bidi="en-US"/>
                <w14:textFill>
                  <w14:solidFill>
                    <w14:schemeClr w14:val="tx1"/>
                  </w14:solidFill>
                </w14:textFill>
              </w:rPr>
              <w:t>设置为封闭阳光房，</w:t>
            </w:r>
            <w:r>
              <w:rPr>
                <w:color w:val="000000" w:themeColor="text1"/>
                <w14:textFill>
                  <w14:solidFill>
                    <w14:schemeClr w14:val="tx1"/>
                  </w14:solidFill>
                </w14:textFill>
              </w:rPr>
              <w:t>加强通风，</w:t>
            </w:r>
            <w:r>
              <w:rPr>
                <w:color w:val="000000" w:themeColor="text1"/>
                <w:lang w:bidi="en-US"/>
                <w14:textFill>
                  <w14:solidFill>
                    <w14:schemeClr w14:val="tx1"/>
                  </w14:solidFill>
                </w14:textFill>
              </w:rPr>
              <w:t>出风口</w:t>
            </w:r>
            <w:r>
              <w:rPr>
                <w:color w:val="000000" w:themeColor="text1"/>
                <w14:textFill>
                  <w14:solidFill>
                    <w14:schemeClr w14:val="tx1"/>
                  </w14:solidFill>
                </w14:textFill>
              </w:rPr>
              <w:t>处设置喷淋除臭网，</w:t>
            </w:r>
            <w:r>
              <w:rPr>
                <w:color w:val="000000" w:themeColor="text1"/>
                <w:lang w:bidi="en-US"/>
                <w14:textFill>
                  <w14:solidFill>
                    <w14:schemeClr w14:val="tx1"/>
                  </w14:solidFill>
                </w14:textFill>
              </w:rPr>
              <w:t>喷洒除臭剂，</w:t>
            </w:r>
            <w:r>
              <w:rPr>
                <w:color w:val="000000" w:themeColor="text1"/>
                <w14:textFill>
                  <w14:solidFill>
                    <w14:schemeClr w14:val="tx1"/>
                  </w14:solidFill>
                </w14:textFill>
              </w:rPr>
              <w:t>可消减90%；</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无害处理设备</w:t>
            </w:r>
          </w:p>
        </w:tc>
        <w:tc>
          <w:tcPr>
            <w:tcW w:w="3341"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车间封闭，病死猪无害化处理设备中含臭气的水蒸气通过冷凝器、冷却水塔降温，最后通过洗涤塔杀菌并喷淋石灰水除臭，去除效率可达60%，排气筒高15 m；</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沼气发电机</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 xml:space="preserve">燃用脱水、脱硫（氧化铁干法脱硫）净化后的沼气，排气筒高15 m； </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食堂油烟</w:t>
            </w:r>
          </w:p>
        </w:tc>
        <w:tc>
          <w:tcPr>
            <w:tcW w:w="3341" w:type="pct"/>
            <w:tcMar>
              <w:top w:w="20" w:type="dxa"/>
              <w:left w:w="20" w:type="dxa"/>
              <w:bottom w:w="0" w:type="dxa"/>
              <w:right w:w="20" w:type="dxa"/>
            </w:tcMar>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2个基准灶头，排风量为4000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/h，安装一台油烟净化装置，处理效率大于60%；</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restar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生活废水</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食堂含油废水经隔油池处理后与生活污水、养殖区废水经废水收集管网，进入粪污处理区处理；</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养殖废水</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养殖废水经场区污水管网收集，自流至集粪池，粪污水首先经过固液分离预处理后进入黑膜沼气池厌氧发酵45天产生沼液用于周边农田施肥；</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无害化设备冷凝水</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收集后进入黑膜沼气池厌氧发酵；</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渗滤液</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lang w:bidi="en-US"/>
                <w14:textFill>
                  <w14:solidFill>
                    <w14:schemeClr w14:val="tx1"/>
                  </w14:solidFill>
                </w14:textFill>
              </w:rPr>
              <w:t>堆肥发酵场</w:t>
            </w:r>
            <w:r>
              <w:rPr>
                <w:color w:val="000000" w:themeColor="text1"/>
                <w:lang w:bidi="ar"/>
                <w14:textFill>
                  <w14:solidFill>
                    <w14:schemeClr w14:val="tx1"/>
                  </w14:solidFill>
                </w14:textFill>
              </w:rPr>
              <w:t>内设置渗滤液收集管道，</w:t>
            </w:r>
            <w:r>
              <w:rPr>
                <w:color w:val="000000" w:themeColor="text1"/>
                <w14:textFill>
                  <w14:solidFill>
                    <w14:schemeClr w14:val="tx1"/>
                  </w14:solidFill>
                </w14:textFill>
              </w:rPr>
              <w:t>进入黑膜沼气池厌氧发酵；</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restar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固废</w:t>
            </w: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病死猪、母猪胎盘</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送自建无害化处理车间，处理后固态残余物送固粪处理区内发酵堆肥；</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固体残余物</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送固粪处理区内发酵堆肥；</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猪粪、沼渣</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经固液分离后的猪粪、沼渣运至固粪处理区内发酵堆肥，堆肥后作为有机肥基料外售；</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废脱硫剂</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设置专用收集桶，收集由厂家回</w:t>
            </w:r>
            <w:r>
              <w:rPr>
                <w:color w:val="000000" w:themeColor="text1"/>
                <w:w w:val="99"/>
                <w14:textFill>
                  <w14:solidFill>
                    <w14:schemeClr w14:val="tx1"/>
                  </w14:solidFill>
                </w14:textFill>
              </w:rPr>
              <w:t>收；</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医疗废物</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分类收集，暂存于医疗废物间，定期交由有资质的单位处置；</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330" w:type="pct"/>
            <w:gridSpan w:val="2"/>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644"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场内设置若干垃圾桶，集中收集后交由环卫部门统一处理；</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974" w:type="pct"/>
            <w:gridSpan w:val="3"/>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kern w:val="0"/>
                <w:szCs w:val="21"/>
                <w14:textFill>
                  <w14:solidFill>
                    <w14:schemeClr w14:val="tx1"/>
                  </w14:solidFill>
                </w14:textFill>
              </w:rPr>
              <w:t>选用低噪声设备，基础安装减振垫，隔声等措施</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250" w:type="pct"/>
            <w:vMerge w:val="restart"/>
            <w:tcMar>
              <w:top w:w="20" w:type="dxa"/>
              <w:left w:w="20" w:type="dxa"/>
              <w:bottom w:w="0" w:type="dxa"/>
              <w:right w:w="20" w:type="dxa"/>
            </w:tcMar>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防渗措施</w:t>
            </w:r>
          </w:p>
        </w:tc>
        <w:tc>
          <w:tcPr>
            <w:tcW w:w="724" w:type="pct"/>
            <w:gridSpan w:val="2"/>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养殖区</w:t>
            </w:r>
          </w:p>
        </w:tc>
        <w:tc>
          <w:tcPr>
            <w:tcW w:w="3341" w:type="pct"/>
            <w:tcMar>
              <w:top w:w="20" w:type="dxa"/>
              <w:left w:w="20" w:type="dxa"/>
              <w:bottom w:w="0" w:type="dxa"/>
              <w:right w:w="20" w:type="dxa"/>
            </w:tcMar>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养殖区猪舍底部采用混凝土防渗，减少污染物的跑、冒、滴、漏，防渗系数</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250"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724"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黑膜沼气池</w:t>
            </w:r>
          </w:p>
        </w:tc>
        <w:tc>
          <w:tcPr>
            <w:tcW w:w="3341" w:type="pct"/>
            <w:tcMar>
              <w:top w:w="20" w:type="dxa"/>
              <w:left w:w="20" w:type="dxa"/>
              <w:bottom w:w="0" w:type="dxa"/>
              <w:right w:w="20" w:type="dxa"/>
            </w:tcMar>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池内采用土膜夯实+HDPE防渗膜，防渗系数K≤1×10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250"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724"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沼液储存池</w:t>
            </w:r>
          </w:p>
        </w:tc>
        <w:tc>
          <w:tcPr>
            <w:tcW w:w="3341" w:type="pct"/>
            <w:tcMar>
              <w:top w:w="20" w:type="dxa"/>
              <w:left w:w="20" w:type="dxa"/>
              <w:bottom w:w="0" w:type="dxa"/>
              <w:right w:w="20" w:type="dxa"/>
            </w:tcMar>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池内采用土膜夯实+HDPE防渗膜，防渗系数K≤1×10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cm/s；沼液输送管网为PVC-U管</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250"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724"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无害化处理车间</w:t>
            </w:r>
          </w:p>
        </w:tc>
        <w:tc>
          <w:tcPr>
            <w:tcW w:w="3341" w:type="pct"/>
            <w:tcMar>
              <w:top w:w="20" w:type="dxa"/>
              <w:left w:w="20" w:type="dxa"/>
              <w:bottom w:w="0" w:type="dxa"/>
              <w:right w:w="20" w:type="dxa"/>
            </w:tcMar>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防渗层为至少1m厚粘土层（渗透系数≤1×10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cm/s），或2 mm厚高密度聚乙烯，或至少2mm厚的其它人工材料，渗透系数≤1×10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250"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724"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固粪处理区</w:t>
            </w:r>
          </w:p>
        </w:tc>
        <w:tc>
          <w:tcPr>
            <w:tcW w:w="3341" w:type="pct"/>
            <w:tcMar>
              <w:top w:w="20" w:type="dxa"/>
              <w:left w:w="20" w:type="dxa"/>
              <w:bottom w:w="0" w:type="dxa"/>
              <w:right w:w="20" w:type="dxa"/>
            </w:tcMar>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采用素土夯实+混凝土防渗，防渗系数</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250"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724"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排污沟</w:t>
            </w:r>
          </w:p>
        </w:tc>
        <w:tc>
          <w:tcPr>
            <w:tcW w:w="3341" w:type="pct"/>
            <w:tcMar>
              <w:top w:w="20" w:type="dxa"/>
              <w:left w:w="20" w:type="dxa"/>
              <w:bottom w:w="0" w:type="dxa"/>
              <w:right w:w="20" w:type="dxa"/>
            </w:tcMar>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采取暗沟形式，排污沟混凝土结构，渗透系数1.0×10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 xml:space="preserve"> cm/s</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250"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724"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场雨、污管网</w:t>
            </w:r>
          </w:p>
        </w:tc>
        <w:tc>
          <w:tcPr>
            <w:tcW w:w="3341" w:type="pct"/>
            <w:tcMar>
              <w:top w:w="20" w:type="dxa"/>
              <w:left w:w="20" w:type="dxa"/>
              <w:bottom w:w="0" w:type="dxa"/>
              <w:right w:w="20" w:type="dxa"/>
            </w:tcMar>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雨水管道混凝土防渗，粪污管道是地埋式PE管和PVC管道</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250" w:type="pct"/>
            <w:vMerge w:val="restar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724"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事故池</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池内采用土膜夯实+HDPE防渗膜，防渗系数K≤1×10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250"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724"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医疗废物暂存间</w:t>
            </w:r>
          </w:p>
        </w:tc>
        <w:tc>
          <w:tcPr>
            <w:tcW w:w="3341" w:type="pct"/>
            <w:tcMar>
              <w:top w:w="20" w:type="dxa"/>
              <w:left w:w="20" w:type="dxa"/>
              <w:bottom w:w="0" w:type="dxa"/>
              <w:right w:w="20" w:type="dxa"/>
            </w:tcMar>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基础必须防渗，防渗层为至少</w:t>
            </w:r>
            <w:r>
              <w:rPr>
                <w:color w:val="000000" w:themeColor="text1"/>
                <w:spacing w:val="-59"/>
                <w14:textFill>
                  <w14:solidFill>
                    <w14:schemeClr w14:val="tx1"/>
                  </w14:solidFill>
                </w14:textFill>
              </w:rPr>
              <w:t xml:space="preserve"> </w:t>
            </w:r>
            <w:r>
              <w:rPr>
                <w:color w:val="000000" w:themeColor="text1"/>
                <w14:textFill>
                  <w14:solidFill>
                    <w14:schemeClr w14:val="tx1"/>
                  </w14:solidFill>
                </w14:textFill>
              </w:rPr>
              <w:t>1 m厚粘土层（渗透系数≤10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cm/s），或</w:t>
            </w:r>
            <w:r>
              <w:rPr>
                <w:color w:val="000000" w:themeColor="text1"/>
                <w:spacing w:val="-56"/>
                <w14:textFill>
                  <w14:solidFill>
                    <w14:schemeClr w14:val="tx1"/>
                  </w14:solidFill>
                </w14:textFill>
              </w:rPr>
              <w:t xml:space="preserve"> </w:t>
            </w:r>
            <w:r>
              <w:rPr>
                <w:color w:val="000000" w:themeColor="text1"/>
                <w14:textFill>
                  <w14:solidFill>
                    <w14:schemeClr w14:val="tx1"/>
                  </w14:solidFill>
                </w14:textFill>
              </w:rPr>
              <w:t>2</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mm厚高密度聚乙烯，或至少</w:t>
            </w:r>
            <w:r>
              <w:rPr>
                <w:color w:val="000000" w:themeColor="text1"/>
                <w:spacing w:val="-56"/>
                <w14:textFill>
                  <w14:solidFill>
                    <w14:schemeClr w14:val="tx1"/>
                  </w14:solidFill>
                </w14:textFill>
              </w:rPr>
              <w:t xml:space="preserve"> </w:t>
            </w:r>
            <w:r>
              <w:rPr>
                <w:color w:val="000000" w:themeColor="text1"/>
                <w14:textFill>
                  <w14:solidFill>
                    <w14:schemeClr w14:val="tx1"/>
                  </w14:solidFill>
                </w14:textFill>
              </w:rPr>
              <w:t>2</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mm厚的其它人工材料，渗透系数≤10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305" w:type="pct"/>
            <w:vMerge w:val="continue"/>
            <w:tcMar>
              <w:top w:w="20" w:type="dxa"/>
              <w:left w:w="20" w:type="dxa"/>
              <w:bottom w:w="0" w:type="dxa"/>
              <w:right w:w="20" w:type="dxa"/>
            </w:tcMar>
            <w:vAlign w:val="center"/>
          </w:tcPr>
          <w:p>
            <w:pPr>
              <w:pStyle w:val="332"/>
              <w:rPr>
                <w:color w:val="000000" w:themeColor="text1"/>
                <w14:textFill>
                  <w14:solidFill>
                    <w14:schemeClr w14:val="tx1"/>
                  </w14:solidFill>
                </w14:textFill>
              </w:rPr>
            </w:pPr>
          </w:p>
        </w:tc>
        <w:tc>
          <w:tcPr>
            <w:tcW w:w="974" w:type="pct"/>
            <w:gridSpan w:val="3"/>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绿化</w:t>
            </w:r>
          </w:p>
        </w:tc>
        <w:tc>
          <w:tcPr>
            <w:tcW w:w="3341" w:type="pct"/>
            <w:tcMar>
              <w:top w:w="20" w:type="dxa"/>
              <w:left w:w="20" w:type="dxa"/>
              <w:bottom w:w="0" w:type="dxa"/>
              <w:right w:w="20" w:type="dxa"/>
            </w:tcMar>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场区内绿化面积</w:t>
            </w:r>
            <w:r>
              <w:rPr>
                <w:color w:val="000000" w:themeColor="text1"/>
                <w:lang w:bidi="en-US"/>
                <w14:textFill>
                  <w14:solidFill>
                    <w14:schemeClr w14:val="tx1"/>
                  </w14:solidFill>
                </w14:textFill>
              </w:rPr>
              <w:t>7076 m</w:t>
            </w:r>
            <w:r>
              <w:rPr>
                <w:color w:val="000000" w:themeColor="text1"/>
                <w:vertAlign w:val="superscript"/>
                <w:lang w:bidi="en-US"/>
                <w14:textFill>
                  <w14:solidFill>
                    <w14:schemeClr w14:val="tx1"/>
                  </w14:solidFill>
                </w14:textFill>
              </w:rPr>
              <w:t>2</w:t>
            </w:r>
          </w:p>
        </w:tc>
        <w:tc>
          <w:tcPr>
            <w:tcW w:w="380" w:type="pct"/>
            <w:tcMar>
              <w:top w:w="20" w:type="dxa"/>
              <w:left w:w="20" w:type="dxa"/>
              <w:bottom w:w="0" w:type="dxa"/>
              <w:right w:w="20"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未建</w:t>
            </w:r>
          </w:p>
        </w:tc>
      </w:tr>
    </w:tbl>
    <w:p>
      <w:pPr>
        <w:pStyle w:val="4"/>
        <w:rPr>
          <w:rFonts w:cs="Times New Roman"/>
          <w:color w:val="000000" w:themeColor="text1"/>
          <w14:textFill>
            <w14:solidFill>
              <w14:schemeClr w14:val="tx1"/>
            </w14:solidFill>
          </w14:textFill>
        </w:rPr>
      </w:pPr>
      <w:bookmarkStart w:id="330" w:name="_Toc58362778"/>
      <w:bookmarkStart w:id="331" w:name="_Toc47619161"/>
      <w:bookmarkStart w:id="332" w:name="_Toc52791877"/>
      <w:bookmarkStart w:id="333" w:name="_Toc47620009"/>
      <w:bookmarkStart w:id="334" w:name="_Toc47619823"/>
      <w:bookmarkStart w:id="335" w:name="_Toc91163863"/>
      <w:r>
        <w:rPr>
          <w:rFonts w:cs="Times New Roman"/>
          <w:color w:val="000000" w:themeColor="text1"/>
          <w14:textFill>
            <w14:solidFill>
              <w14:schemeClr w14:val="tx1"/>
            </w14:solidFill>
          </w14:textFill>
        </w:rPr>
        <w:t xml:space="preserve">3.1.3 </w:t>
      </w:r>
      <w:bookmarkEnd w:id="330"/>
      <w:bookmarkEnd w:id="331"/>
      <w:bookmarkEnd w:id="332"/>
      <w:bookmarkEnd w:id="333"/>
      <w:bookmarkEnd w:id="334"/>
      <w:r>
        <w:rPr>
          <w:rFonts w:cs="Times New Roman"/>
          <w:color w:val="000000" w:themeColor="text1"/>
          <w14:textFill>
            <w14:solidFill>
              <w14:schemeClr w14:val="tx1"/>
            </w14:solidFill>
          </w14:textFill>
        </w:rPr>
        <w:t>平面布置</w:t>
      </w:r>
      <w:bookmarkEnd w:id="33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本项目位于</w:t>
      </w:r>
      <w:r>
        <w:rPr>
          <w:rFonts w:cs="Times New Roman"/>
          <w:bCs/>
          <w:color w:val="000000" w:themeColor="text1"/>
          <w14:textFill>
            <w14:solidFill>
              <w14:schemeClr w14:val="tx1"/>
            </w14:solidFill>
          </w14:textFill>
        </w:rPr>
        <w:t>长治市屯留区丰宜镇杜村村北约630 m处</w:t>
      </w:r>
      <w:r>
        <w:rPr>
          <w:rFonts w:cs="Times New Roman"/>
          <w:color w:val="000000" w:themeColor="text1"/>
          <w14:textFill>
            <w14:solidFill>
              <w14:schemeClr w14:val="tx1"/>
            </w14:solidFill>
          </w14:textFill>
        </w:rPr>
        <w:t>，</w:t>
      </w:r>
      <w:r>
        <w:rPr>
          <w:rFonts w:cs="Times New Roman"/>
          <w:bCs/>
          <w:color w:val="000000" w:themeColor="text1"/>
          <w:kern w:val="24"/>
          <w:szCs w:val="20"/>
          <w14:textFill>
            <w14:solidFill>
              <w14:schemeClr w14:val="tx1"/>
            </w14:solidFill>
          </w14:textFill>
        </w:rPr>
        <w:t>占地面积53019.51m</w:t>
      </w:r>
      <w:r>
        <w:rPr>
          <w:rFonts w:cs="Times New Roman"/>
          <w:bCs/>
          <w:color w:val="000000" w:themeColor="text1"/>
          <w:kern w:val="24"/>
          <w:szCs w:val="20"/>
          <w:vertAlign w:val="superscript"/>
          <w14:textFill>
            <w14:solidFill>
              <w14:schemeClr w14:val="tx1"/>
            </w14:solidFill>
          </w14:textFill>
        </w:rPr>
        <w:t>2</w:t>
      </w:r>
      <w:r>
        <w:rPr>
          <w:rFonts w:cs="Times New Roman"/>
          <w:bCs/>
          <w:color w:val="000000" w:themeColor="text1"/>
          <w:kern w:val="24"/>
          <w:szCs w:val="20"/>
          <w14:textFill>
            <w14:solidFill>
              <w14:schemeClr w14:val="tx1"/>
            </w14:solidFill>
          </w14:textFill>
        </w:rPr>
        <w:t>，约79.53亩，</w:t>
      </w:r>
      <w:r>
        <w:rPr>
          <w:rFonts w:cs="Times New Roman"/>
          <w:color w:val="000000" w:themeColor="text1"/>
          <w14:textFill>
            <w14:solidFill>
              <w14:schemeClr w14:val="tx1"/>
            </w14:solidFill>
          </w14:textFill>
        </w:rPr>
        <w:t>现状为一般农田，属经营权流转土地；项目不占用基本农田。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设场地四周均为耕地，项目场区分生活管理区、养殖区和治污区。根据公司规划及占地情况，按照节约土地，布局经济，工艺流程合理，各种管线短捷顺畅，安全防护距离到位的方针，在满足生产工艺要求的前提下，根据地形、气象、运输条件、人流走向等因素：治污区位于场区东南部，办公生活区位于场区西北角，其余均为养殖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企业对养殖场内养殖区、养殖场污染治理区和生活区进行了隔离，生活区位于主导风向侧风向，满足《畜禽养殖业污染治理工程技术规范》HJ497-2009要求。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本项目养殖场平面布置见图3.1-1。</w:t>
      </w:r>
    </w:p>
    <w:p>
      <w:pPr>
        <w:pStyle w:val="4"/>
        <w:rPr>
          <w:rFonts w:cs="Times New Roman"/>
          <w:color w:val="000000" w:themeColor="text1"/>
          <w14:textFill>
            <w14:solidFill>
              <w14:schemeClr w14:val="tx1"/>
            </w14:solidFill>
          </w14:textFill>
        </w:rPr>
      </w:pPr>
      <w:bookmarkStart w:id="336" w:name="_Toc91163864"/>
      <w:r>
        <w:rPr>
          <w:rFonts w:cs="Times New Roman"/>
          <w:color w:val="000000" w:themeColor="text1"/>
          <w14:textFill>
            <w14:solidFill>
              <w14:schemeClr w14:val="tx1"/>
            </w14:solidFill>
          </w14:textFill>
        </w:rPr>
        <w:t>3.1.4 产品方案</w:t>
      </w:r>
      <w:bookmarkEnd w:id="336"/>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拟建项目场区主要为配种妊娠阶段、分娩哺乳阶段、仔猪保育阶段、生长育肥阶段，运营过程所产仔猪在本场区养殖，场区母猪采用人工受精怀孕。建设规模为：年存栏母猪600头，年出栏生猪1.5万头。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w:t>
      </w:r>
      <w:r>
        <w:rPr>
          <w:rFonts w:cs="Times New Roman"/>
          <w:color w:val="000000" w:themeColor="text1"/>
          <w:lang w:bidi="en-US"/>
          <w14:textFill>
            <w14:solidFill>
              <w14:schemeClr w14:val="tx1"/>
            </w14:solidFill>
          </w14:textFill>
        </w:rPr>
        <w:t>养殖结构存栏情况见</w:t>
      </w:r>
      <w:r>
        <w:rPr>
          <w:rFonts w:cs="Times New Roman"/>
          <w:color w:val="000000" w:themeColor="text1"/>
          <w14:textFill>
            <w14:solidFill>
              <w14:schemeClr w14:val="tx1"/>
            </w14:solidFill>
          </w14:textFill>
        </w:rPr>
        <w:t>表3.1-2，养殖的技术参数见表3.1-3。</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表3.1-2 存栏猪结构</w:t>
      </w: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167"/>
        <w:gridCol w:w="1749"/>
        <w:gridCol w:w="1602"/>
        <w:gridCol w:w="36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gridSpan w:val="2"/>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种类</w:t>
            </w:r>
          </w:p>
        </w:tc>
        <w:tc>
          <w:tcPr>
            <w:tcW w:w="965"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存栏数量（头）</w:t>
            </w:r>
          </w:p>
        </w:tc>
        <w:tc>
          <w:tcPr>
            <w:tcW w:w="884"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养殖周期(d)</w:t>
            </w:r>
          </w:p>
        </w:tc>
        <w:tc>
          <w:tcPr>
            <w:tcW w:w="2033"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母猪</w:t>
            </w:r>
          </w:p>
        </w:tc>
        <w:tc>
          <w:tcPr>
            <w:tcW w:w="64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妊娠猪</w:t>
            </w:r>
          </w:p>
        </w:tc>
        <w:tc>
          <w:tcPr>
            <w:tcW w:w="965"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475</w:t>
            </w:r>
          </w:p>
        </w:tc>
        <w:tc>
          <w:tcPr>
            <w:tcW w:w="88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114</w:t>
            </w:r>
          </w:p>
        </w:tc>
        <w:tc>
          <w:tcPr>
            <w:tcW w:w="2033" w:type="pct"/>
            <w:vMerge w:val="restart"/>
            <w:tcBorders>
              <w:top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母猪2.5年淘汰；后备舍是从育肥阶段挑选一部分猪在后备舍进行驯化，更新母猪群用，本部分不</w:t>
            </w:r>
            <w:r>
              <w:rPr>
                <w:color w:val="000000" w:themeColor="text1"/>
                <w:kern w:val="0"/>
                <w:szCs w:val="21"/>
                <w14:textFill>
                  <w14:solidFill>
                    <w14:schemeClr w14:val="tx1"/>
                  </w14:solidFill>
                </w14:textFill>
              </w:rPr>
              <w:t>计入存栏数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vAlign w:val="center"/>
          </w:tcPr>
          <w:p>
            <w:pPr>
              <w:pStyle w:val="332"/>
              <w:widowControl w:val="0"/>
              <w:rPr>
                <w:color w:val="000000" w:themeColor="text1"/>
                <w14:textFill>
                  <w14:solidFill>
                    <w14:schemeClr w14:val="tx1"/>
                  </w14:solidFill>
                </w14:textFill>
              </w:rPr>
            </w:pPr>
          </w:p>
        </w:tc>
        <w:tc>
          <w:tcPr>
            <w:tcW w:w="64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哺乳猪</w:t>
            </w:r>
          </w:p>
        </w:tc>
        <w:tc>
          <w:tcPr>
            <w:tcW w:w="96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8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28</w:t>
            </w:r>
          </w:p>
        </w:tc>
        <w:tc>
          <w:tcPr>
            <w:tcW w:w="2033"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5" w:type="pct"/>
            <w:vMerge w:val="continue"/>
            <w:vAlign w:val="center"/>
          </w:tcPr>
          <w:p>
            <w:pPr>
              <w:pStyle w:val="332"/>
              <w:widowControl w:val="0"/>
              <w:rPr>
                <w:color w:val="000000" w:themeColor="text1"/>
                <w14:textFill>
                  <w14:solidFill>
                    <w14:schemeClr w14:val="tx1"/>
                  </w14:solidFill>
                </w14:textFill>
              </w:rPr>
            </w:pPr>
          </w:p>
        </w:tc>
        <w:tc>
          <w:tcPr>
            <w:tcW w:w="64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空怀母猪</w:t>
            </w:r>
          </w:p>
        </w:tc>
        <w:tc>
          <w:tcPr>
            <w:tcW w:w="96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25</w:t>
            </w:r>
          </w:p>
        </w:tc>
        <w:tc>
          <w:tcPr>
            <w:tcW w:w="884" w:type="pct"/>
            <w:vAlign w:val="center"/>
          </w:tcPr>
          <w:p>
            <w:pPr>
              <w:pStyle w:val="332"/>
              <w:widowControl w:val="0"/>
              <w:rPr>
                <w:color w:val="000000" w:themeColor="text1"/>
                <w14:textFill>
                  <w14:solidFill>
                    <w14:schemeClr w14:val="tx1"/>
                  </w14:solidFill>
                </w14:textFill>
              </w:rPr>
            </w:pPr>
          </w:p>
        </w:tc>
        <w:tc>
          <w:tcPr>
            <w:tcW w:w="2033" w:type="pct"/>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gridSpan w:val="2"/>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公猪</w:t>
            </w:r>
          </w:p>
        </w:tc>
        <w:tc>
          <w:tcPr>
            <w:tcW w:w="96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18</w:t>
            </w:r>
          </w:p>
        </w:tc>
        <w:tc>
          <w:tcPr>
            <w:tcW w:w="8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203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公母比例3：100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gridSpan w:val="2"/>
            <w:vAlign w:val="center"/>
          </w:tcPr>
          <w:p>
            <w:pPr>
              <w:pStyle w:val="332"/>
              <w:widowControl w:val="0"/>
              <w:rPr>
                <w:color w:val="000000" w:themeColor="text1"/>
                <w:highlight w:val="yellow"/>
                <w14:textFill>
                  <w14:solidFill>
                    <w14:schemeClr w14:val="tx1"/>
                  </w14:solidFill>
                </w14:textFill>
              </w:rPr>
            </w:pPr>
            <w:r>
              <w:rPr>
                <w:color w:val="000000" w:themeColor="text1"/>
                <w14:textFill>
                  <w14:solidFill>
                    <w14:schemeClr w14:val="tx1"/>
                  </w14:solidFill>
                </w14:textFill>
              </w:rPr>
              <w:t>保育仔猪</w:t>
            </w:r>
          </w:p>
        </w:tc>
        <w:tc>
          <w:tcPr>
            <w:tcW w:w="96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1404</w:t>
            </w:r>
          </w:p>
        </w:tc>
        <w:tc>
          <w:tcPr>
            <w:tcW w:w="8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35</w:t>
            </w:r>
          </w:p>
        </w:tc>
        <w:tc>
          <w:tcPr>
            <w:tcW w:w="2033"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每胎产仔10只，年产胎次2.16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gridSpan w:val="2"/>
            <w:vAlign w:val="center"/>
          </w:tcPr>
          <w:p>
            <w:pPr>
              <w:pStyle w:val="332"/>
              <w:widowControl w:val="0"/>
              <w:rPr>
                <w:color w:val="000000" w:themeColor="text1"/>
                <w:highlight w:val="yellow"/>
                <w14:textFill>
                  <w14:solidFill>
                    <w14:schemeClr w14:val="tx1"/>
                  </w14:solidFill>
                </w14:textFill>
              </w:rPr>
            </w:pPr>
            <w:r>
              <w:rPr>
                <w:color w:val="000000" w:themeColor="text1"/>
                <w14:textFill>
                  <w14:solidFill>
                    <w14:schemeClr w14:val="tx1"/>
                  </w14:solidFill>
                </w14:textFill>
              </w:rPr>
              <w:t>育肥猪</w:t>
            </w:r>
          </w:p>
        </w:tc>
        <w:tc>
          <w:tcPr>
            <w:tcW w:w="96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4165</w:t>
            </w:r>
          </w:p>
        </w:tc>
        <w:tc>
          <w:tcPr>
            <w:tcW w:w="8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118</w:t>
            </w:r>
          </w:p>
        </w:tc>
        <w:tc>
          <w:tcPr>
            <w:tcW w:w="2033" w:type="pct"/>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9" w:type="pct"/>
            <w:gridSpan w:val="2"/>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后备猪</w:t>
            </w:r>
          </w:p>
        </w:tc>
        <w:tc>
          <w:tcPr>
            <w:tcW w:w="96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209</w:t>
            </w:r>
          </w:p>
        </w:tc>
        <w:tc>
          <w:tcPr>
            <w:tcW w:w="8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2033"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基础母猪的33%</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本项目母猪3年淘汰一次，淘汰后作为商品猪出售；养殖区年出栏2.5次，常年存栏生猪5500头左右，出栏量是存栏量的2.5倍即1年出栏15000头商品猪。出栏量满足本项目计划的年出栏规模。</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表3.1-3 养殖的技术参数</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1475"/>
        <w:gridCol w:w="3701"/>
        <w:gridCol w:w="36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tblHeader/>
          <w:jc w:val="center"/>
        </w:trPr>
        <w:tc>
          <w:tcPr>
            <w:tcW w:w="831"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序号</w:t>
            </w:r>
          </w:p>
        </w:tc>
        <w:tc>
          <w:tcPr>
            <w:tcW w:w="2085"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项目</w:t>
            </w:r>
          </w:p>
        </w:tc>
        <w:tc>
          <w:tcPr>
            <w:tcW w:w="208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1</w:t>
            </w:r>
          </w:p>
        </w:tc>
        <w:tc>
          <w:tcPr>
            <w:tcW w:w="2085"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生理指标</w:t>
            </w:r>
          </w:p>
        </w:tc>
        <w:tc>
          <w:tcPr>
            <w:tcW w:w="2084" w:type="pct"/>
            <w:tcBorders>
              <w:top w:val="single" w:color="auto" w:sz="12" w:space="0"/>
            </w:tcBorders>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1.1</w:t>
            </w:r>
          </w:p>
        </w:tc>
        <w:tc>
          <w:tcPr>
            <w:tcW w:w="2085" w:type="pct"/>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妊娠期（日）</w:t>
            </w:r>
          </w:p>
        </w:tc>
        <w:tc>
          <w:tcPr>
            <w:tcW w:w="2084" w:type="pct"/>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114.00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1.2</w:t>
            </w:r>
          </w:p>
        </w:tc>
        <w:tc>
          <w:tcPr>
            <w:tcW w:w="2085" w:type="pct"/>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哺乳期（日）</w:t>
            </w:r>
          </w:p>
        </w:tc>
        <w:tc>
          <w:tcPr>
            <w:tcW w:w="2084" w:type="pct"/>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28.00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1.3</w:t>
            </w:r>
          </w:p>
        </w:tc>
        <w:tc>
          <w:tcPr>
            <w:tcW w:w="2085" w:type="pct"/>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保育期（日）</w:t>
            </w:r>
          </w:p>
        </w:tc>
        <w:tc>
          <w:tcPr>
            <w:tcW w:w="2084" w:type="pct"/>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35.00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1.4</w:t>
            </w:r>
          </w:p>
        </w:tc>
        <w:tc>
          <w:tcPr>
            <w:tcW w:w="2085" w:type="pct"/>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生长期（日）</w:t>
            </w:r>
          </w:p>
        </w:tc>
        <w:tc>
          <w:tcPr>
            <w:tcW w:w="2084" w:type="pct"/>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63.00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1.5</w:t>
            </w:r>
          </w:p>
        </w:tc>
        <w:tc>
          <w:tcPr>
            <w:tcW w:w="2085" w:type="pct"/>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育肥期（日）</w:t>
            </w:r>
          </w:p>
        </w:tc>
        <w:tc>
          <w:tcPr>
            <w:tcW w:w="2084" w:type="pct"/>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56.00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序号</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项目</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1.6</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断奶至受胎（日）</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7--14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1.7</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繁殖周期（日）</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156--163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1.8</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母猪年产胎次</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1.9</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母猪窝产仔数（头）</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1.10</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哺乳期成活率</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1.11</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保育期成活率</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1.12</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生长期成活率</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1.13</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育肥期成活率</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1.14</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母猪更新周期（年）</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w:t>
            </w:r>
            <w:r>
              <w:rPr>
                <w:rStyle w:val="104"/>
                <w:rFonts w:hint="default" w:ascii="Times New Roman" w:hAnsi="Times New Roman" w:cs="Times New Roman"/>
                <w:color w:val="000000" w:themeColor="text1"/>
                <w:szCs w:val="24"/>
                <w:lang w:bidi="ar"/>
                <w14:textFill>
                  <w14:solidFill>
                    <w14:schemeClr w14:val="tx1"/>
                  </w14:solidFill>
                </w14:textFill>
              </w:rPr>
              <w:t>.15</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公母猪更新周期（年）</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w:t>
            </w:r>
            <w:r>
              <w:rPr>
                <w:rStyle w:val="104"/>
                <w:rFonts w:hint="default" w:ascii="Times New Roman" w:hAnsi="Times New Roman" w:cs="Times New Roman"/>
                <w:color w:val="000000" w:themeColor="text1"/>
                <w:szCs w:val="24"/>
                <w:lang w:bidi="ar"/>
                <w14:textFill>
                  <w14:solidFill>
                    <w14:schemeClr w14:val="tx1"/>
                  </w14:solidFill>
                </w14:textFill>
              </w:rPr>
              <w:t>.16</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公母比例</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3﹕100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w:t>
            </w:r>
            <w:r>
              <w:rPr>
                <w:rStyle w:val="104"/>
                <w:rFonts w:hint="default" w:ascii="Times New Roman" w:hAnsi="Times New Roman" w:cs="Times New Roman"/>
                <w:color w:val="000000" w:themeColor="text1"/>
                <w:szCs w:val="24"/>
                <w:lang w:bidi="ar"/>
                <w14:textFill>
                  <w14:solidFill>
                    <w14:schemeClr w14:val="tx1"/>
                  </w14:solidFill>
                </w14:textFill>
              </w:rPr>
              <w:t>.17</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圈舍冲洗消毒时间（日）</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w:t>
            </w:r>
            <w:r>
              <w:rPr>
                <w:rStyle w:val="104"/>
                <w:rFonts w:hint="default" w:ascii="Times New Roman" w:hAnsi="Times New Roman" w:cs="Times New Roman"/>
                <w:color w:val="000000" w:themeColor="text1"/>
                <w:szCs w:val="24"/>
                <w:lang w:bidi="ar"/>
                <w14:textFill>
                  <w14:solidFill>
                    <w14:schemeClr w14:val="tx1"/>
                  </w14:solidFill>
                </w14:textFill>
              </w:rPr>
              <w:t>.18</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繁殖节律（日）</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w:t>
            </w:r>
            <w:r>
              <w:rPr>
                <w:rStyle w:val="104"/>
                <w:rFonts w:hint="default" w:ascii="Times New Roman" w:hAnsi="Times New Roman" w:cs="Times New Roman"/>
                <w:color w:val="000000" w:themeColor="text1"/>
                <w:szCs w:val="24"/>
                <w:lang w:bidi="ar"/>
                <w14:textFill>
                  <w14:solidFill>
                    <w14:schemeClr w14:val="tx1"/>
                  </w14:solidFill>
                </w14:textFill>
              </w:rPr>
              <w:t>.19</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周配种次数</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1.1--1.3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vMerge w:val="restart"/>
            <w:tcBorders>
              <w:top w:val="single" w:color="auto" w:sz="4" w:space="0"/>
              <w:left w:val="single" w:color="auto" w:sz="12"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1.20</w:t>
            </w: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初生-180日龄体重（kg）</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vMerge w:val="continue"/>
            <w:tcBorders>
              <w:left w:val="single" w:color="auto" w:sz="12" w:space="0"/>
              <w:right w:val="single" w:color="auto" w:sz="4" w:space="0"/>
            </w:tcBorders>
            <w:vAlign w:val="center"/>
          </w:tcPr>
          <w:p>
            <w:pPr>
              <w:pStyle w:val="332"/>
              <w:rPr>
                <w:color w:val="000000" w:themeColor="text1"/>
                <w:lang w:bidi="ar"/>
                <w14:textFill>
                  <w14:solidFill>
                    <w14:schemeClr w14:val="tx1"/>
                  </w14:solidFill>
                </w14:textFill>
              </w:rPr>
            </w:pP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初生时</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vMerge w:val="continue"/>
            <w:tcBorders>
              <w:left w:val="single" w:color="auto" w:sz="12" w:space="0"/>
              <w:right w:val="single" w:color="auto" w:sz="4" w:space="0"/>
            </w:tcBorders>
            <w:vAlign w:val="center"/>
          </w:tcPr>
          <w:p>
            <w:pPr>
              <w:pStyle w:val="332"/>
              <w:rPr>
                <w:color w:val="000000" w:themeColor="text1"/>
                <w:lang w:bidi="ar"/>
                <w14:textFill>
                  <w14:solidFill>
                    <w14:schemeClr w14:val="tx1"/>
                  </w14:solidFill>
                </w14:textFill>
              </w:rPr>
            </w:pP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35日龄</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vMerge w:val="continue"/>
            <w:tcBorders>
              <w:left w:val="single" w:color="auto" w:sz="12" w:space="0"/>
              <w:right w:val="single" w:color="auto" w:sz="4" w:space="0"/>
            </w:tcBorders>
            <w:vAlign w:val="center"/>
          </w:tcPr>
          <w:p>
            <w:pPr>
              <w:pStyle w:val="332"/>
              <w:rPr>
                <w:color w:val="000000" w:themeColor="text1"/>
                <w:lang w:bidi="ar"/>
                <w14:textFill>
                  <w14:solidFill>
                    <w14:schemeClr w14:val="tx1"/>
                  </w14:solidFill>
                </w14:textFill>
              </w:rPr>
            </w:pPr>
          </w:p>
        </w:tc>
        <w:tc>
          <w:tcPr>
            <w:tcW w:w="208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70日龄</w:t>
            </w:r>
          </w:p>
        </w:tc>
        <w:tc>
          <w:tcPr>
            <w:tcW w:w="2084" w:type="pct"/>
            <w:tcBorders>
              <w:top w:val="single" w:color="auto" w:sz="4" w:space="0"/>
              <w:left w:val="single" w:color="auto" w:sz="4" w:space="0"/>
              <w:bottom w:val="single" w:color="auto" w:sz="4"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831" w:type="pct"/>
            <w:vMerge w:val="continue"/>
            <w:tcBorders>
              <w:left w:val="single" w:color="auto" w:sz="12" w:space="0"/>
              <w:bottom w:val="single" w:color="auto" w:sz="12" w:space="0"/>
              <w:right w:val="single" w:color="auto" w:sz="4" w:space="0"/>
            </w:tcBorders>
            <w:vAlign w:val="center"/>
          </w:tcPr>
          <w:p>
            <w:pPr>
              <w:pStyle w:val="332"/>
              <w:rPr>
                <w:color w:val="000000" w:themeColor="text1"/>
                <w:lang w:bidi="ar"/>
                <w14:textFill>
                  <w14:solidFill>
                    <w14:schemeClr w14:val="tx1"/>
                  </w14:solidFill>
                </w14:textFill>
              </w:rPr>
            </w:pPr>
          </w:p>
        </w:tc>
        <w:tc>
          <w:tcPr>
            <w:tcW w:w="2085" w:type="pct"/>
            <w:tcBorders>
              <w:top w:val="single" w:color="auto" w:sz="4" w:space="0"/>
              <w:left w:val="single" w:color="auto" w:sz="4" w:space="0"/>
              <w:bottom w:val="single" w:color="auto" w:sz="12" w:space="0"/>
              <w:right w:val="single" w:color="auto" w:sz="4"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180日龄</w:t>
            </w:r>
          </w:p>
        </w:tc>
        <w:tc>
          <w:tcPr>
            <w:tcW w:w="2084" w:type="pct"/>
            <w:tcBorders>
              <w:top w:val="single" w:color="auto" w:sz="4" w:space="0"/>
              <w:left w:val="single" w:color="auto" w:sz="4" w:space="0"/>
              <w:bottom w:val="single" w:color="auto" w:sz="12" w:space="0"/>
              <w:right w:val="single" w:color="auto" w:sz="12" w:space="0"/>
            </w:tcBorders>
            <w:vAlign w:val="center"/>
          </w:tcPr>
          <w:p>
            <w:pPr>
              <w:pStyle w:val="332"/>
              <w:rPr>
                <w:color w:val="000000" w:themeColor="text1"/>
                <w:lang w:bidi="ar"/>
                <w14:textFill>
                  <w14:solidFill>
                    <w14:schemeClr w14:val="tx1"/>
                  </w14:solidFill>
                </w14:textFill>
              </w:rPr>
            </w:pPr>
            <w:r>
              <w:rPr>
                <w:color w:val="000000" w:themeColor="text1"/>
                <w:lang w:bidi="ar"/>
                <w14:textFill>
                  <w14:solidFill>
                    <w14:schemeClr w14:val="tx1"/>
                  </w14:solidFill>
                </w14:textFill>
              </w:rPr>
              <w:t>110.00</w:t>
            </w:r>
          </w:p>
        </w:tc>
      </w:tr>
    </w:tbl>
    <w:p>
      <w:pPr>
        <w:ind w:firstLine="480"/>
        <w:rPr>
          <w:rFonts w:cs="Times New Roman"/>
          <w:color w:val="000000" w:themeColor="text1"/>
          <w14:textFill>
            <w14:solidFill>
              <w14:schemeClr w14:val="tx1"/>
            </w14:solidFill>
          </w14:textFill>
        </w:rPr>
        <w:sectPr>
          <w:pgSz w:w="11907" w:h="16840"/>
          <w:pgMar w:top="1418" w:right="1531" w:bottom="1418" w:left="1531" w:header="1021" w:footer="1134" w:gutter="0"/>
          <w:pgNumType w:fmt="numberInDash"/>
          <w:cols w:space="720" w:num="1"/>
          <w:docGrid w:linePitch="312" w:charSpace="0"/>
        </w:sectPr>
      </w:pP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anchor distT="0" distB="0" distL="114300" distR="114300" simplePos="0" relativeHeight="251782144" behindDoc="0" locked="0" layoutInCell="1" allowOverlap="1">
            <wp:simplePos x="0" y="0"/>
            <wp:positionH relativeFrom="column">
              <wp:posOffset>-324485</wp:posOffset>
            </wp:positionH>
            <wp:positionV relativeFrom="paragraph">
              <wp:posOffset>80645</wp:posOffset>
            </wp:positionV>
            <wp:extent cx="6044565" cy="7317105"/>
            <wp:effectExtent l="0" t="0" r="0" b="0"/>
            <wp:wrapTopAndBottom/>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noChangeArrowheads="true"/>
                    </pic:cNvPicPr>
                  </pic:nvPicPr>
                  <pic:blipFill>
                    <a:blip r:embed="rId21" cstate="print">
                      <a:extLst>
                        <a:ext uri="{28A0092B-C50C-407E-A947-70E740481C1C}">
                          <a14:useLocalDpi xmlns:a14="http://schemas.microsoft.com/office/drawing/2010/main" val="false"/>
                        </a:ext>
                      </a:extLst>
                    </a:blip>
                    <a:srcRect/>
                    <a:stretch>
                      <a:fillRect/>
                    </a:stretch>
                  </pic:blipFill>
                  <pic:spPr>
                    <a:xfrm>
                      <a:off x="0" y="0"/>
                      <a:ext cx="6044565" cy="7317105"/>
                    </a:xfrm>
                    <a:prstGeom prst="rect">
                      <a:avLst/>
                    </a:prstGeom>
                    <a:noFill/>
                    <a:ln>
                      <a:noFill/>
                    </a:ln>
                  </pic:spPr>
                </pic:pic>
              </a:graphicData>
            </a:graphic>
          </wp:anchor>
        </w:drawing>
      </w:r>
      <w:r>
        <w:rPr>
          <w:rFonts w:cs="Times New Roman"/>
          <w:color w:val="000000" w:themeColor="text1"/>
          <w14:textFill>
            <w14:solidFill>
              <w14:schemeClr w14:val="tx1"/>
            </w14:solidFill>
          </w14:textFill>
        </w:rPr>
        <w:t>图3.1-1 养殖场平面布置图</w:t>
      </w:r>
    </w:p>
    <w:p>
      <w:pPr>
        <w:ind w:firstLine="480"/>
        <w:rPr>
          <w:rFonts w:cs="Times New Roman"/>
          <w:color w:val="000000" w:themeColor="text1"/>
          <w14:textFill>
            <w14:solidFill>
              <w14:schemeClr w14:val="tx1"/>
            </w14:solidFill>
          </w14:textFill>
        </w:rPr>
        <w:sectPr>
          <w:pgSz w:w="11906" w:h="16838"/>
          <w:pgMar w:top="1418" w:right="1531" w:bottom="1418" w:left="1531" w:header="1021" w:footer="1134" w:gutter="0"/>
          <w:pgNumType w:fmt="numberInDash"/>
          <w:cols w:space="720" w:num="1"/>
          <w:docGrid w:linePitch="326" w:charSpace="0"/>
        </w:sectPr>
      </w:pPr>
    </w:p>
    <w:p>
      <w:pPr>
        <w:pStyle w:val="4"/>
        <w:rPr>
          <w:rFonts w:cs="Times New Roman"/>
          <w:color w:val="000000" w:themeColor="text1"/>
          <w14:textFill>
            <w14:solidFill>
              <w14:schemeClr w14:val="tx1"/>
            </w14:solidFill>
          </w14:textFill>
        </w:rPr>
      </w:pPr>
      <w:bookmarkStart w:id="337" w:name="_Toc52791878"/>
      <w:bookmarkStart w:id="338" w:name="_Toc47620010"/>
      <w:bookmarkStart w:id="339" w:name="_Toc58362779"/>
      <w:bookmarkStart w:id="340" w:name="_Toc47619824"/>
      <w:bookmarkStart w:id="341" w:name="_Toc47619162"/>
      <w:bookmarkStart w:id="342" w:name="_Toc271875060"/>
      <w:bookmarkStart w:id="343" w:name="_Toc272584786"/>
      <w:bookmarkStart w:id="344" w:name="_Toc91163865"/>
      <w:r>
        <w:rPr>
          <w:rFonts w:cs="Times New Roman"/>
          <w:color w:val="000000" w:themeColor="text1"/>
          <w14:textFill>
            <w14:solidFill>
              <w14:schemeClr w14:val="tx1"/>
            </w14:solidFill>
          </w14:textFill>
        </w:rPr>
        <w:t xml:space="preserve">3.1.5 </w:t>
      </w:r>
      <w:bookmarkEnd w:id="337"/>
      <w:bookmarkEnd w:id="338"/>
      <w:bookmarkEnd w:id="339"/>
      <w:bookmarkEnd w:id="340"/>
      <w:bookmarkEnd w:id="341"/>
      <w:bookmarkEnd w:id="342"/>
      <w:bookmarkEnd w:id="343"/>
      <w:r>
        <w:rPr>
          <w:rFonts w:cs="Times New Roman"/>
          <w:color w:val="000000" w:themeColor="text1"/>
          <w14:textFill>
            <w14:solidFill>
              <w14:schemeClr w14:val="tx1"/>
            </w14:solidFill>
          </w14:textFill>
        </w:rPr>
        <w:t>生产设备</w:t>
      </w:r>
      <w:bookmarkEnd w:id="344"/>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项目场区设备详见表3.1-4与表3.1-5。</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表3.1-4 养殖区主要设备一览表</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1127"/>
        <w:gridCol w:w="3655"/>
        <w:gridCol w:w="2048"/>
        <w:gridCol w:w="20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tblHeader/>
          <w:jc w:val="center"/>
        </w:trPr>
        <w:tc>
          <w:tcPr>
            <w:tcW w:w="635"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05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15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115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35"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2059"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卷帘</w:t>
            </w:r>
          </w:p>
        </w:tc>
        <w:tc>
          <w:tcPr>
            <w:tcW w:w="115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203</w:t>
            </w:r>
          </w:p>
        </w:tc>
        <w:tc>
          <w:tcPr>
            <w:tcW w:w="115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3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205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自动饮水器</w:t>
            </w:r>
          </w:p>
        </w:tc>
        <w:tc>
          <w:tcPr>
            <w:tcW w:w="115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2117</w:t>
            </w:r>
          </w:p>
        </w:tc>
        <w:tc>
          <w:tcPr>
            <w:tcW w:w="115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3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205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猪栏冲洗装置</w:t>
            </w:r>
          </w:p>
        </w:tc>
        <w:tc>
          <w:tcPr>
            <w:tcW w:w="115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115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3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205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小猪转运车</w:t>
            </w:r>
          </w:p>
        </w:tc>
        <w:tc>
          <w:tcPr>
            <w:tcW w:w="115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115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3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205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小猪保温灯</w:t>
            </w:r>
          </w:p>
        </w:tc>
        <w:tc>
          <w:tcPr>
            <w:tcW w:w="115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377</w:t>
            </w:r>
          </w:p>
        </w:tc>
        <w:tc>
          <w:tcPr>
            <w:tcW w:w="115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3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w:t>
            </w:r>
          </w:p>
        </w:tc>
        <w:tc>
          <w:tcPr>
            <w:tcW w:w="205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手推饲料车</w:t>
            </w:r>
          </w:p>
        </w:tc>
        <w:tc>
          <w:tcPr>
            <w:tcW w:w="115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115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63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w:t>
            </w:r>
          </w:p>
        </w:tc>
        <w:tc>
          <w:tcPr>
            <w:tcW w:w="205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双轮斗车</w:t>
            </w:r>
          </w:p>
        </w:tc>
        <w:tc>
          <w:tcPr>
            <w:tcW w:w="115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w:t>
            </w:r>
          </w:p>
        </w:tc>
        <w:tc>
          <w:tcPr>
            <w:tcW w:w="115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辆</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表3.1-5 污染防治设备一览表</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687"/>
        <w:gridCol w:w="1152"/>
        <w:gridCol w:w="2855"/>
        <w:gridCol w:w="2427"/>
        <w:gridCol w:w="856"/>
        <w:gridCol w:w="8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38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64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160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36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型号/规格</w:t>
            </w:r>
          </w:p>
        </w:tc>
        <w:tc>
          <w:tcPr>
            <w:tcW w:w="48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50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38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649"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污水处理</w:t>
            </w:r>
          </w:p>
        </w:tc>
        <w:tc>
          <w:tcPr>
            <w:tcW w:w="1608"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黑膜沼气池</w:t>
            </w:r>
          </w:p>
        </w:tc>
        <w:tc>
          <w:tcPr>
            <w:tcW w:w="136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倒梯形结构，池体容积5000 m</w:t>
            </w:r>
            <w:r>
              <w:rPr>
                <w:color w:val="000000" w:themeColor="text1"/>
                <w:vertAlign w:val="superscript"/>
                <w14:textFill>
                  <w14:solidFill>
                    <w14:schemeClr w14:val="tx1"/>
                  </w14:solidFill>
                </w14:textFill>
              </w:rPr>
              <w:t>3</w:t>
            </w:r>
          </w:p>
        </w:tc>
        <w:tc>
          <w:tcPr>
            <w:tcW w:w="48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50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38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649" w:type="pct"/>
            <w:vMerge w:val="continue"/>
            <w:vAlign w:val="center"/>
          </w:tcPr>
          <w:p>
            <w:pPr>
              <w:pStyle w:val="332"/>
              <w:rPr>
                <w:color w:val="000000" w:themeColor="text1"/>
                <w14:textFill>
                  <w14:solidFill>
                    <w14:schemeClr w14:val="tx1"/>
                  </w14:solidFill>
                </w14:textFill>
              </w:rPr>
            </w:pPr>
          </w:p>
        </w:tc>
        <w:tc>
          <w:tcPr>
            <w:tcW w:w="160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沼液储存池</w:t>
            </w:r>
          </w:p>
        </w:tc>
        <w:tc>
          <w:tcPr>
            <w:tcW w:w="136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倒梯形结构，池体容积11170 m</w:t>
            </w:r>
            <w:r>
              <w:rPr>
                <w:color w:val="000000" w:themeColor="text1"/>
                <w:vertAlign w:val="superscript"/>
                <w14:textFill>
                  <w14:solidFill>
                    <w14:schemeClr w14:val="tx1"/>
                  </w14:solidFill>
                </w14:textFill>
              </w:rPr>
              <w:t>3</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506"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38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649" w:type="pct"/>
            <w:vMerge w:val="continue"/>
            <w:vAlign w:val="center"/>
          </w:tcPr>
          <w:p>
            <w:pPr>
              <w:pStyle w:val="332"/>
              <w:rPr>
                <w:color w:val="000000" w:themeColor="text1"/>
                <w14:textFill>
                  <w14:solidFill>
                    <w14:schemeClr w14:val="tx1"/>
                  </w14:solidFill>
                </w14:textFill>
              </w:rPr>
            </w:pPr>
          </w:p>
        </w:tc>
        <w:tc>
          <w:tcPr>
            <w:tcW w:w="1608"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固液分离机</w:t>
            </w:r>
          </w:p>
        </w:tc>
        <w:tc>
          <w:tcPr>
            <w:tcW w:w="1367"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LK-120TS</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2 </w:t>
            </w:r>
          </w:p>
        </w:tc>
        <w:tc>
          <w:tcPr>
            <w:tcW w:w="5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38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649" w:type="pct"/>
            <w:vMerge w:val="continue"/>
            <w:vAlign w:val="center"/>
          </w:tcPr>
          <w:p>
            <w:pPr>
              <w:pStyle w:val="332"/>
              <w:rPr>
                <w:color w:val="000000" w:themeColor="text1"/>
                <w14:textFill>
                  <w14:solidFill>
                    <w14:schemeClr w14:val="tx1"/>
                  </w14:solidFill>
                </w14:textFill>
              </w:rPr>
            </w:pPr>
          </w:p>
        </w:tc>
        <w:tc>
          <w:tcPr>
            <w:tcW w:w="1608"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提升泵</w:t>
            </w:r>
          </w:p>
        </w:tc>
        <w:tc>
          <w:tcPr>
            <w:tcW w:w="136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5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38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649" w:type="pct"/>
            <w:vMerge w:val="continue"/>
            <w:vAlign w:val="center"/>
          </w:tcPr>
          <w:p>
            <w:pPr>
              <w:pStyle w:val="332"/>
              <w:rPr>
                <w:color w:val="000000" w:themeColor="text1"/>
                <w14:textFill>
                  <w14:solidFill>
                    <w14:schemeClr w14:val="tx1"/>
                  </w14:solidFill>
                </w14:textFill>
              </w:rPr>
            </w:pPr>
          </w:p>
        </w:tc>
        <w:tc>
          <w:tcPr>
            <w:tcW w:w="160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黑膜沼气池</w:t>
            </w:r>
            <w:r>
              <w:rPr>
                <w:color w:val="000000" w:themeColor="text1"/>
                <w:kern w:val="0"/>
                <w:szCs w:val="21"/>
                <w14:textFill>
                  <w14:solidFill>
                    <w14:schemeClr w14:val="tx1"/>
                  </w14:solidFill>
                </w14:textFill>
              </w:rPr>
              <w:t>循环排泥泵</w:t>
            </w:r>
          </w:p>
        </w:tc>
        <w:tc>
          <w:tcPr>
            <w:tcW w:w="1367"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CHD/CVD 系列</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5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38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w:t>
            </w:r>
          </w:p>
        </w:tc>
        <w:tc>
          <w:tcPr>
            <w:tcW w:w="64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沼气工程</w:t>
            </w:r>
          </w:p>
        </w:tc>
        <w:tc>
          <w:tcPr>
            <w:tcW w:w="1608"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脱硫罐</w:t>
            </w:r>
          </w:p>
        </w:tc>
        <w:tc>
          <w:tcPr>
            <w:tcW w:w="1367"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φ600×1500×2.0mm</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5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38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w:t>
            </w:r>
          </w:p>
        </w:tc>
        <w:tc>
          <w:tcPr>
            <w:tcW w:w="649" w:type="pct"/>
            <w:vMerge w:val="continue"/>
            <w:vAlign w:val="center"/>
          </w:tcPr>
          <w:p>
            <w:pPr>
              <w:pStyle w:val="332"/>
              <w:rPr>
                <w:color w:val="000000" w:themeColor="text1"/>
                <w14:textFill>
                  <w14:solidFill>
                    <w14:schemeClr w14:val="tx1"/>
                  </w14:solidFill>
                </w14:textFill>
              </w:rPr>
            </w:pPr>
          </w:p>
        </w:tc>
        <w:tc>
          <w:tcPr>
            <w:tcW w:w="1608"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脱水罐</w:t>
            </w:r>
          </w:p>
        </w:tc>
        <w:tc>
          <w:tcPr>
            <w:tcW w:w="1367"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φ400×1500×2.0mm</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5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38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w:t>
            </w:r>
          </w:p>
        </w:tc>
        <w:tc>
          <w:tcPr>
            <w:tcW w:w="649" w:type="pct"/>
            <w:vMerge w:val="continue"/>
            <w:vAlign w:val="center"/>
          </w:tcPr>
          <w:p>
            <w:pPr>
              <w:pStyle w:val="332"/>
              <w:rPr>
                <w:color w:val="000000" w:themeColor="text1"/>
                <w14:textFill>
                  <w14:solidFill>
                    <w14:schemeClr w14:val="tx1"/>
                  </w14:solidFill>
                </w14:textFill>
              </w:rPr>
            </w:pPr>
          </w:p>
        </w:tc>
        <w:tc>
          <w:tcPr>
            <w:tcW w:w="1608"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阻火器</w:t>
            </w:r>
          </w:p>
        </w:tc>
        <w:tc>
          <w:tcPr>
            <w:tcW w:w="1367"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沼气净化配套</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5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38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w:t>
            </w:r>
          </w:p>
        </w:tc>
        <w:tc>
          <w:tcPr>
            <w:tcW w:w="649" w:type="pct"/>
            <w:vMerge w:val="continue"/>
            <w:vAlign w:val="center"/>
          </w:tcPr>
          <w:p>
            <w:pPr>
              <w:pStyle w:val="332"/>
              <w:rPr>
                <w:color w:val="000000" w:themeColor="text1"/>
                <w14:textFill>
                  <w14:solidFill>
                    <w14:schemeClr w14:val="tx1"/>
                  </w14:solidFill>
                </w14:textFill>
              </w:rPr>
            </w:pPr>
          </w:p>
        </w:tc>
        <w:tc>
          <w:tcPr>
            <w:tcW w:w="1608"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沼气发电机</w:t>
            </w:r>
          </w:p>
        </w:tc>
        <w:tc>
          <w:tcPr>
            <w:tcW w:w="1367" w:type="pct"/>
            <w:vAlign w:val="center"/>
          </w:tcPr>
          <w:p>
            <w:pPr>
              <w:autoSpaceDE w:val="0"/>
              <w:autoSpaceDN w:val="0"/>
              <w:adjustRightInd w:val="0"/>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KDGH-160BG</w:t>
            </w:r>
          </w:p>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150KW/200KVA</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5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38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649" w:type="pct"/>
            <w:vMerge w:val="restart"/>
            <w:vAlign w:val="center"/>
          </w:tcPr>
          <w:p>
            <w:pPr>
              <w:autoSpaceDE w:val="0"/>
              <w:autoSpaceDN w:val="0"/>
              <w:adjustRightInd w:val="0"/>
              <w:spacing w:line="240" w:lineRule="auto"/>
              <w:ind w:firstLine="0" w:firstLineChars="0"/>
              <w:jc w:val="center"/>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病死猪无害化处理</w:t>
            </w:r>
          </w:p>
        </w:tc>
        <w:tc>
          <w:tcPr>
            <w:tcW w:w="1608"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病死猪无害化处理</w:t>
            </w:r>
          </w:p>
        </w:tc>
        <w:tc>
          <w:tcPr>
            <w:tcW w:w="1367"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JC-11FXC25</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5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38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w:t>
            </w:r>
          </w:p>
        </w:tc>
        <w:tc>
          <w:tcPr>
            <w:tcW w:w="649" w:type="pct"/>
            <w:vMerge w:val="continue"/>
            <w:vAlign w:val="center"/>
          </w:tcPr>
          <w:p>
            <w:pPr>
              <w:pStyle w:val="332"/>
              <w:rPr>
                <w:color w:val="000000" w:themeColor="text1"/>
                <w14:textFill>
                  <w14:solidFill>
                    <w14:schemeClr w14:val="tx1"/>
                  </w14:solidFill>
                </w14:textFill>
              </w:rPr>
            </w:pPr>
          </w:p>
        </w:tc>
        <w:tc>
          <w:tcPr>
            <w:tcW w:w="1608"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一体式喷淋尾气处理系统</w:t>
            </w:r>
          </w:p>
        </w:tc>
        <w:tc>
          <w:tcPr>
            <w:tcW w:w="1367"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无害化配套</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5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38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w:t>
            </w:r>
          </w:p>
        </w:tc>
        <w:tc>
          <w:tcPr>
            <w:tcW w:w="649" w:type="pct"/>
            <w:vMerge w:val="continue"/>
            <w:vAlign w:val="center"/>
          </w:tcPr>
          <w:p>
            <w:pPr>
              <w:pStyle w:val="332"/>
              <w:rPr>
                <w:color w:val="000000" w:themeColor="text1"/>
                <w14:textFill>
                  <w14:solidFill>
                    <w14:schemeClr w14:val="tx1"/>
                  </w14:solidFill>
                </w14:textFill>
              </w:rPr>
            </w:pPr>
          </w:p>
        </w:tc>
        <w:tc>
          <w:tcPr>
            <w:tcW w:w="1608"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制冷机组</w:t>
            </w:r>
          </w:p>
        </w:tc>
        <w:tc>
          <w:tcPr>
            <w:tcW w:w="1367"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无害化配套</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5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套</w:t>
            </w:r>
          </w:p>
        </w:tc>
      </w:tr>
    </w:tbl>
    <w:p>
      <w:pPr>
        <w:pStyle w:val="4"/>
        <w:rPr>
          <w:rFonts w:cs="Times New Roman"/>
          <w:color w:val="000000" w:themeColor="text1"/>
          <w14:textFill>
            <w14:solidFill>
              <w14:schemeClr w14:val="tx1"/>
            </w14:solidFill>
          </w14:textFill>
        </w:rPr>
      </w:pPr>
      <w:bookmarkStart w:id="345" w:name="_Toc91163866"/>
      <w:r>
        <w:rPr>
          <w:rFonts w:cs="Times New Roman"/>
          <w:color w:val="000000" w:themeColor="text1"/>
          <w14:textFill>
            <w14:solidFill>
              <w14:schemeClr w14:val="tx1"/>
            </w14:solidFill>
          </w14:textFill>
        </w:rPr>
        <w:t>3.1.6 原辅材料消耗</w:t>
      </w:r>
      <w:bookmarkEnd w:id="345"/>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1、饲料用量</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结合本项目存栏情况，并根据建设单位提供的数据，对原辅材料和资源能源消耗情况进行量化，具体情况见表3.1-6。</w:t>
      </w:r>
    </w:p>
    <w:p>
      <w:pPr>
        <w:pStyle w:val="333"/>
        <w:spacing w:before="120"/>
        <w:rPr>
          <w:rFonts w:cs="Times New Roman"/>
          <w:color w:val="000000" w:themeColor="text1"/>
          <w:kern w:val="0"/>
          <w:szCs w:val="24"/>
          <w14:textFill>
            <w14:solidFill>
              <w14:schemeClr w14:val="tx1"/>
            </w14:solidFill>
          </w14:textFill>
        </w:rPr>
      </w:pPr>
      <w:r>
        <w:rPr>
          <w:rFonts w:cs="Times New Roman"/>
          <w:color w:val="000000" w:themeColor="text1"/>
          <w14:textFill>
            <w14:solidFill>
              <w14:schemeClr w14:val="tx1"/>
            </w14:solidFill>
          </w14:textFill>
        </w:rPr>
        <w:t>表3.1-6 本项目养殖过程饲料消耗一览表</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98"/>
        <w:gridCol w:w="1444"/>
        <w:gridCol w:w="1897"/>
        <w:gridCol w:w="2077"/>
        <w:gridCol w:w="14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pct"/>
            <w:vMerge w:val="restar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797" w:type="pct"/>
            <w:vMerge w:val="restar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存栏量（头）</w:t>
            </w:r>
          </w:p>
        </w:tc>
        <w:tc>
          <w:tcPr>
            <w:tcW w:w="1047"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饲料定额</w:t>
            </w:r>
          </w:p>
        </w:tc>
        <w:tc>
          <w:tcPr>
            <w:tcW w:w="1146" w:type="pct"/>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日消耗量</w:t>
            </w:r>
          </w:p>
        </w:tc>
        <w:tc>
          <w:tcPr>
            <w:tcW w:w="797" w:type="pct"/>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年消耗量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797"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1047"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（kg/头·d）</w:t>
            </w:r>
          </w:p>
        </w:tc>
        <w:tc>
          <w:tcPr>
            <w:tcW w:w="1146" w:type="pct"/>
            <w:tcBorders>
              <w:bottom w:val="single" w:color="auto" w:sz="12" w:space="0"/>
            </w:tcBorders>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t/d</w:t>
            </w:r>
          </w:p>
        </w:tc>
        <w:tc>
          <w:tcPr>
            <w:tcW w:w="797" w:type="pct"/>
            <w:tcBorders>
              <w:bottom w:val="single" w:color="auto" w:sz="12" w:space="0"/>
            </w:tcBorders>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pct"/>
            <w:tcBorders>
              <w:top w:val="single" w:color="auto" w:sz="12" w:space="0"/>
              <w:bottom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怀孕猪</w:t>
            </w:r>
          </w:p>
        </w:tc>
        <w:tc>
          <w:tcPr>
            <w:tcW w:w="797" w:type="pct"/>
            <w:tcBorders>
              <w:top w:val="single" w:color="auto" w:sz="12" w:space="0"/>
              <w:bottom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1047" w:type="pct"/>
            <w:tcBorders>
              <w:top w:val="single" w:color="auto" w:sz="12" w:space="0"/>
              <w:bottom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146" w:type="pct"/>
            <w:tcBorders>
              <w:top w:val="single" w:color="auto" w:sz="12" w:space="0"/>
              <w:bottom w:val="single" w:color="auto" w:sz="4" w:space="0"/>
            </w:tcBorders>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1.25</w:t>
            </w:r>
          </w:p>
        </w:tc>
        <w:tc>
          <w:tcPr>
            <w:tcW w:w="797" w:type="pct"/>
            <w:tcBorders>
              <w:top w:val="single" w:color="auto" w:sz="12" w:space="0"/>
              <w:bottom w:val="single" w:color="auto" w:sz="4" w:space="0"/>
            </w:tcBorders>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456.25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pct"/>
            <w:tcBorders>
              <w:top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哺乳猪</w:t>
            </w:r>
          </w:p>
        </w:tc>
        <w:tc>
          <w:tcPr>
            <w:tcW w:w="797" w:type="pct"/>
            <w:tcBorders>
              <w:top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047" w:type="pct"/>
            <w:tcBorders>
              <w:top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w:t>
            </w:r>
          </w:p>
        </w:tc>
        <w:tc>
          <w:tcPr>
            <w:tcW w:w="1146" w:type="pct"/>
            <w:tcBorders>
              <w:top w:val="single" w:color="auto" w:sz="4" w:space="0"/>
            </w:tcBorders>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0.55</w:t>
            </w:r>
          </w:p>
        </w:tc>
        <w:tc>
          <w:tcPr>
            <w:tcW w:w="797" w:type="pct"/>
            <w:tcBorders>
              <w:top w:val="single" w:color="auto" w:sz="4" w:space="0"/>
            </w:tcBorders>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保育猪</w:t>
            </w:r>
          </w:p>
        </w:tc>
        <w:tc>
          <w:tcPr>
            <w:tcW w:w="797"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1404</w:t>
            </w:r>
          </w:p>
        </w:tc>
        <w:tc>
          <w:tcPr>
            <w:tcW w:w="1047"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1146" w:type="pct"/>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2.81</w:t>
            </w:r>
          </w:p>
        </w:tc>
        <w:tc>
          <w:tcPr>
            <w:tcW w:w="797" w:type="pct"/>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1024.92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育肥猪</w:t>
            </w:r>
          </w:p>
        </w:tc>
        <w:tc>
          <w:tcPr>
            <w:tcW w:w="797"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4165</w:t>
            </w:r>
          </w:p>
        </w:tc>
        <w:tc>
          <w:tcPr>
            <w:tcW w:w="1047"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1146" w:type="pct"/>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8.33</w:t>
            </w:r>
          </w:p>
        </w:tc>
        <w:tc>
          <w:tcPr>
            <w:tcW w:w="797" w:type="pct"/>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3040.45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后备猪及公猪</w:t>
            </w:r>
          </w:p>
        </w:tc>
        <w:tc>
          <w:tcPr>
            <w:tcW w:w="797"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227</w:t>
            </w:r>
          </w:p>
        </w:tc>
        <w:tc>
          <w:tcPr>
            <w:tcW w:w="1047"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146" w:type="pct"/>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0.57</w:t>
            </w:r>
          </w:p>
        </w:tc>
        <w:tc>
          <w:tcPr>
            <w:tcW w:w="797" w:type="pct"/>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207.14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pct"/>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797" w:type="pct"/>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047" w:type="pct"/>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146" w:type="pct"/>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13.51</w:t>
            </w:r>
          </w:p>
        </w:tc>
        <w:tc>
          <w:tcPr>
            <w:tcW w:w="797" w:type="pct"/>
            <w:shd w:val="clear" w:color="auto" w:fill="auto"/>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4929.51</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拟建项目营运期间主要原料饲料由双胞胎公司饲料厂配送。场区内不设置饲料制作车间，饲料运送至场区后，采用全自动配送上料系统和限位猪槽，机械化操作，定时定量供应饲料，保证生猪饮食需求。</w:t>
      </w:r>
    </w:p>
    <w:p>
      <w:pPr>
        <w:ind w:firstLine="482"/>
        <w:rPr>
          <w:rFonts w:cs="Times New Roman"/>
          <w:b/>
          <w:color w:val="000000" w:themeColor="text1"/>
          <w:lang w:bidi="en-US"/>
          <w14:textFill>
            <w14:solidFill>
              <w14:schemeClr w14:val="tx1"/>
            </w14:solidFill>
          </w14:textFill>
        </w:rPr>
      </w:pPr>
      <w:r>
        <w:rPr>
          <w:rFonts w:cs="Times New Roman"/>
          <w:b/>
          <w:color w:val="000000" w:themeColor="text1"/>
          <w:lang w:bidi="en-US"/>
          <w14:textFill>
            <w14:solidFill>
              <w14:schemeClr w14:val="tx1"/>
            </w14:solidFill>
          </w14:textFill>
        </w:rPr>
        <w:t>2、其他原辅材料用量</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表3.1-7 其他原辅材料及资源能源消耗一览表</w:t>
      </w: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1624"/>
        <w:gridCol w:w="1455"/>
        <w:gridCol w:w="1312"/>
        <w:gridCol w:w="2039"/>
        <w:gridCol w:w="19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896"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项目名称</w:t>
            </w:r>
          </w:p>
        </w:tc>
        <w:tc>
          <w:tcPr>
            <w:tcW w:w="803"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年消耗量</w:t>
            </w:r>
          </w:p>
        </w:tc>
        <w:tc>
          <w:tcPr>
            <w:tcW w:w="724"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最大储存量</w:t>
            </w:r>
          </w:p>
        </w:tc>
        <w:tc>
          <w:tcPr>
            <w:tcW w:w="1125"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储存方式</w:t>
            </w:r>
          </w:p>
        </w:tc>
        <w:tc>
          <w:tcPr>
            <w:tcW w:w="1069"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89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药品疫苗</w:t>
            </w:r>
          </w:p>
        </w:tc>
        <w:tc>
          <w:tcPr>
            <w:tcW w:w="80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2520瓶/年</w:t>
            </w:r>
          </w:p>
        </w:tc>
        <w:tc>
          <w:tcPr>
            <w:tcW w:w="72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防疫</w:t>
            </w:r>
          </w:p>
        </w:tc>
        <w:tc>
          <w:tcPr>
            <w:tcW w:w="112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盒装，</w:t>
            </w:r>
            <w:r>
              <w:rPr>
                <w:color w:val="000000" w:themeColor="text1"/>
                <w:kern w:val="0"/>
                <w:szCs w:val="21"/>
                <w14:textFill>
                  <w14:solidFill>
                    <w14:schemeClr w14:val="tx1"/>
                  </w14:solidFill>
                </w14:textFill>
              </w:rPr>
              <w:t>疫苗专用冰柜冷藏</w:t>
            </w:r>
          </w:p>
        </w:tc>
        <w:tc>
          <w:tcPr>
            <w:tcW w:w="106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89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18%过氧乙酸</w:t>
            </w:r>
          </w:p>
        </w:tc>
        <w:tc>
          <w:tcPr>
            <w:tcW w:w="803"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4.5 t/a</w:t>
            </w:r>
          </w:p>
        </w:tc>
        <w:tc>
          <w:tcPr>
            <w:tcW w:w="72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 xml:space="preserve"> 40桶，1 t</w:t>
            </w:r>
          </w:p>
        </w:tc>
        <w:tc>
          <w:tcPr>
            <w:tcW w:w="1125"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25 kg桶装，仓库内</w:t>
            </w:r>
            <w:r>
              <w:rPr>
                <w:color w:val="000000" w:themeColor="text1"/>
                <w:kern w:val="0"/>
                <w:szCs w:val="21"/>
                <w14:textFill>
                  <w14:solidFill>
                    <w14:schemeClr w14:val="tx1"/>
                  </w14:solidFill>
                </w14:textFill>
              </w:rPr>
              <w:t>瓶装储存</w:t>
            </w:r>
          </w:p>
        </w:tc>
        <w:tc>
          <w:tcPr>
            <w:tcW w:w="1069" w:type="pct"/>
            <w:vAlign w:val="center"/>
          </w:tcPr>
          <w:p>
            <w:pPr>
              <w:autoSpaceDE w:val="0"/>
              <w:autoSpaceDN w:val="0"/>
              <w:adjustRightInd w:val="0"/>
              <w:spacing w:line="240" w:lineRule="auto"/>
              <w:ind w:firstLine="0" w:firstLineChars="0"/>
              <w:jc w:val="center"/>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外购、汽运，用作消毒剂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89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除臭剂</w:t>
            </w:r>
          </w:p>
        </w:tc>
        <w:tc>
          <w:tcPr>
            <w:tcW w:w="80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10 t/a</w:t>
            </w:r>
          </w:p>
        </w:tc>
        <w:tc>
          <w:tcPr>
            <w:tcW w:w="72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1.5 t</w:t>
            </w:r>
          </w:p>
        </w:tc>
        <w:tc>
          <w:tcPr>
            <w:tcW w:w="112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仓库内袋装</w:t>
            </w:r>
          </w:p>
        </w:tc>
        <w:tc>
          <w:tcPr>
            <w:tcW w:w="1069" w:type="pct"/>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外购、汽运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89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脱硫剂</w:t>
            </w:r>
          </w:p>
        </w:tc>
        <w:tc>
          <w:tcPr>
            <w:tcW w:w="80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26 t/a</w:t>
            </w:r>
          </w:p>
        </w:tc>
        <w:tc>
          <w:tcPr>
            <w:tcW w:w="72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112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106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厂家更换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89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新鲜水</w:t>
            </w:r>
          </w:p>
        </w:tc>
        <w:tc>
          <w:tcPr>
            <w:tcW w:w="80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4.07万</w:t>
            </w:r>
            <w:r>
              <w:rPr>
                <w:color w:val="000000" w:themeColor="text1"/>
                <w:sz w:val="24"/>
                <w:lang w:bidi="en-US"/>
                <w14:textFill>
                  <w14:solidFill>
                    <w14:schemeClr w14:val="tx1"/>
                  </w14:solidFill>
                </w14:textFill>
              </w:rPr>
              <w:t>m</w:t>
            </w:r>
            <w:r>
              <w:rPr>
                <w:color w:val="000000" w:themeColor="text1"/>
                <w:sz w:val="24"/>
                <w:vertAlign w:val="superscript"/>
                <w:lang w:bidi="en-US"/>
                <w14:textFill>
                  <w14:solidFill>
                    <w14:schemeClr w14:val="tx1"/>
                  </w14:solidFill>
                </w14:textFill>
              </w:rPr>
              <w:t>3</w:t>
            </w:r>
            <w:r>
              <w:rPr>
                <w:color w:val="000000" w:themeColor="text1"/>
                <w:sz w:val="24"/>
                <w:lang w:bidi="en-US"/>
                <w14:textFill>
                  <w14:solidFill>
                    <w14:schemeClr w14:val="tx1"/>
                  </w14:solidFill>
                </w14:textFill>
              </w:rPr>
              <w:t>/a</w:t>
            </w:r>
          </w:p>
        </w:tc>
        <w:tc>
          <w:tcPr>
            <w:tcW w:w="724" w:type="pct"/>
            <w:vAlign w:val="center"/>
          </w:tcPr>
          <w:p>
            <w:pPr>
              <w:pStyle w:val="332"/>
              <w:widowControl w:val="0"/>
              <w:rPr>
                <w:color w:val="000000" w:themeColor="text1"/>
                <w14:textFill>
                  <w14:solidFill>
                    <w14:schemeClr w14:val="tx1"/>
                  </w14:solidFill>
                </w14:textFill>
              </w:rPr>
            </w:pPr>
          </w:p>
        </w:tc>
        <w:tc>
          <w:tcPr>
            <w:tcW w:w="112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106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3、性状介绍</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szCs w:val="24"/>
          <w14:textFill>
            <w14:solidFill>
              <w14:schemeClr w14:val="tx1"/>
            </w14:solidFill>
          </w14:textFill>
        </w:rPr>
        <w:t>①</w:t>
      </w:r>
      <w:r>
        <w:rPr>
          <w:rFonts w:cs="Times New Roman"/>
          <w:color w:val="000000" w:themeColor="text1"/>
          <w14:textFill>
            <w14:solidFill>
              <w14:schemeClr w14:val="tx1"/>
            </w14:solidFill>
          </w14:textFill>
        </w:rPr>
        <w:t>消毒剂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消毒剂由供货厂家直接提供，各阶段猪出栏后，通过高压水枪喷淋烧碱水或石灰水对猪舍进行消毒处理。</w:t>
      </w:r>
    </w:p>
    <w:p>
      <w:pPr>
        <w:tabs>
          <w:tab w:val="left" w:pos="2910"/>
        </w:tabs>
        <w:ind w:firstLine="424" w:firstLineChars="177"/>
        <w:rPr>
          <w:rFonts w:cs="Times New Roman"/>
          <w:color w:val="000000" w:themeColor="text1"/>
          <w:szCs w:val="24"/>
          <w14:textFill>
            <w14:solidFill>
              <w14:schemeClr w14:val="tx1"/>
            </w14:solidFill>
          </w14:textFill>
        </w:rPr>
      </w:pPr>
      <w:r>
        <w:rPr>
          <w:rFonts w:cs="Times New Roman"/>
          <w:color w:val="000000" w:themeColor="text1"/>
          <w14:textFill>
            <w14:solidFill>
              <w14:schemeClr w14:val="tx1"/>
            </w14:solidFill>
          </w14:textFill>
        </w:rPr>
        <w:t>过氧乙酸：化学式为CH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COOOH，过氧乙酸消毒剂为无色液体，有刺激性气味，并带有乙酸气味，易挥发。过氧乙酸消毒液具备的强氧化性使细菌、真菌等死亡从而具有消毒功能，属于灭菌剂。</w:t>
      </w:r>
      <w:r>
        <w:rPr>
          <w:rFonts w:cs="Times New Roman"/>
          <w:color w:val="000000" w:themeColor="text1"/>
          <w:szCs w:val="24"/>
          <w14:textFill>
            <w14:solidFill>
              <w14:schemeClr w14:val="tx1"/>
            </w14:solidFill>
          </w14:textFill>
        </w:rPr>
        <w:t>CAS：79-21-0；溶于水、</w:t>
      </w:r>
      <w:r>
        <w:fldChar w:fldCharType="begin"/>
      </w:r>
      <w:r>
        <w:instrText xml:space="preserve"> HYPERLINK "https://baike.so.com/doc/18539-19230.html" \t "_blank" </w:instrText>
      </w:r>
      <w:r>
        <w:fldChar w:fldCharType="separate"/>
      </w:r>
      <w:r>
        <w:rPr>
          <w:rFonts w:cs="Times New Roman"/>
          <w:color w:val="000000" w:themeColor="text1"/>
          <w:szCs w:val="24"/>
          <w14:textFill>
            <w14:solidFill>
              <w14:schemeClr w14:val="tx1"/>
            </w14:solidFill>
          </w14:textFill>
        </w:rPr>
        <w:t>醇</w:t>
      </w:r>
      <w:r>
        <w:rPr>
          <w:rFonts w:cs="Times New Roman"/>
          <w:color w:val="000000" w:themeColor="text1"/>
          <w:szCs w:val="24"/>
          <w14:textFill>
            <w14:solidFill>
              <w14:schemeClr w14:val="tx1"/>
            </w14:solidFill>
          </w14:textFill>
        </w:rPr>
        <w:fldChar w:fldCharType="end"/>
      </w:r>
      <w:r>
        <w:rPr>
          <w:rFonts w:cs="Times New Roman"/>
          <w:color w:val="000000" w:themeColor="text1"/>
          <w:szCs w:val="24"/>
          <w14:textFill>
            <w14:solidFill>
              <w14:schemeClr w14:val="tx1"/>
            </w14:solidFill>
          </w14:textFill>
        </w:rPr>
        <w:t>、</w:t>
      </w:r>
      <w:r>
        <w:fldChar w:fldCharType="begin"/>
      </w:r>
      <w:r>
        <w:instrText xml:space="preserve"> HYPERLINK "https://baike.so.com/doc/1396101-1475990.html" \t "_blank" </w:instrText>
      </w:r>
      <w:r>
        <w:fldChar w:fldCharType="separate"/>
      </w:r>
      <w:r>
        <w:rPr>
          <w:rFonts w:cs="Times New Roman"/>
          <w:color w:val="000000" w:themeColor="text1"/>
          <w:szCs w:val="24"/>
          <w14:textFill>
            <w14:solidFill>
              <w14:schemeClr w14:val="tx1"/>
            </w14:solidFill>
          </w14:textFill>
        </w:rPr>
        <w:t>醚</w:t>
      </w:r>
      <w:r>
        <w:rPr>
          <w:rFonts w:cs="Times New Roman"/>
          <w:color w:val="000000" w:themeColor="text1"/>
          <w:szCs w:val="24"/>
          <w14:textFill>
            <w14:solidFill>
              <w14:schemeClr w14:val="tx1"/>
            </w14:solidFill>
          </w14:textFill>
        </w:rPr>
        <w:fldChar w:fldCharType="end"/>
      </w:r>
      <w:r>
        <w:rPr>
          <w:rFonts w:cs="Times New Roman"/>
          <w:color w:val="000000" w:themeColor="text1"/>
          <w:szCs w:val="24"/>
          <w14:textFill>
            <w14:solidFill>
              <w14:schemeClr w14:val="tx1"/>
            </w14:solidFill>
          </w14:textFill>
        </w:rPr>
        <w:t>、</w:t>
      </w:r>
      <w:r>
        <w:fldChar w:fldCharType="begin"/>
      </w:r>
      <w:r>
        <w:instrText xml:space="preserve"> HYPERLINK "https://baike.so.com/doc/1246072-1317817.html" \t "_blank" </w:instrText>
      </w:r>
      <w:r>
        <w:fldChar w:fldCharType="separate"/>
      </w:r>
      <w:r>
        <w:rPr>
          <w:rFonts w:cs="Times New Roman"/>
          <w:color w:val="000000" w:themeColor="text1"/>
          <w:szCs w:val="24"/>
          <w14:textFill>
            <w14:solidFill>
              <w14:schemeClr w14:val="tx1"/>
            </w14:solidFill>
          </w14:textFill>
        </w:rPr>
        <w:t>硫酸</w:t>
      </w:r>
      <w:r>
        <w:rPr>
          <w:rFonts w:cs="Times New Roman"/>
          <w:color w:val="000000" w:themeColor="text1"/>
          <w:szCs w:val="24"/>
          <w14:textFill>
            <w14:solidFill>
              <w14:schemeClr w14:val="tx1"/>
            </w14:solidFill>
          </w14:textFill>
        </w:rPr>
        <w:fldChar w:fldCharType="end"/>
      </w:r>
      <w:r>
        <w:rPr>
          <w:rFonts w:cs="Times New Roman"/>
          <w:color w:val="000000" w:themeColor="text1"/>
          <w:szCs w:val="24"/>
          <w14:textFill>
            <w14:solidFill>
              <w14:schemeClr w14:val="tx1"/>
            </w14:solidFill>
          </w14:textFill>
        </w:rPr>
        <w:t>。属</w:t>
      </w:r>
      <w:r>
        <w:fldChar w:fldCharType="begin"/>
      </w:r>
      <w:r>
        <w:instrText xml:space="preserve"> HYPERLINK "https://baike.so.com/doc/6298092-6511615.html" \t "_blank" </w:instrText>
      </w:r>
      <w:r>
        <w:fldChar w:fldCharType="separate"/>
      </w:r>
      <w:r>
        <w:rPr>
          <w:rFonts w:cs="Times New Roman"/>
          <w:color w:val="000000" w:themeColor="text1"/>
          <w:szCs w:val="24"/>
          <w14:textFill>
            <w14:solidFill>
              <w14:schemeClr w14:val="tx1"/>
            </w14:solidFill>
          </w14:textFill>
        </w:rPr>
        <w:t>强氧化剂</w:t>
      </w:r>
      <w:r>
        <w:rPr>
          <w:rFonts w:cs="Times New Roman"/>
          <w:color w:val="000000" w:themeColor="text1"/>
          <w:szCs w:val="24"/>
          <w14:textFill>
            <w14:solidFill>
              <w14:schemeClr w14:val="tx1"/>
            </w14:solidFill>
          </w14:textFill>
        </w:rPr>
        <w:fldChar w:fldCharType="end"/>
      </w:r>
      <w:r>
        <w:rPr>
          <w:rFonts w:cs="Times New Roman"/>
          <w:color w:val="000000" w:themeColor="text1"/>
          <w:szCs w:val="24"/>
          <w14:textFill>
            <w14:solidFill>
              <w14:schemeClr w14:val="tx1"/>
            </w14:solidFill>
          </w14:textFill>
        </w:rPr>
        <w:t>，极不稳定。在-20℃也会爆炸，浓度大于45%就有</w:t>
      </w:r>
      <w:r>
        <w:fldChar w:fldCharType="begin"/>
      </w:r>
      <w:r>
        <w:instrText xml:space="preserve"> HYPERLINK "https://baike.so.com/doc/24479250-25325799.html" \t "_blank" </w:instrText>
      </w:r>
      <w:r>
        <w:fldChar w:fldCharType="separate"/>
      </w:r>
      <w:r>
        <w:rPr>
          <w:rFonts w:cs="Times New Roman"/>
          <w:color w:val="000000" w:themeColor="text1"/>
          <w:szCs w:val="24"/>
          <w14:textFill>
            <w14:solidFill>
              <w14:schemeClr w14:val="tx1"/>
            </w14:solidFill>
          </w14:textFill>
        </w:rPr>
        <w:t>爆炸性</w:t>
      </w:r>
      <w:r>
        <w:rPr>
          <w:rFonts w:cs="Times New Roman"/>
          <w:color w:val="000000" w:themeColor="text1"/>
          <w:szCs w:val="24"/>
          <w14:textFill>
            <w14:solidFill>
              <w14:schemeClr w14:val="tx1"/>
            </w14:solidFill>
          </w14:textFill>
        </w:rPr>
        <w:fldChar w:fldCharType="end"/>
      </w:r>
      <w:r>
        <w:rPr>
          <w:rFonts w:cs="Times New Roman"/>
          <w:color w:val="000000" w:themeColor="text1"/>
          <w:szCs w:val="24"/>
          <w14:textFill>
            <w14:solidFill>
              <w14:schemeClr w14:val="tx1"/>
            </w14:solidFill>
          </w14:textFill>
        </w:rPr>
        <w:t>，遇</w:t>
      </w:r>
      <w:r>
        <w:fldChar w:fldCharType="begin"/>
      </w:r>
      <w:r>
        <w:instrText xml:space="preserve"> HYPERLINK "https://baike.so.com/doc/6195575-6408836.html" \t "_blank" </w:instrText>
      </w:r>
      <w:r>
        <w:fldChar w:fldCharType="separate"/>
      </w:r>
      <w:r>
        <w:rPr>
          <w:rFonts w:cs="Times New Roman"/>
          <w:color w:val="000000" w:themeColor="text1"/>
          <w:szCs w:val="24"/>
          <w14:textFill>
            <w14:solidFill>
              <w14:schemeClr w14:val="tx1"/>
            </w14:solidFill>
          </w14:textFill>
        </w:rPr>
        <w:t>高热</w:t>
      </w:r>
      <w:r>
        <w:rPr>
          <w:rFonts w:cs="Times New Roman"/>
          <w:color w:val="000000" w:themeColor="text1"/>
          <w:szCs w:val="24"/>
          <w14:textFill>
            <w14:solidFill>
              <w14:schemeClr w14:val="tx1"/>
            </w14:solidFill>
          </w14:textFill>
        </w:rPr>
        <w:fldChar w:fldCharType="end"/>
      </w:r>
      <w:r>
        <w:rPr>
          <w:rFonts w:cs="Times New Roman"/>
          <w:color w:val="000000" w:themeColor="text1"/>
          <w:szCs w:val="24"/>
          <w14:textFill>
            <w14:solidFill>
              <w14:schemeClr w14:val="tx1"/>
            </w14:solidFill>
          </w14:textFill>
        </w:rPr>
        <w:t>、</w:t>
      </w:r>
      <w:r>
        <w:fldChar w:fldCharType="begin"/>
      </w:r>
      <w:r>
        <w:instrText xml:space="preserve"> HYPERLINK "https://baike.so.com/doc/722002-764387.html" \t "_blank" </w:instrText>
      </w:r>
      <w:r>
        <w:fldChar w:fldCharType="separate"/>
      </w:r>
      <w:r>
        <w:rPr>
          <w:rFonts w:cs="Times New Roman"/>
          <w:color w:val="000000" w:themeColor="text1"/>
          <w:szCs w:val="24"/>
          <w14:textFill>
            <w14:solidFill>
              <w14:schemeClr w14:val="tx1"/>
            </w14:solidFill>
          </w14:textFill>
        </w:rPr>
        <w:t>还原剂</w:t>
      </w:r>
      <w:r>
        <w:rPr>
          <w:rFonts w:cs="Times New Roman"/>
          <w:color w:val="000000" w:themeColor="text1"/>
          <w:szCs w:val="24"/>
          <w14:textFill>
            <w14:solidFill>
              <w14:schemeClr w14:val="tx1"/>
            </w14:solidFill>
          </w14:textFill>
        </w:rPr>
        <w:fldChar w:fldCharType="end"/>
      </w:r>
      <w:r>
        <w:rPr>
          <w:rFonts w:cs="Times New Roman"/>
          <w:color w:val="000000" w:themeColor="text1"/>
          <w:szCs w:val="24"/>
          <w14:textFill>
            <w14:solidFill>
              <w14:schemeClr w14:val="tx1"/>
            </w14:solidFill>
          </w14:textFill>
        </w:rPr>
        <w:t>或有</w:t>
      </w:r>
      <w:r>
        <w:fldChar w:fldCharType="begin"/>
      </w:r>
      <w:r>
        <w:instrText xml:space="preserve"> HYPERLINK "https://baike.so.com/doc/5655027-5867675.html" \t "_blank" </w:instrText>
      </w:r>
      <w:r>
        <w:fldChar w:fldCharType="separate"/>
      </w:r>
      <w:r>
        <w:rPr>
          <w:rFonts w:cs="Times New Roman"/>
          <w:color w:val="000000" w:themeColor="text1"/>
          <w:szCs w:val="24"/>
          <w14:textFill>
            <w14:solidFill>
              <w14:schemeClr w14:val="tx1"/>
            </w14:solidFill>
          </w14:textFill>
        </w:rPr>
        <w:t>金属离子</w:t>
      </w:r>
      <w:r>
        <w:rPr>
          <w:rFonts w:cs="Times New Roman"/>
          <w:color w:val="000000" w:themeColor="text1"/>
          <w:szCs w:val="24"/>
          <w14:textFill>
            <w14:solidFill>
              <w14:schemeClr w14:val="tx1"/>
            </w14:solidFill>
          </w14:textFill>
        </w:rPr>
        <w:fldChar w:fldCharType="end"/>
      </w:r>
      <w:r>
        <w:rPr>
          <w:rFonts w:cs="Times New Roman"/>
          <w:color w:val="000000" w:themeColor="text1"/>
          <w:szCs w:val="24"/>
          <w14:textFill>
            <w14:solidFill>
              <w14:schemeClr w14:val="tx1"/>
            </w14:solidFill>
          </w14:textFill>
        </w:rPr>
        <w:t>存在就会引起爆炸。易燃，加热至100℃即猛烈分解，遇火或受热、受震都可起爆。与还原剂、促进剂、有机物、可燃物等接触会发生剧烈反应，有燃烧爆炸的危险。有强腐蚀性。</w:t>
      </w:r>
    </w:p>
    <w:p>
      <w:pPr>
        <w:tabs>
          <w:tab w:val="left" w:pos="2910"/>
        </w:tabs>
        <w:ind w:firstLine="424" w:firstLineChars="177"/>
        <w:rPr>
          <w:rFonts w:cs="Times New Roman"/>
          <w:color w:val="000000" w:themeColor="text1"/>
          <w:kern w:val="0"/>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②</w:t>
      </w:r>
      <w:r>
        <w:rPr>
          <w:rFonts w:cs="Times New Roman"/>
          <w:color w:val="000000" w:themeColor="text1"/>
          <w:szCs w:val="24"/>
          <w14:textFill>
            <w14:solidFill>
              <w14:schemeClr w14:val="tx1"/>
            </w14:solidFill>
          </w14:textFill>
        </w:rPr>
        <w:t>脱硫剂：主要为氧化铁，氧化铁脱硫剂是以</w:t>
      </w:r>
      <w:r>
        <w:fldChar w:fldCharType="begin"/>
      </w:r>
      <w:r>
        <w:instrText xml:space="preserve"> HYPERLINK "https://baike.so.com/doc/2944085-7116892.html" \t "_blank" </w:instrText>
      </w:r>
      <w:r>
        <w:fldChar w:fldCharType="separate"/>
      </w:r>
      <w:r>
        <w:rPr>
          <w:rStyle w:val="61"/>
          <w:rFonts w:cs="Times New Roman"/>
          <w:color w:val="000000" w:themeColor="text1"/>
          <w:sz w:val="24"/>
          <w:szCs w:val="24"/>
          <w14:textFill>
            <w14:solidFill>
              <w14:schemeClr w14:val="tx1"/>
            </w14:solidFill>
          </w14:textFill>
        </w:rPr>
        <w:t>氧化铁</w:t>
      </w:r>
      <w:r>
        <w:rPr>
          <w:rStyle w:val="61"/>
          <w:rFonts w:cs="Times New Roman"/>
          <w:color w:val="000000" w:themeColor="text1"/>
          <w:sz w:val="24"/>
          <w:szCs w:val="24"/>
          <w14:textFill>
            <w14:solidFill>
              <w14:schemeClr w14:val="tx1"/>
            </w14:solidFill>
          </w14:textFill>
        </w:rPr>
        <w:fldChar w:fldCharType="end"/>
      </w:r>
      <w:r>
        <w:rPr>
          <w:rFonts w:cs="Times New Roman"/>
          <w:color w:val="000000" w:themeColor="text1"/>
          <w:szCs w:val="24"/>
          <w14:textFill>
            <w14:solidFill>
              <w14:schemeClr w14:val="tx1"/>
            </w14:solidFill>
          </w14:textFill>
        </w:rPr>
        <w:t>为主要活性组份，添加其它促进剂加工而成的高效气体净化剂。在20℃~100℃之间，对硫化氢有很高的脱除性能，对</w:t>
      </w:r>
      <w:r>
        <w:fldChar w:fldCharType="begin"/>
      </w:r>
      <w:r>
        <w:instrText xml:space="preserve"> HYPERLINK "https://baike.so.com/doc/1049289-1109858.html" \t "_blank" </w:instrText>
      </w:r>
      <w:r>
        <w:fldChar w:fldCharType="separate"/>
      </w:r>
      <w:r>
        <w:rPr>
          <w:rStyle w:val="61"/>
          <w:rFonts w:cs="Times New Roman"/>
          <w:color w:val="000000" w:themeColor="text1"/>
          <w:sz w:val="24"/>
          <w:szCs w:val="24"/>
          <w14:textFill>
            <w14:solidFill>
              <w14:schemeClr w14:val="tx1"/>
            </w14:solidFill>
          </w14:textFill>
        </w:rPr>
        <w:t>硫醇</w:t>
      </w:r>
      <w:r>
        <w:rPr>
          <w:rStyle w:val="61"/>
          <w:rFonts w:cs="Times New Roman"/>
          <w:color w:val="000000" w:themeColor="text1"/>
          <w:sz w:val="24"/>
          <w:szCs w:val="24"/>
          <w14:textFill>
            <w14:solidFill>
              <w14:schemeClr w14:val="tx1"/>
            </w14:solidFill>
          </w14:textFill>
        </w:rPr>
        <w:fldChar w:fldCharType="end"/>
      </w:r>
      <w:r>
        <w:rPr>
          <w:rFonts w:cs="Times New Roman"/>
          <w:color w:val="000000" w:themeColor="text1"/>
          <w:szCs w:val="24"/>
          <w14:textFill>
            <w14:solidFill>
              <w14:schemeClr w14:val="tx1"/>
            </w14:solidFill>
          </w14:textFill>
        </w:rPr>
        <w:t>类</w:t>
      </w:r>
      <w:r>
        <w:fldChar w:fldCharType="begin"/>
      </w:r>
      <w:r>
        <w:instrText xml:space="preserve"> HYPERLINK "https://baike.so.com/doc/6805118-7022035.html" \t "_blank" </w:instrText>
      </w:r>
      <w:r>
        <w:fldChar w:fldCharType="separate"/>
      </w:r>
      <w:r>
        <w:rPr>
          <w:rStyle w:val="61"/>
          <w:rFonts w:cs="Times New Roman"/>
          <w:color w:val="000000" w:themeColor="text1"/>
          <w:sz w:val="24"/>
          <w:szCs w:val="24"/>
          <w14:textFill>
            <w14:solidFill>
              <w14:schemeClr w14:val="tx1"/>
            </w14:solidFill>
          </w14:textFill>
        </w:rPr>
        <w:t>有机硫</w:t>
      </w:r>
      <w:r>
        <w:rPr>
          <w:rStyle w:val="61"/>
          <w:rFonts w:cs="Times New Roman"/>
          <w:color w:val="000000" w:themeColor="text1"/>
          <w:sz w:val="24"/>
          <w:szCs w:val="24"/>
          <w14:textFill>
            <w14:solidFill>
              <w14:schemeClr w14:val="tx1"/>
            </w14:solidFill>
          </w14:textFill>
        </w:rPr>
        <w:fldChar w:fldCharType="end"/>
      </w:r>
      <w:r>
        <w:rPr>
          <w:rFonts w:cs="Times New Roman"/>
          <w:color w:val="000000" w:themeColor="text1"/>
          <w:szCs w:val="24"/>
          <w14:textFill>
            <w14:solidFill>
              <w14:schemeClr w14:val="tx1"/>
            </w14:solidFill>
          </w14:textFill>
        </w:rPr>
        <w:t>和大部分</w:t>
      </w:r>
      <w:r>
        <w:fldChar w:fldCharType="begin"/>
      </w:r>
      <w:r>
        <w:instrText xml:space="preserve"> HYPERLINK "https://baike.so.com/doc/709571-751137.html" \t "_blank" </w:instrText>
      </w:r>
      <w:r>
        <w:fldChar w:fldCharType="separate"/>
      </w:r>
      <w:r>
        <w:rPr>
          <w:rStyle w:val="61"/>
          <w:rFonts w:cs="Times New Roman"/>
          <w:color w:val="000000" w:themeColor="text1"/>
          <w:sz w:val="24"/>
          <w:szCs w:val="24"/>
          <w14:textFill>
            <w14:solidFill>
              <w14:schemeClr w14:val="tx1"/>
            </w14:solidFill>
          </w14:textFill>
        </w:rPr>
        <w:t>氮氧化物</w:t>
      </w:r>
      <w:r>
        <w:rPr>
          <w:rStyle w:val="61"/>
          <w:rFonts w:cs="Times New Roman"/>
          <w:color w:val="000000" w:themeColor="text1"/>
          <w:sz w:val="24"/>
          <w:szCs w:val="24"/>
          <w14:textFill>
            <w14:solidFill>
              <w14:schemeClr w14:val="tx1"/>
            </w14:solidFill>
          </w14:textFill>
        </w:rPr>
        <w:fldChar w:fldCharType="end"/>
      </w:r>
      <w:r>
        <w:rPr>
          <w:rFonts w:cs="Times New Roman"/>
          <w:color w:val="000000" w:themeColor="text1"/>
          <w:szCs w:val="24"/>
          <w14:textFill>
            <w14:solidFill>
              <w14:schemeClr w14:val="tx1"/>
            </w14:solidFill>
          </w14:textFill>
        </w:rPr>
        <w:t>也有一定脱除效果。外观：黄褐色圆柱状固体；规格：φ（3-5）×（3-15）；水分：≤10%。</w:t>
      </w:r>
    </w:p>
    <w:p>
      <w:pPr>
        <w:pStyle w:val="4"/>
        <w:rPr>
          <w:rFonts w:cs="Times New Roman"/>
          <w:color w:val="000000" w:themeColor="text1"/>
          <w14:textFill>
            <w14:solidFill>
              <w14:schemeClr w14:val="tx1"/>
            </w14:solidFill>
          </w14:textFill>
        </w:rPr>
      </w:pPr>
      <w:bookmarkStart w:id="346" w:name="_Toc91163867"/>
      <w:r>
        <w:rPr>
          <w:rFonts w:cs="Times New Roman"/>
          <w:color w:val="000000" w:themeColor="text1"/>
          <w14:textFill>
            <w14:solidFill>
              <w14:schemeClr w14:val="tx1"/>
            </w14:solidFill>
          </w14:textFill>
        </w:rPr>
        <w:t>3.1.7 经济技术指标</w:t>
      </w:r>
      <w:bookmarkEnd w:id="346"/>
    </w:p>
    <w:p>
      <w:pPr>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本项目建成后年存栏母猪600头，年出栏生猪1.5万头。本项目主要经济技术指标详见表3.1-8。</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表3.1-8 工程主要经济技术指标一览表</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2062"/>
        <w:gridCol w:w="1457"/>
        <w:gridCol w:w="1750"/>
        <w:gridCol w:w="2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139"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指标名称</w:t>
            </w:r>
          </w:p>
        </w:tc>
        <w:tc>
          <w:tcPr>
            <w:tcW w:w="805"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96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数量</w:t>
            </w:r>
          </w:p>
        </w:tc>
        <w:tc>
          <w:tcPr>
            <w:tcW w:w="162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4538" w:type="pct"/>
            <w:gridSpan w:val="4"/>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养殖规模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1.1</w:t>
            </w:r>
          </w:p>
        </w:tc>
        <w:tc>
          <w:tcPr>
            <w:tcW w:w="113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年出栏商品肉猪</w:t>
            </w:r>
          </w:p>
        </w:tc>
        <w:tc>
          <w:tcPr>
            <w:tcW w:w="80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头/年</w:t>
            </w:r>
          </w:p>
        </w:tc>
        <w:tc>
          <w:tcPr>
            <w:tcW w:w="9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15000</w:t>
            </w:r>
          </w:p>
        </w:tc>
        <w:tc>
          <w:tcPr>
            <w:tcW w:w="162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年出栏2.5次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1.2</w:t>
            </w:r>
          </w:p>
        </w:tc>
        <w:tc>
          <w:tcPr>
            <w:tcW w:w="113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年存栏母猪</w:t>
            </w:r>
          </w:p>
        </w:tc>
        <w:tc>
          <w:tcPr>
            <w:tcW w:w="80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头/年</w:t>
            </w:r>
          </w:p>
        </w:tc>
        <w:tc>
          <w:tcPr>
            <w:tcW w:w="9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600</w:t>
            </w:r>
          </w:p>
        </w:tc>
        <w:tc>
          <w:tcPr>
            <w:tcW w:w="1627" w:type="pct"/>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1.3</w:t>
            </w:r>
          </w:p>
        </w:tc>
        <w:tc>
          <w:tcPr>
            <w:tcW w:w="113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年存栏生猪</w:t>
            </w:r>
          </w:p>
        </w:tc>
        <w:tc>
          <w:tcPr>
            <w:tcW w:w="80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头/年</w:t>
            </w:r>
          </w:p>
        </w:tc>
        <w:tc>
          <w:tcPr>
            <w:tcW w:w="9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5500</w:t>
            </w:r>
          </w:p>
        </w:tc>
        <w:tc>
          <w:tcPr>
            <w:tcW w:w="1627" w:type="pct"/>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4538" w:type="pct"/>
            <w:gridSpan w:val="4"/>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副产品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2.1</w:t>
            </w:r>
          </w:p>
        </w:tc>
        <w:tc>
          <w:tcPr>
            <w:tcW w:w="113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沼气</w:t>
            </w:r>
          </w:p>
        </w:tc>
        <w:tc>
          <w:tcPr>
            <w:tcW w:w="80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9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38159.7</w:t>
            </w:r>
          </w:p>
        </w:tc>
        <w:tc>
          <w:tcPr>
            <w:tcW w:w="1627" w:type="pct"/>
            <w:vAlign w:val="center"/>
          </w:tcPr>
          <w:p>
            <w:pPr>
              <w:pStyle w:val="332"/>
              <w:widowControl w:val="0"/>
              <w:rPr>
                <w:color w:val="000000" w:themeColor="text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2.2</w:t>
            </w:r>
          </w:p>
        </w:tc>
        <w:tc>
          <w:tcPr>
            <w:tcW w:w="113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沼液</w:t>
            </w:r>
          </w:p>
        </w:tc>
        <w:tc>
          <w:tcPr>
            <w:tcW w:w="80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9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12719.9</w:t>
            </w:r>
          </w:p>
        </w:tc>
        <w:tc>
          <w:tcPr>
            <w:tcW w:w="162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利用回用于周边农田施肥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2.3</w:t>
            </w:r>
          </w:p>
        </w:tc>
        <w:tc>
          <w:tcPr>
            <w:tcW w:w="113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有机肥</w:t>
            </w:r>
          </w:p>
        </w:tc>
        <w:tc>
          <w:tcPr>
            <w:tcW w:w="80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967"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967.25</w:t>
            </w:r>
          </w:p>
        </w:tc>
        <w:tc>
          <w:tcPr>
            <w:tcW w:w="162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就近出售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4538" w:type="pct"/>
            <w:gridSpan w:val="4"/>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动力消耗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3.1</w:t>
            </w:r>
          </w:p>
        </w:tc>
        <w:tc>
          <w:tcPr>
            <w:tcW w:w="113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水</w:t>
            </w:r>
          </w:p>
        </w:tc>
        <w:tc>
          <w:tcPr>
            <w:tcW w:w="80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万m</w:t>
            </w:r>
            <w:r>
              <w:rPr>
                <w:color w:val="000000" w:themeColor="text1"/>
                <w:vertAlign w:val="superscript"/>
                <w14:textFill>
                  <w14:solidFill>
                    <w14:schemeClr w14:val="tx1"/>
                  </w14:solidFill>
                </w14:textFill>
              </w:rPr>
              <w:t>3</w:t>
            </w:r>
          </w:p>
        </w:tc>
        <w:tc>
          <w:tcPr>
            <w:tcW w:w="9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4.07</w:t>
            </w:r>
          </w:p>
        </w:tc>
        <w:tc>
          <w:tcPr>
            <w:tcW w:w="1627" w:type="pct"/>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3.2</w:t>
            </w:r>
          </w:p>
        </w:tc>
        <w:tc>
          <w:tcPr>
            <w:tcW w:w="113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电</w:t>
            </w:r>
          </w:p>
        </w:tc>
        <w:tc>
          <w:tcPr>
            <w:tcW w:w="80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万Kwh/a</w:t>
            </w:r>
          </w:p>
        </w:tc>
        <w:tc>
          <w:tcPr>
            <w:tcW w:w="9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1627" w:type="pct"/>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4538" w:type="pct"/>
            <w:gridSpan w:val="4"/>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工作制度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4.1</w:t>
            </w:r>
          </w:p>
        </w:tc>
        <w:tc>
          <w:tcPr>
            <w:tcW w:w="113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生产天数</w:t>
            </w:r>
          </w:p>
        </w:tc>
        <w:tc>
          <w:tcPr>
            <w:tcW w:w="80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d/a</w:t>
            </w:r>
          </w:p>
        </w:tc>
        <w:tc>
          <w:tcPr>
            <w:tcW w:w="9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365</w:t>
            </w:r>
          </w:p>
        </w:tc>
        <w:tc>
          <w:tcPr>
            <w:tcW w:w="1627" w:type="pct"/>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4.2</w:t>
            </w:r>
          </w:p>
        </w:tc>
        <w:tc>
          <w:tcPr>
            <w:tcW w:w="113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工作制度</w:t>
            </w:r>
          </w:p>
        </w:tc>
        <w:tc>
          <w:tcPr>
            <w:tcW w:w="80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9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二班制</w:t>
            </w:r>
          </w:p>
        </w:tc>
        <w:tc>
          <w:tcPr>
            <w:tcW w:w="1627" w:type="pct"/>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4.3</w:t>
            </w:r>
          </w:p>
        </w:tc>
        <w:tc>
          <w:tcPr>
            <w:tcW w:w="113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劳动定员</w:t>
            </w:r>
          </w:p>
        </w:tc>
        <w:tc>
          <w:tcPr>
            <w:tcW w:w="80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人</w:t>
            </w:r>
          </w:p>
        </w:tc>
        <w:tc>
          <w:tcPr>
            <w:tcW w:w="9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30</w:t>
            </w:r>
          </w:p>
        </w:tc>
        <w:tc>
          <w:tcPr>
            <w:tcW w:w="1627" w:type="pct"/>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4538" w:type="pct"/>
            <w:gridSpan w:val="4"/>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经济指标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5.1</w:t>
            </w:r>
          </w:p>
        </w:tc>
        <w:tc>
          <w:tcPr>
            <w:tcW w:w="113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总投资</w:t>
            </w:r>
          </w:p>
        </w:tc>
        <w:tc>
          <w:tcPr>
            <w:tcW w:w="80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万元</w:t>
            </w:r>
          </w:p>
        </w:tc>
        <w:tc>
          <w:tcPr>
            <w:tcW w:w="9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2400.28</w:t>
            </w:r>
          </w:p>
        </w:tc>
        <w:tc>
          <w:tcPr>
            <w:tcW w:w="1627" w:type="pct"/>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5.2</w:t>
            </w:r>
          </w:p>
        </w:tc>
        <w:tc>
          <w:tcPr>
            <w:tcW w:w="113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环保投资</w:t>
            </w:r>
          </w:p>
        </w:tc>
        <w:tc>
          <w:tcPr>
            <w:tcW w:w="80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万元</w:t>
            </w:r>
          </w:p>
        </w:tc>
        <w:tc>
          <w:tcPr>
            <w:tcW w:w="9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489</w:t>
            </w:r>
          </w:p>
        </w:tc>
        <w:tc>
          <w:tcPr>
            <w:tcW w:w="162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占总投资的比例20.37%</w:t>
            </w:r>
          </w:p>
        </w:tc>
      </w:tr>
    </w:tbl>
    <w:p>
      <w:pPr>
        <w:ind w:firstLine="480"/>
        <w:rPr>
          <w:rFonts w:cs="Times New Roman"/>
          <w:color w:val="000000" w:themeColor="text1"/>
          <w14:textFill>
            <w14:solidFill>
              <w14:schemeClr w14:val="tx1"/>
            </w14:solidFill>
          </w14:textFill>
        </w:rPr>
      </w:pPr>
      <w:bookmarkStart w:id="347" w:name="_Toc47620018"/>
      <w:bookmarkStart w:id="348" w:name="_Toc47619832"/>
      <w:bookmarkStart w:id="349" w:name="_Toc47619170"/>
      <w:bookmarkStart w:id="350" w:name="_Toc52791886"/>
      <w:bookmarkStart w:id="351" w:name="_Toc47619465"/>
      <w:bookmarkStart w:id="352" w:name="_Toc47619359"/>
      <w:bookmarkStart w:id="353" w:name="_Toc58362787"/>
      <w:r>
        <w:rPr>
          <w:rFonts w:cs="Times New Roman"/>
          <w:color w:val="000000" w:themeColor="text1"/>
          <w14:textFill>
            <w14:solidFill>
              <w14:schemeClr w14:val="tx1"/>
            </w14:solidFill>
          </w14:textFill>
        </w:rPr>
        <w:br w:type="page"/>
      </w:r>
    </w:p>
    <w:p>
      <w:pPr>
        <w:pStyle w:val="3"/>
        <w:spacing w:before="120" w:after="120"/>
        <w:rPr>
          <w:rFonts w:cs="Times New Roman"/>
          <w:color w:val="000000" w:themeColor="text1"/>
          <w14:textFill>
            <w14:solidFill>
              <w14:schemeClr w14:val="tx1"/>
            </w14:solidFill>
          </w14:textFill>
        </w:rPr>
      </w:pPr>
      <w:bookmarkStart w:id="354" w:name="_Toc91163868"/>
      <w:r>
        <w:rPr>
          <w:rFonts w:cs="Times New Roman"/>
          <w:color w:val="000000" w:themeColor="text1"/>
          <w14:textFill>
            <w14:solidFill>
              <w14:schemeClr w14:val="tx1"/>
            </w14:solidFill>
          </w14:textFill>
        </w:rPr>
        <w:t xml:space="preserve">3.2  </w:t>
      </w:r>
      <w:bookmarkEnd w:id="347"/>
      <w:bookmarkEnd w:id="348"/>
      <w:bookmarkEnd w:id="349"/>
      <w:bookmarkEnd w:id="350"/>
      <w:bookmarkEnd w:id="351"/>
      <w:bookmarkEnd w:id="352"/>
      <w:bookmarkEnd w:id="353"/>
      <w:r>
        <w:rPr>
          <w:rFonts w:cs="Times New Roman"/>
          <w:color w:val="000000" w:themeColor="text1"/>
          <w14:textFill>
            <w14:solidFill>
              <w14:schemeClr w14:val="tx1"/>
            </w14:solidFill>
          </w14:textFill>
        </w:rPr>
        <w:t>公用工程</w:t>
      </w:r>
      <w:bookmarkEnd w:id="354"/>
    </w:p>
    <w:p>
      <w:pPr>
        <w:pStyle w:val="4"/>
        <w:rPr>
          <w:rFonts w:cs="Times New Roman"/>
          <w:color w:val="000000" w:themeColor="text1"/>
          <w14:textFill>
            <w14:solidFill>
              <w14:schemeClr w14:val="tx1"/>
            </w14:solidFill>
          </w14:textFill>
        </w:rPr>
      </w:pPr>
      <w:bookmarkStart w:id="355" w:name="_Toc47619171"/>
      <w:bookmarkStart w:id="356" w:name="_Toc47620019"/>
      <w:bookmarkStart w:id="357" w:name="_Toc52791887"/>
      <w:bookmarkStart w:id="358" w:name="_Toc47619833"/>
      <w:bookmarkStart w:id="359" w:name="_Toc58362788"/>
      <w:bookmarkStart w:id="360" w:name="_Toc91163869"/>
      <w:r>
        <w:rPr>
          <w:rFonts w:cs="Times New Roman"/>
          <w:color w:val="000000" w:themeColor="text1"/>
          <w14:textFill>
            <w14:solidFill>
              <w14:schemeClr w14:val="tx1"/>
            </w14:solidFill>
          </w14:textFill>
        </w:rPr>
        <w:t xml:space="preserve">3.2.1 </w:t>
      </w:r>
      <w:bookmarkEnd w:id="355"/>
      <w:bookmarkEnd w:id="356"/>
      <w:bookmarkEnd w:id="357"/>
      <w:bookmarkEnd w:id="358"/>
      <w:bookmarkEnd w:id="359"/>
      <w:r>
        <w:rPr>
          <w:rFonts w:cs="Times New Roman"/>
          <w:color w:val="000000" w:themeColor="text1"/>
          <w14:textFill>
            <w14:solidFill>
              <w14:schemeClr w14:val="tx1"/>
            </w14:solidFill>
          </w14:textFill>
        </w:rPr>
        <w:t>给排水</w:t>
      </w:r>
      <w:bookmarkEnd w:id="360"/>
    </w:p>
    <w:p>
      <w:pPr>
        <w:pStyle w:val="5"/>
        <w:rPr>
          <w:color w:val="000000" w:themeColor="text1"/>
          <w14:textFill>
            <w14:solidFill>
              <w14:schemeClr w14:val="tx1"/>
            </w14:solidFill>
          </w14:textFill>
        </w:rPr>
      </w:pPr>
      <w:r>
        <w:rPr>
          <w:color w:val="000000" w:themeColor="text1"/>
          <w14:textFill>
            <w14:solidFill>
              <w14:schemeClr w14:val="tx1"/>
            </w14:solidFill>
          </w14:textFill>
        </w:rPr>
        <w:t>3.2.1.1水源</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本项目办公生活及养殖区用水由场区现有机井供给。</w:t>
      </w:r>
    </w:p>
    <w:p>
      <w:pPr>
        <w:pStyle w:val="5"/>
        <w:rPr>
          <w:color w:val="000000" w:themeColor="text1"/>
          <w14:textFill>
            <w14:solidFill>
              <w14:schemeClr w14:val="tx1"/>
            </w14:solidFill>
          </w14:textFill>
        </w:rPr>
      </w:pPr>
      <w:r>
        <w:rPr>
          <w:color w:val="000000" w:themeColor="text1"/>
          <w14:textFill>
            <w14:solidFill>
              <w14:schemeClr w14:val="tx1"/>
            </w14:solidFill>
          </w14:textFill>
        </w:rPr>
        <w:t>3.2.1.2用水量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项目用水主要包括猪饮用水、猪舍冲洗用水、猪舍夏季降温用水、生活用水、绿化用水等。根据《山西省用水定额》通知和《畜禽养殖业污染治理工程技术规范》（HJ497-2009）的要求，项目给排水量如下：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1、职工生活用水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场区设食堂、简易浴室，提供场区人员食宿、洗浴。按照《山西省用水定额》（DB14/T1049.1-2020），场区职工30人，职工多附近村庄居民，场内食堂、宿舍供当职人员就餐、休息，生活用水定额按90 L/人·d计，生活用水量为2.7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/d（985.5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/a）；污水产生系数按80%计，生活污水产生量为2.16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/d（788.4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2、猪饮用水</w:t>
      </w:r>
    </w:p>
    <w:p>
      <w:pPr>
        <w:tabs>
          <w:tab w:val="left" w:pos="2910"/>
        </w:tabs>
        <w:ind w:firstLine="424" w:firstLineChars="177"/>
        <w:rPr>
          <w:rFonts w:cs="Times New Roman"/>
          <w:color w:val="000000" w:themeColor="text1"/>
          <w:szCs w:val="24"/>
          <w14:textFill>
            <w14:solidFill>
              <w14:schemeClr w14:val="tx1"/>
            </w14:solidFill>
          </w14:textFill>
        </w:rPr>
      </w:pPr>
      <w:r>
        <w:rPr>
          <w:rFonts w:cs="Times New Roman"/>
          <w:color w:val="000000" w:themeColor="text1"/>
          <w:kern w:val="0"/>
          <w:szCs w:val="24"/>
          <w14:textFill>
            <w14:solidFill>
              <w14:schemeClr w14:val="tx1"/>
            </w14:solidFill>
          </w14:textFill>
        </w:rPr>
        <w:t>本项目常年存栏母猪600头、生猪5500头，</w:t>
      </w:r>
      <w:r>
        <w:rPr>
          <w:rFonts w:cs="Times New Roman"/>
          <w:color w:val="000000" w:themeColor="text1"/>
          <w:szCs w:val="24"/>
          <w14:textFill>
            <w14:solidFill>
              <w14:schemeClr w14:val="tx1"/>
            </w14:solidFill>
          </w14:textFill>
        </w:rPr>
        <w:t>类比其他养殖厂区的管理数据，本项目猪只饮用水情况见表3.2-1。</w:t>
      </w:r>
    </w:p>
    <w:p>
      <w:pPr>
        <w:pStyle w:val="333"/>
        <w:spacing w:before="12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 xml:space="preserve">表3.2-1 </w:t>
      </w:r>
      <w:r>
        <w:rPr>
          <w:rFonts w:cs="Times New Roman"/>
          <w:color w:val="000000" w:themeColor="text1"/>
          <w14:textFill>
            <w14:solidFill>
              <w14:schemeClr w14:val="tx1"/>
            </w14:solidFill>
          </w14:textFill>
        </w:rPr>
        <w:t>猪只饮用水情况一览表</w:t>
      </w: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174"/>
        <w:gridCol w:w="2495"/>
        <w:gridCol w:w="1176"/>
        <w:gridCol w:w="1751"/>
        <w:gridCol w:w="17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5"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648"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用水源</w:t>
            </w:r>
          </w:p>
        </w:tc>
        <w:tc>
          <w:tcPr>
            <w:tcW w:w="137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用水系数</w:t>
            </w:r>
          </w:p>
        </w:tc>
        <w:tc>
          <w:tcPr>
            <w:tcW w:w="649"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存栏量</w:t>
            </w:r>
          </w:p>
        </w:tc>
        <w:tc>
          <w:tcPr>
            <w:tcW w:w="966"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饮水量（m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965"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小计（m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5"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648"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妊娠猪、空怀母猪</w:t>
            </w:r>
          </w:p>
        </w:tc>
        <w:tc>
          <w:tcPr>
            <w:tcW w:w="1377"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20 L/d·头（夏季）</w:t>
            </w:r>
          </w:p>
        </w:tc>
        <w:tc>
          <w:tcPr>
            <w:tcW w:w="649"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500头</w:t>
            </w:r>
          </w:p>
        </w:tc>
        <w:tc>
          <w:tcPr>
            <w:tcW w:w="966" w:type="pct"/>
            <w:tcBorders>
              <w:top w:val="single" w:color="auto" w:sz="12" w:space="0"/>
            </w:tcBorders>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10</w:t>
            </w:r>
          </w:p>
        </w:tc>
        <w:tc>
          <w:tcPr>
            <w:tcW w:w="965"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2792.5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5" w:type="pct"/>
            <w:vMerge w:val="continue"/>
            <w:vAlign w:val="center"/>
          </w:tcPr>
          <w:p>
            <w:pPr>
              <w:pStyle w:val="332"/>
              <w:widowControl w:val="0"/>
              <w:rPr>
                <w:color w:val="000000" w:themeColor="text1"/>
                <w14:textFill>
                  <w14:solidFill>
                    <w14:schemeClr w14:val="tx1"/>
                  </w14:solidFill>
                </w14:textFill>
              </w:rPr>
            </w:pPr>
          </w:p>
        </w:tc>
        <w:tc>
          <w:tcPr>
            <w:tcW w:w="648" w:type="pct"/>
            <w:vMerge w:val="continue"/>
            <w:vAlign w:val="center"/>
          </w:tcPr>
          <w:p>
            <w:pPr>
              <w:pStyle w:val="332"/>
              <w:widowControl w:val="0"/>
              <w:rPr>
                <w:color w:val="000000" w:themeColor="text1"/>
                <w14:textFill>
                  <w14:solidFill>
                    <w14:schemeClr w14:val="tx1"/>
                  </w14:solidFill>
                </w14:textFill>
              </w:rPr>
            </w:pPr>
          </w:p>
        </w:tc>
        <w:tc>
          <w:tcPr>
            <w:tcW w:w="13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13 L/d·头（其他季节）</w:t>
            </w:r>
          </w:p>
        </w:tc>
        <w:tc>
          <w:tcPr>
            <w:tcW w:w="649" w:type="pct"/>
            <w:vMerge w:val="continue"/>
            <w:vAlign w:val="center"/>
          </w:tcPr>
          <w:p>
            <w:pPr>
              <w:pStyle w:val="332"/>
              <w:widowControl w:val="0"/>
              <w:rPr>
                <w:color w:val="000000" w:themeColor="text1"/>
                <w14:textFill>
                  <w14:solidFill>
                    <w14:schemeClr w14:val="tx1"/>
                  </w14:solidFill>
                </w14:textFill>
              </w:rPr>
            </w:pPr>
          </w:p>
        </w:tc>
        <w:tc>
          <w:tcPr>
            <w:tcW w:w="966"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6.5</w:t>
            </w:r>
          </w:p>
        </w:tc>
        <w:tc>
          <w:tcPr>
            <w:tcW w:w="965"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5"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648"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哺乳猪</w:t>
            </w:r>
          </w:p>
        </w:tc>
        <w:tc>
          <w:tcPr>
            <w:tcW w:w="13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55 L/d·头（夏季）</w:t>
            </w:r>
          </w:p>
        </w:tc>
        <w:tc>
          <w:tcPr>
            <w:tcW w:w="64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100头</w:t>
            </w:r>
          </w:p>
        </w:tc>
        <w:tc>
          <w:tcPr>
            <w:tcW w:w="966"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5.5</w:t>
            </w:r>
          </w:p>
        </w:tc>
        <w:tc>
          <w:tcPr>
            <w:tcW w:w="965"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1395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5" w:type="pct"/>
            <w:vMerge w:val="continue"/>
            <w:vAlign w:val="center"/>
          </w:tcPr>
          <w:p>
            <w:pPr>
              <w:pStyle w:val="332"/>
              <w:widowControl w:val="0"/>
              <w:rPr>
                <w:color w:val="000000" w:themeColor="text1"/>
                <w14:textFill>
                  <w14:solidFill>
                    <w14:schemeClr w14:val="tx1"/>
                  </w14:solidFill>
                </w14:textFill>
              </w:rPr>
            </w:pPr>
          </w:p>
        </w:tc>
        <w:tc>
          <w:tcPr>
            <w:tcW w:w="648" w:type="pct"/>
            <w:vMerge w:val="continue"/>
            <w:vAlign w:val="center"/>
          </w:tcPr>
          <w:p>
            <w:pPr>
              <w:pStyle w:val="332"/>
              <w:widowControl w:val="0"/>
              <w:rPr>
                <w:color w:val="000000" w:themeColor="text1"/>
                <w14:textFill>
                  <w14:solidFill>
                    <w14:schemeClr w14:val="tx1"/>
                  </w14:solidFill>
                </w14:textFill>
              </w:rPr>
            </w:pPr>
          </w:p>
        </w:tc>
        <w:tc>
          <w:tcPr>
            <w:tcW w:w="13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30 L/d·头（其他季节）</w:t>
            </w:r>
          </w:p>
        </w:tc>
        <w:tc>
          <w:tcPr>
            <w:tcW w:w="649" w:type="pct"/>
            <w:vMerge w:val="continue"/>
            <w:vAlign w:val="center"/>
          </w:tcPr>
          <w:p>
            <w:pPr>
              <w:pStyle w:val="332"/>
              <w:widowControl w:val="0"/>
              <w:rPr>
                <w:color w:val="000000" w:themeColor="text1"/>
                <w14:textFill>
                  <w14:solidFill>
                    <w14:schemeClr w14:val="tx1"/>
                  </w14:solidFill>
                </w14:textFill>
              </w:rPr>
            </w:pPr>
          </w:p>
        </w:tc>
        <w:tc>
          <w:tcPr>
            <w:tcW w:w="966"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w:t>
            </w:r>
          </w:p>
        </w:tc>
        <w:tc>
          <w:tcPr>
            <w:tcW w:w="965"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5"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648"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保育仔猪</w:t>
            </w:r>
          </w:p>
        </w:tc>
        <w:tc>
          <w:tcPr>
            <w:tcW w:w="13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 L/d·头（夏季）</w:t>
            </w:r>
          </w:p>
        </w:tc>
        <w:tc>
          <w:tcPr>
            <w:tcW w:w="64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1404头</w:t>
            </w:r>
          </w:p>
        </w:tc>
        <w:tc>
          <w:tcPr>
            <w:tcW w:w="966"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5.62</w:t>
            </w:r>
          </w:p>
        </w:tc>
        <w:tc>
          <w:tcPr>
            <w:tcW w:w="965"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1430.68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5" w:type="pct"/>
            <w:vMerge w:val="continue"/>
            <w:vAlign w:val="center"/>
          </w:tcPr>
          <w:p>
            <w:pPr>
              <w:pStyle w:val="332"/>
              <w:widowControl w:val="0"/>
              <w:rPr>
                <w:color w:val="000000" w:themeColor="text1"/>
                <w14:textFill>
                  <w14:solidFill>
                    <w14:schemeClr w14:val="tx1"/>
                  </w14:solidFill>
                </w14:textFill>
              </w:rPr>
            </w:pPr>
          </w:p>
        </w:tc>
        <w:tc>
          <w:tcPr>
            <w:tcW w:w="648" w:type="pct"/>
            <w:vMerge w:val="continue"/>
            <w:vAlign w:val="center"/>
          </w:tcPr>
          <w:p>
            <w:pPr>
              <w:pStyle w:val="332"/>
              <w:widowControl w:val="0"/>
              <w:rPr>
                <w:color w:val="000000" w:themeColor="text1"/>
                <w14:textFill>
                  <w14:solidFill>
                    <w14:schemeClr w14:val="tx1"/>
                  </w14:solidFill>
                </w14:textFill>
              </w:rPr>
            </w:pPr>
          </w:p>
        </w:tc>
        <w:tc>
          <w:tcPr>
            <w:tcW w:w="13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2.2 L/d·头（其他季节）</w:t>
            </w:r>
          </w:p>
        </w:tc>
        <w:tc>
          <w:tcPr>
            <w:tcW w:w="649" w:type="pct"/>
            <w:vMerge w:val="continue"/>
            <w:vAlign w:val="center"/>
          </w:tcPr>
          <w:p>
            <w:pPr>
              <w:pStyle w:val="332"/>
              <w:widowControl w:val="0"/>
              <w:rPr>
                <w:color w:val="000000" w:themeColor="text1"/>
                <w14:textFill>
                  <w14:solidFill>
                    <w14:schemeClr w14:val="tx1"/>
                  </w14:solidFill>
                </w14:textFill>
              </w:rPr>
            </w:pPr>
          </w:p>
        </w:tc>
        <w:tc>
          <w:tcPr>
            <w:tcW w:w="966"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3.09</w:t>
            </w:r>
          </w:p>
        </w:tc>
        <w:tc>
          <w:tcPr>
            <w:tcW w:w="965"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5"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648"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育肥猪</w:t>
            </w:r>
          </w:p>
        </w:tc>
        <w:tc>
          <w:tcPr>
            <w:tcW w:w="13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11 L/d·头（夏季）</w:t>
            </w:r>
          </w:p>
        </w:tc>
        <w:tc>
          <w:tcPr>
            <w:tcW w:w="64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4165头</w:t>
            </w:r>
          </w:p>
        </w:tc>
        <w:tc>
          <w:tcPr>
            <w:tcW w:w="966"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45.82</w:t>
            </w:r>
          </w:p>
        </w:tc>
        <w:tc>
          <w:tcPr>
            <w:tcW w:w="965"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12130.56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5" w:type="pct"/>
            <w:vMerge w:val="continue"/>
            <w:vAlign w:val="center"/>
          </w:tcPr>
          <w:p>
            <w:pPr>
              <w:pStyle w:val="332"/>
              <w:widowControl w:val="0"/>
              <w:rPr>
                <w:color w:val="000000" w:themeColor="text1"/>
                <w14:textFill>
                  <w14:solidFill>
                    <w14:schemeClr w14:val="tx1"/>
                  </w14:solidFill>
                </w14:textFill>
              </w:rPr>
            </w:pPr>
          </w:p>
        </w:tc>
        <w:tc>
          <w:tcPr>
            <w:tcW w:w="648" w:type="pct"/>
            <w:vMerge w:val="continue"/>
            <w:vAlign w:val="center"/>
          </w:tcPr>
          <w:p>
            <w:pPr>
              <w:pStyle w:val="332"/>
              <w:widowControl w:val="0"/>
              <w:rPr>
                <w:color w:val="000000" w:themeColor="text1"/>
                <w14:textFill>
                  <w14:solidFill>
                    <w14:schemeClr w14:val="tx1"/>
                  </w14:solidFill>
                </w14:textFill>
              </w:rPr>
            </w:pPr>
          </w:p>
        </w:tc>
        <w:tc>
          <w:tcPr>
            <w:tcW w:w="13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6.5 L/d·头（其他季节）</w:t>
            </w:r>
          </w:p>
        </w:tc>
        <w:tc>
          <w:tcPr>
            <w:tcW w:w="649" w:type="pct"/>
            <w:vMerge w:val="continue"/>
            <w:vAlign w:val="center"/>
          </w:tcPr>
          <w:p>
            <w:pPr>
              <w:pStyle w:val="332"/>
              <w:widowControl w:val="0"/>
              <w:rPr>
                <w:color w:val="000000" w:themeColor="text1"/>
                <w14:textFill>
                  <w14:solidFill>
                    <w14:schemeClr w14:val="tx1"/>
                  </w14:solidFill>
                </w14:textFill>
              </w:rPr>
            </w:pPr>
          </w:p>
        </w:tc>
        <w:tc>
          <w:tcPr>
            <w:tcW w:w="966"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27.07</w:t>
            </w:r>
          </w:p>
        </w:tc>
        <w:tc>
          <w:tcPr>
            <w:tcW w:w="965"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5"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648"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公猪、后备猪</w:t>
            </w:r>
          </w:p>
        </w:tc>
        <w:tc>
          <w:tcPr>
            <w:tcW w:w="13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11 L/d·头（夏季）</w:t>
            </w:r>
          </w:p>
        </w:tc>
        <w:tc>
          <w:tcPr>
            <w:tcW w:w="64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227头</w:t>
            </w:r>
          </w:p>
        </w:tc>
        <w:tc>
          <w:tcPr>
            <w:tcW w:w="966"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2.50</w:t>
            </w:r>
          </w:p>
        </w:tc>
        <w:tc>
          <w:tcPr>
            <w:tcW w:w="965"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661.14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5" w:type="pct"/>
            <w:vMerge w:val="continue"/>
            <w:vAlign w:val="center"/>
          </w:tcPr>
          <w:p>
            <w:pPr>
              <w:pStyle w:val="332"/>
              <w:widowControl w:val="0"/>
              <w:rPr>
                <w:color w:val="000000" w:themeColor="text1"/>
                <w14:textFill>
                  <w14:solidFill>
                    <w14:schemeClr w14:val="tx1"/>
                  </w14:solidFill>
                </w14:textFill>
              </w:rPr>
            </w:pPr>
          </w:p>
        </w:tc>
        <w:tc>
          <w:tcPr>
            <w:tcW w:w="648" w:type="pct"/>
            <w:vMerge w:val="continue"/>
            <w:vAlign w:val="center"/>
          </w:tcPr>
          <w:p>
            <w:pPr>
              <w:pStyle w:val="332"/>
              <w:widowControl w:val="0"/>
              <w:rPr>
                <w:color w:val="000000" w:themeColor="text1"/>
                <w14:textFill>
                  <w14:solidFill>
                    <w14:schemeClr w14:val="tx1"/>
                  </w14:solidFill>
                </w14:textFill>
              </w:rPr>
            </w:pPr>
          </w:p>
        </w:tc>
        <w:tc>
          <w:tcPr>
            <w:tcW w:w="13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6.5 L/d·头（其他季节）</w:t>
            </w:r>
          </w:p>
        </w:tc>
        <w:tc>
          <w:tcPr>
            <w:tcW w:w="649" w:type="pct"/>
            <w:vMerge w:val="continue"/>
            <w:vAlign w:val="center"/>
          </w:tcPr>
          <w:p>
            <w:pPr>
              <w:pStyle w:val="332"/>
              <w:widowControl w:val="0"/>
              <w:rPr>
                <w:color w:val="000000" w:themeColor="text1"/>
                <w14:textFill>
                  <w14:solidFill>
                    <w14:schemeClr w14:val="tx1"/>
                  </w14:solidFill>
                </w14:textFill>
              </w:rPr>
            </w:pPr>
          </w:p>
        </w:tc>
        <w:tc>
          <w:tcPr>
            <w:tcW w:w="966"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1.48</w:t>
            </w:r>
          </w:p>
        </w:tc>
        <w:tc>
          <w:tcPr>
            <w:tcW w:w="965"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3" w:type="pct"/>
            <w:gridSpan w:val="2"/>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3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夏季</w:t>
            </w:r>
          </w:p>
        </w:tc>
        <w:tc>
          <w:tcPr>
            <w:tcW w:w="649" w:type="pct"/>
            <w:vAlign w:val="center"/>
          </w:tcPr>
          <w:p>
            <w:pPr>
              <w:pStyle w:val="332"/>
              <w:widowControl w:val="0"/>
              <w:rPr>
                <w:color w:val="000000" w:themeColor="text1"/>
                <w14:textFill>
                  <w14:solidFill>
                    <w14:schemeClr w14:val="tx1"/>
                  </w14:solidFill>
                </w14:textFill>
              </w:rPr>
            </w:pPr>
          </w:p>
        </w:tc>
        <w:tc>
          <w:tcPr>
            <w:tcW w:w="96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69.44</w:t>
            </w:r>
          </w:p>
        </w:tc>
        <w:tc>
          <w:tcPr>
            <w:tcW w:w="965"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18409.88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3" w:type="pct"/>
            <w:gridSpan w:val="2"/>
            <w:vMerge w:val="continue"/>
            <w:vAlign w:val="center"/>
          </w:tcPr>
          <w:p>
            <w:pPr>
              <w:pStyle w:val="332"/>
              <w:widowControl w:val="0"/>
              <w:rPr>
                <w:color w:val="000000" w:themeColor="text1"/>
                <w14:textFill>
                  <w14:solidFill>
                    <w14:schemeClr w14:val="tx1"/>
                  </w14:solidFill>
                </w14:textFill>
              </w:rPr>
            </w:pPr>
          </w:p>
        </w:tc>
        <w:tc>
          <w:tcPr>
            <w:tcW w:w="13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其他季节</w:t>
            </w:r>
          </w:p>
        </w:tc>
        <w:tc>
          <w:tcPr>
            <w:tcW w:w="649" w:type="pct"/>
            <w:vAlign w:val="center"/>
          </w:tcPr>
          <w:p>
            <w:pPr>
              <w:pStyle w:val="332"/>
              <w:widowControl w:val="0"/>
              <w:rPr>
                <w:color w:val="000000" w:themeColor="text1"/>
                <w14:textFill>
                  <w14:solidFill>
                    <w14:schemeClr w14:val="tx1"/>
                  </w14:solidFill>
                </w14:textFill>
              </w:rPr>
            </w:pPr>
          </w:p>
        </w:tc>
        <w:tc>
          <w:tcPr>
            <w:tcW w:w="96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41.14</w:t>
            </w:r>
          </w:p>
        </w:tc>
        <w:tc>
          <w:tcPr>
            <w:tcW w:w="965" w:type="pct"/>
            <w:vMerge w:val="continue"/>
            <w:vAlign w:val="center"/>
          </w:tcPr>
          <w:p>
            <w:pPr>
              <w:pStyle w:val="332"/>
              <w:widowControl w:val="0"/>
              <w:rPr>
                <w:color w:val="000000" w:themeColor="text1"/>
                <w14:textFill>
                  <w14:solidFill>
                    <w14:schemeClr w14:val="tx1"/>
                  </w14:solidFill>
                </w14:textFill>
              </w:rPr>
            </w:pP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夏季（6月-9月）按照120天计算，其他季节按照245天计算，年猪只饮用水总量为18409.88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14:textFill>
            <w14:solidFill>
              <w14:schemeClr w14:val="tx1"/>
            </w14:solidFill>
          </w14:textFill>
        </w:rPr>
        <w:t>3、</w:t>
      </w:r>
      <w:r>
        <w:rPr>
          <w:rFonts w:cs="Times New Roman"/>
          <w:color w:val="000000" w:themeColor="text1"/>
          <w:kern w:val="0"/>
          <w:szCs w:val="24"/>
          <w14:textFill>
            <w14:solidFill>
              <w14:schemeClr w14:val="tx1"/>
            </w14:solidFill>
          </w14:textFill>
        </w:rPr>
        <w:t>冲洗猪舍用水</w:t>
      </w:r>
    </w:p>
    <w:p>
      <w:pPr>
        <w:ind w:firstLine="480"/>
        <w:rPr>
          <w:rFonts w:cs="Times New Roman"/>
          <w:color w:val="000000" w:themeColor="text1"/>
          <w:kern w:val="0"/>
          <w:szCs w:val="24"/>
          <w:lang w:bidi="en-US"/>
          <w14:textFill>
            <w14:solidFill>
              <w14:schemeClr w14:val="tx1"/>
            </w14:solidFill>
          </w14:textFill>
        </w:rPr>
      </w:pPr>
      <w:r>
        <w:rPr>
          <w:rFonts w:cs="Times New Roman"/>
          <w:color w:val="000000" w:themeColor="text1"/>
          <w:kern w:val="0"/>
          <w:szCs w:val="24"/>
          <w14:textFill>
            <w14:solidFill>
              <w14:schemeClr w14:val="tx1"/>
            </w14:solidFill>
          </w14:textFill>
        </w:rPr>
        <w:t>本项目采用干清粪工艺，猪舍采用漏缝板，</w:t>
      </w:r>
      <w:r>
        <w:rPr>
          <w:rFonts w:cs="Times New Roman"/>
          <w:color w:val="000000" w:themeColor="text1"/>
          <w:kern w:val="0"/>
          <w:szCs w:val="24"/>
          <w:lang w:bidi="en-US"/>
          <w14:textFill>
            <w14:solidFill>
              <w14:schemeClr w14:val="tx1"/>
            </w14:solidFill>
          </w14:textFill>
        </w:rPr>
        <w:t>平时猪舍不进行冲洗，仅在猪转圈时进行猪舍的冲洗消毒，猪舍清洗用水按不同生长阶段猪舍面积和转栏次数进行计算。具体见表3.2-2。</w:t>
      </w:r>
    </w:p>
    <w:p>
      <w:pPr>
        <w:pStyle w:val="333"/>
        <w:spacing w:before="120"/>
        <w:rPr>
          <w:rFonts w:cs="Times New Roman"/>
          <w:color w:val="000000" w:themeColor="text1"/>
          <w14:textFill>
            <w14:solidFill>
              <w14:schemeClr w14:val="tx1"/>
            </w14:solidFill>
          </w14:textFill>
        </w:rPr>
      </w:pPr>
      <w:r>
        <w:rPr>
          <w:rFonts w:cs="Times New Roman"/>
          <w:color w:val="000000" w:themeColor="text1"/>
          <w:kern w:val="0"/>
          <w:szCs w:val="24"/>
          <w:lang w:bidi="en-US"/>
          <w14:textFill>
            <w14:solidFill>
              <w14:schemeClr w14:val="tx1"/>
            </w14:solidFill>
          </w14:textFill>
        </w:rPr>
        <w:t>表3.2-2</w:t>
      </w:r>
      <w:r>
        <w:rPr>
          <w:rFonts w:cs="Times New Roman"/>
          <w:color w:val="000000" w:themeColor="text1"/>
          <w14:textFill>
            <w14:solidFill>
              <w14:schemeClr w14:val="tx1"/>
            </w14:solidFill>
          </w14:textFill>
        </w:rPr>
        <w:t xml:space="preserve"> 猪舍清洗用水情况一览表</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25"/>
        <w:gridCol w:w="1191"/>
        <w:gridCol w:w="1020"/>
        <w:gridCol w:w="1234"/>
        <w:gridCol w:w="1243"/>
        <w:gridCol w:w="1557"/>
        <w:gridCol w:w="16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21"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猪舍种类</w:t>
            </w:r>
          </w:p>
        </w:tc>
        <w:tc>
          <w:tcPr>
            <w:tcW w:w="657"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建筑面积（m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tc>
        <w:tc>
          <w:tcPr>
            <w:tcW w:w="563"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平均用水定额</w:t>
            </w:r>
          </w:p>
        </w:tc>
        <w:tc>
          <w:tcPr>
            <w:tcW w:w="681"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清舍周期</w:t>
            </w:r>
          </w:p>
          <w:p>
            <w:pPr>
              <w:pStyle w:val="332"/>
              <w:rPr>
                <w:color w:val="000000" w:themeColor="text1"/>
                <w14:textFill>
                  <w14:solidFill>
                    <w14:schemeClr w14:val="tx1"/>
                  </w14:solidFill>
                </w14:textFill>
              </w:rPr>
            </w:pPr>
            <w:r>
              <w:rPr>
                <w:color w:val="000000" w:themeColor="text1"/>
                <w14:textFill>
                  <w14:solidFill>
                    <w14:schemeClr w14:val="tx1"/>
                  </w14:solidFill>
                </w14:textFill>
              </w:rPr>
              <w:t>（d）</w:t>
            </w:r>
          </w:p>
        </w:tc>
        <w:tc>
          <w:tcPr>
            <w:tcW w:w="68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转栏次数</w:t>
            </w:r>
          </w:p>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（次/年）</w:t>
            </w:r>
          </w:p>
        </w:tc>
        <w:tc>
          <w:tcPr>
            <w:tcW w:w="859"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清洗用水量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933"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废水产生量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21" w:type="pct"/>
            <w:tcBorders>
              <w:top w:val="single" w:color="auto" w:sz="4" w:space="0"/>
              <w:bottom w:val="single" w:color="auto" w:sz="4"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妊娠舍</w:t>
            </w:r>
          </w:p>
        </w:tc>
        <w:tc>
          <w:tcPr>
            <w:tcW w:w="65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1278</w:t>
            </w:r>
          </w:p>
        </w:tc>
        <w:tc>
          <w:tcPr>
            <w:tcW w:w="563" w:type="pct"/>
            <w:vMerge w:val="restart"/>
            <w:tcBorders>
              <w:top w:val="single" w:color="auto" w:sz="4" w:space="0"/>
              <w:left w:val="single" w:color="auto" w:sz="4"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w:t>
            </w:r>
          </w:p>
          <w:p>
            <w:pPr>
              <w:pStyle w:val="332"/>
              <w:rPr>
                <w:color w:val="000000" w:themeColor="text1"/>
                <w14:textFill>
                  <w14:solidFill>
                    <w14:schemeClr w14:val="tx1"/>
                  </w14:solidFill>
                </w14:textFill>
              </w:rPr>
            </w:pPr>
            <w:r>
              <w:rPr>
                <w:color w:val="000000" w:themeColor="text1"/>
                <w14:textFill>
                  <w14:solidFill>
                    <w14:schemeClr w14:val="tx1"/>
                  </w14:solidFill>
                </w14:textFill>
              </w:rPr>
              <w:t>L/m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·次</w:t>
            </w:r>
          </w:p>
        </w:tc>
        <w:tc>
          <w:tcPr>
            <w:tcW w:w="681" w:type="pct"/>
            <w:tcBorders>
              <w:top w:val="single" w:color="auto" w:sz="4" w:space="0"/>
              <w:left w:val="single" w:color="auto" w:sz="4"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114</w:t>
            </w:r>
          </w:p>
        </w:tc>
        <w:tc>
          <w:tcPr>
            <w:tcW w:w="6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76.68</w:t>
            </w:r>
          </w:p>
        </w:tc>
        <w:tc>
          <w:tcPr>
            <w:tcW w:w="933" w:type="pct"/>
            <w:tcBorders>
              <w:top w:val="single" w:color="auto" w:sz="4" w:space="0"/>
              <w:left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69.01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21" w:type="pct"/>
            <w:tcBorders>
              <w:top w:val="single" w:color="auto" w:sz="4" w:space="0"/>
              <w:bottom w:val="single" w:color="auto" w:sz="4"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分娩舍</w:t>
            </w:r>
          </w:p>
        </w:tc>
        <w:tc>
          <w:tcPr>
            <w:tcW w:w="65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1825</w:t>
            </w:r>
          </w:p>
        </w:tc>
        <w:tc>
          <w:tcPr>
            <w:tcW w:w="563" w:type="pct"/>
            <w:vMerge w:val="continue"/>
            <w:tcBorders>
              <w:left w:val="single" w:color="auto" w:sz="4" w:space="0"/>
              <w:right w:val="single" w:color="auto" w:sz="4" w:space="0"/>
            </w:tcBorders>
            <w:shd w:val="clear" w:color="auto" w:fill="auto"/>
            <w:vAlign w:val="center"/>
          </w:tcPr>
          <w:p>
            <w:pPr>
              <w:pStyle w:val="332"/>
              <w:rPr>
                <w:color w:val="000000" w:themeColor="text1"/>
                <w14:textFill>
                  <w14:solidFill>
                    <w14:schemeClr w14:val="tx1"/>
                  </w14:solidFill>
                </w14:textFill>
              </w:rPr>
            </w:pPr>
          </w:p>
        </w:tc>
        <w:tc>
          <w:tcPr>
            <w:tcW w:w="681" w:type="pct"/>
            <w:tcBorders>
              <w:left w:val="single" w:color="auto" w:sz="4"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28</w:t>
            </w:r>
          </w:p>
        </w:tc>
        <w:tc>
          <w:tcPr>
            <w:tcW w:w="6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13</w:t>
            </w: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474.5</w:t>
            </w:r>
          </w:p>
        </w:tc>
        <w:tc>
          <w:tcPr>
            <w:tcW w:w="933" w:type="pct"/>
            <w:tcBorders>
              <w:top w:val="single" w:color="auto" w:sz="4" w:space="0"/>
              <w:left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427.05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21" w:type="pct"/>
            <w:tcBorders>
              <w:top w:val="single" w:color="auto" w:sz="4" w:space="0"/>
              <w:bottom w:val="single" w:color="auto" w:sz="4"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保育舍</w:t>
            </w:r>
          </w:p>
        </w:tc>
        <w:tc>
          <w:tcPr>
            <w:tcW w:w="65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1260</w:t>
            </w:r>
          </w:p>
        </w:tc>
        <w:tc>
          <w:tcPr>
            <w:tcW w:w="563" w:type="pct"/>
            <w:vMerge w:val="continue"/>
            <w:tcBorders>
              <w:left w:val="single" w:color="auto" w:sz="4" w:space="0"/>
              <w:right w:val="single" w:color="auto" w:sz="4" w:space="0"/>
            </w:tcBorders>
            <w:shd w:val="clear" w:color="auto" w:fill="auto"/>
            <w:vAlign w:val="center"/>
          </w:tcPr>
          <w:p>
            <w:pPr>
              <w:pStyle w:val="332"/>
              <w:rPr>
                <w:color w:val="000000" w:themeColor="text1"/>
                <w14:textFill>
                  <w14:solidFill>
                    <w14:schemeClr w14:val="tx1"/>
                  </w14:solidFill>
                </w14:textFill>
              </w:rPr>
            </w:pPr>
          </w:p>
        </w:tc>
        <w:tc>
          <w:tcPr>
            <w:tcW w:w="681" w:type="pct"/>
            <w:tcBorders>
              <w:left w:val="single" w:color="auto" w:sz="4"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35</w:t>
            </w:r>
          </w:p>
        </w:tc>
        <w:tc>
          <w:tcPr>
            <w:tcW w:w="6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252</w:t>
            </w:r>
          </w:p>
        </w:tc>
        <w:tc>
          <w:tcPr>
            <w:tcW w:w="933" w:type="pct"/>
            <w:tcBorders>
              <w:top w:val="single" w:color="auto" w:sz="4" w:space="0"/>
              <w:left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226.8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21" w:type="pct"/>
            <w:tcBorders>
              <w:top w:val="single" w:color="auto" w:sz="4" w:space="0"/>
              <w:bottom w:val="single" w:color="auto" w:sz="6"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中大猪舍</w:t>
            </w:r>
          </w:p>
        </w:tc>
        <w:tc>
          <w:tcPr>
            <w:tcW w:w="657" w:type="pct"/>
            <w:tcBorders>
              <w:top w:val="single" w:color="auto" w:sz="4" w:space="0"/>
              <w:left w:val="single" w:color="auto" w:sz="4" w:space="0"/>
              <w:bottom w:val="single" w:color="auto" w:sz="6"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lang w:bidi="ar"/>
                <w14:textFill>
                  <w14:solidFill>
                    <w14:schemeClr w14:val="tx1"/>
                  </w14:solidFill>
                </w14:textFill>
              </w:rPr>
              <w:t>11880</w:t>
            </w:r>
          </w:p>
        </w:tc>
        <w:tc>
          <w:tcPr>
            <w:tcW w:w="563" w:type="pct"/>
            <w:vMerge w:val="continue"/>
            <w:tcBorders>
              <w:left w:val="single" w:color="auto" w:sz="4" w:space="0"/>
              <w:bottom w:val="single" w:color="auto" w:sz="6" w:space="0"/>
              <w:right w:val="single" w:color="auto" w:sz="4" w:space="0"/>
            </w:tcBorders>
            <w:shd w:val="clear" w:color="auto" w:fill="auto"/>
            <w:vAlign w:val="center"/>
          </w:tcPr>
          <w:p>
            <w:pPr>
              <w:pStyle w:val="332"/>
              <w:rPr>
                <w:color w:val="000000" w:themeColor="text1"/>
                <w14:textFill>
                  <w14:solidFill>
                    <w14:schemeClr w14:val="tx1"/>
                  </w14:solidFill>
                </w14:textFill>
              </w:rPr>
            </w:pPr>
          </w:p>
        </w:tc>
        <w:tc>
          <w:tcPr>
            <w:tcW w:w="681" w:type="pct"/>
            <w:tcBorders>
              <w:left w:val="single" w:color="auto" w:sz="4" w:space="0"/>
              <w:bottom w:val="single" w:color="auto" w:sz="6"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118</w:t>
            </w:r>
          </w:p>
        </w:tc>
        <w:tc>
          <w:tcPr>
            <w:tcW w:w="686" w:type="pct"/>
            <w:tcBorders>
              <w:top w:val="single" w:color="auto" w:sz="4" w:space="0"/>
              <w:left w:val="single" w:color="auto" w:sz="4" w:space="0"/>
              <w:bottom w:val="single" w:color="auto" w:sz="6"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859" w:type="pct"/>
            <w:tcBorders>
              <w:top w:val="single" w:color="auto" w:sz="4" w:space="0"/>
              <w:left w:val="single" w:color="auto" w:sz="4" w:space="0"/>
              <w:bottom w:val="single" w:color="auto" w:sz="6" w:space="0"/>
              <w:right w:val="single" w:color="auto" w:sz="4"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712.8</w:t>
            </w:r>
          </w:p>
        </w:tc>
        <w:tc>
          <w:tcPr>
            <w:tcW w:w="933" w:type="pct"/>
            <w:tcBorders>
              <w:top w:val="single" w:color="auto" w:sz="4" w:space="0"/>
              <w:left w:val="single" w:color="auto" w:sz="4" w:space="0"/>
              <w:bottom w:val="single" w:color="auto"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641.52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41" w:type="pct"/>
            <w:gridSpan w:val="3"/>
            <w:tcBorders>
              <w:top w:val="single" w:color="auto" w:sz="6"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681" w:type="pct"/>
            <w:tcBorders>
              <w:top w:val="single" w:color="auto" w:sz="6" w:space="0"/>
            </w:tcBorders>
            <w:vAlign w:val="center"/>
          </w:tcPr>
          <w:p>
            <w:pPr>
              <w:pStyle w:val="332"/>
              <w:rPr>
                <w:color w:val="000000" w:themeColor="text1"/>
                <w14:textFill>
                  <w14:solidFill>
                    <w14:schemeClr w14:val="tx1"/>
                  </w14:solidFill>
                </w14:textFill>
              </w:rPr>
            </w:pPr>
          </w:p>
        </w:tc>
        <w:tc>
          <w:tcPr>
            <w:tcW w:w="686" w:type="pct"/>
            <w:tcBorders>
              <w:top w:val="single" w:color="auto" w:sz="6"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859" w:type="pct"/>
            <w:tcBorders>
              <w:top w:val="single" w:color="auto" w:sz="6"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1515.98（平均4.15m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933" w:type="pct"/>
            <w:tcBorders>
              <w:top w:val="single" w:color="auto"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1364.38（平均3.74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r>
    </w:tbl>
    <w:p>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4、</w:t>
      </w:r>
      <w:r>
        <w:rPr>
          <w:rFonts w:cs="Times New Roman"/>
          <w:color w:val="000000" w:themeColor="text1"/>
          <w:kern w:val="0"/>
          <w:szCs w:val="24"/>
          <w:lang w:bidi="en-US"/>
          <w14:textFill>
            <w14:solidFill>
              <w14:schemeClr w14:val="tx1"/>
            </w14:solidFill>
          </w14:textFill>
        </w:rPr>
        <w:t>分娩猪清洗用水</w:t>
      </w:r>
    </w:p>
    <w:p>
      <w:pPr>
        <w:ind w:firstLine="480"/>
        <w:rPr>
          <w:rFonts w:cs="Times New Roman"/>
          <w:color w:val="000000" w:themeColor="text1"/>
          <w:kern w:val="0"/>
          <w:szCs w:val="24"/>
          <w:lang w:bidi="en-US"/>
          <w14:textFill>
            <w14:solidFill>
              <w14:schemeClr w14:val="tx1"/>
            </w14:solidFill>
          </w14:textFill>
        </w:rPr>
      </w:pPr>
      <w:r>
        <w:rPr>
          <w:rFonts w:cs="Times New Roman"/>
          <w:color w:val="000000" w:themeColor="text1"/>
          <w:kern w:val="0"/>
          <w:szCs w:val="24"/>
          <w:lang w:bidi="en-US"/>
          <w14:textFill>
            <w14:solidFill>
              <w14:schemeClr w14:val="tx1"/>
            </w14:solidFill>
          </w14:textFill>
        </w:rPr>
        <w:t xml:space="preserve">配怀舍和分娩舍之间设置洗猪栏，主要是对分娩期的母猪进行冲洗，按30 L/猪·次计，共600头分娩猪，每年分娩2.16次，则用水量为38.88 </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r>
        <w:rPr>
          <w:rFonts w:cs="Times New Roman"/>
          <w:color w:val="000000" w:themeColor="text1"/>
          <w:kern w:val="0"/>
          <w:szCs w:val="24"/>
          <w:lang w:bidi="en-US"/>
          <w14:textFill>
            <w14:solidFill>
              <w14:schemeClr w14:val="tx1"/>
            </w14:solidFill>
          </w14:textFill>
        </w:rPr>
        <w:t xml:space="preserve">（平均0.11 </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kern w:val="0"/>
          <w:szCs w:val="24"/>
          <w:lang w:bidi="en-US"/>
          <w14:textFill>
            <w14:solidFill>
              <w14:schemeClr w14:val="tx1"/>
            </w14:solidFill>
          </w14:textFill>
        </w:rPr>
        <w:t>/d）。</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5、夏季猪舍降温用水</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猪舍夏季需采用水帘降温系统对猪舍进行降温处理，项目夏季需采用水帘对猪舍进行降温处理，根据建设单位提供资料，水帘降温系统水循环使用不外排，但由于蒸发等散失，降温系统每天需补充一定新鲜水。其中，每栋家庭农场水帘降温系统每天需要补充水量为2 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。因此，本项目养殖场22栋猪舍水帘降温系统补充水量为44m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/d，降温期按60 d/a计，用水量为2640 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/a，平均夏季每天22 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6、器具清洗用水</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 xml:space="preserve">本项目病死猪无害化处理机定期进行清洗消毒，清粪工具、员工穿戴的雨鞋等均需进行清洗消毒。根据类比同类养殖场用水情况，用水量约2.4 </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kern w:val="0"/>
          <w:szCs w:val="24"/>
          <w:lang w:bidi="en-US"/>
          <w14:textFill>
            <w14:solidFill>
              <w14:schemeClr w14:val="tx1"/>
            </w14:solidFill>
          </w14:textFill>
        </w:rPr>
        <w:t>/d</w:t>
      </w:r>
      <w:r>
        <w:rPr>
          <w:rFonts w:cs="Times New Roman"/>
          <w:color w:val="000000" w:themeColor="text1"/>
          <w:kern w:val="0"/>
          <w:szCs w:val="24"/>
          <w14:textFill>
            <w14:solidFill>
              <w14:schemeClr w14:val="tx1"/>
            </w14:solidFill>
          </w14:textFill>
        </w:rPr>
        <w:t>（876</w:t>
      </w:r>
      <w:r>
        <w:rPr>
          <w:rFonts w:cs="Times New Roman"/>
          <w:color w:val="000000" w:themeColor="text1"/>
          <w14:textFill>
            <w14:solidFill>
              <w14:schemeClr w14:val="tx1"/>
            </w14:solidFill>
          </w14:textFill>
        </w:rPr>
        <w:t xml:space="preserve">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r>
        <w:rPr>
          <w:rFonts w:cs="Times New Roman"/>
          <w:color w:val="000000" w:themeColor="text1"/>
          <w:kern w:val="0"/>
          <w:szCs w:val="24"/>
          <w14:textFill>
            <w14:solidFill>
              <w14:schemeClr w14:val="tx1"/>
            </w14:solidFill>
          </w14:textFill>
        </w:rPr>
        <w:t xml:space="preserve">），排放量按用水量90%计算，则项目设备、器具清洗废水产生量为2.16 </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kern w:val="0"/>
          <w:szCs w:val="24"/>
          <w:lang w:bidi="en-US"/>
          <w14:textFill>
            <w14:solidFill>
              <w14:schemeClr w14:val="tx1"/>
            </w14:solidFill>
          </w14:textFill>
        </w:rPr>
        <w:t>/d</w:t>
      </w:r>
      <w:r>
        <w:rPr>
          <w:rFonts w:cs="Times New Roman"/>
          <w:color w:val="000000" w:themeColor="text1"/>
          <w:kern w:val="0"/>
          <w:szCs w:val="24"/>
          <w14:textFill>
            <w14:solidFill>
              <w14:schemeClr w14:val="tx1"/>
            </w14:solidFill>
          </w14:textFill>
        </w:rPr>
        <w:t>（788.4</w:t>
      </w:r>
      <w:r>
        <w:rPr>
          <w:rFonts w:cs="Times New Roman"/>
          <w:color w:val="000000" w:themeColor="text1"/>
          <w14:textFill>
            <w14:solidFill>
              <w14:schemeClr w14:val="tx1"/>
            </w14:solidFill>
          </w14:textFill>
        </w:rPr>
        <w:t xml:space="preserve">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r>
        <w:rPr>
          <w:rFonts w:cs="Times New Roman"/>
          <w:color w:val="000000" w:themeColor="text1"/>
          <w:kern w:val="0"/>
          <w:szCs w:val="24"/>
          <w14:textFill>
            <w14:solidFill>
              <w14:schemeClr w14:val="tx1"/>
            </w14:solidFill>
          </w14:textFill>
        </w:rPr>
        <w:t>）。</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7、消毒用水</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szCs w:val="24"/>
          <w14:textFill>
            <w14:solidFill>
              <w14:schemeClr w14:val="tx1"/>
            </w14:solidFill>
          </w14:textFill>
        </w:rPr>
        <w:t>本项目对进场的饲料运输车和运猪车在场址出入口处进行消毒清洗。根据建设单位提供，</w:t>
      </w:r>
      <w:r>
        <w:rPr>
          <w:rFonts w:cs="Times New Roman"/>
          <w:color w:val="000000" w:themeColor="text1"/>
          <w:kern w:val="0"/>
          <w:szCs w:val="24"/>
          <w14:textFill>
            <w14:solidFill>
              <w14:schemeClr w14:val="tx1"/>
            </w14:solidFill>
          </w14:textFill>
        </w:rPr>
        <w:t>项目全年约100天需要用车，每天约5辆运输车，</w:t>
      </w:r>
      <w:r>
        <w:rPr>
          <w:rFonts w:cs="Times New Roman"/>
          <w:color w:val="000000" w:themeColor="text1"/>
          <w:szCs w:val="24"/>
          <w14:textFill>
            <w14:solidFill>
              <w14:schemeClr w14:val="tx1"/>
            </w14:solidFill>
          </w14:textFill>
        </w:rPr>
        <w:t>车辆冲洗用水量按照1.0 m</w:t>
      </w:r>
      <w:r>
        <w:rPr>
          <w:rFonts w:cs="Times New Roman"/>
          <w:color w:val="000000" w:themeColor="text1"/>
          <w:szCs w:val="24"/>
          <w:vertAlign w:val="superscript"/>
          <w14:textFill>
            <w14:solidFill>
              <w14:schemeClr w14:val="tx1"/>
            </w14:solidFill>
          </w14:textFill>
        </w:rPr>
        <w:t>3</w:t>
      </w:r>
      <w:r>
        <w:rPr>
          <w:rFonts w:cs="Times New Roman"/>
          <w:color w:val="000000" w:themeColor="text1"/>
          <w:szCs w:val="24"/>
          <w14:textFill>
            <w14:solidFill>
              <w14:schemeClr w14:val="tx1"/>
            </w14:solidFill>
          </w14:textFill>
        </w:rPr>
        <w:t>/辆·次，</w:t>
      </w:r>
      <w:r>
        <w:rPr>
          <w:rFonts w:cs="Times New Roman"/>
          <w:color w:val="000000" w:themeColor="text1"/>
          <w:kern w:val="0"/>
          <w:szCs w:val="24"/>
          <w14:textFill>
            <w14:solidFill>
              <w14:schemeClr w14:val="tx1"/>
            </w14:solidFill>
          </w14:textFill>
        </w:rPr>
        <w:t>则项目运输车辆冲洗用水量为5 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/d，设置循环水池（15 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）进行循环利用，循环水量为10 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；补水量按20 L/车·次计，则补水量为10 t/a（平均0.03 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14:textFill>
            <w14:solidFill>
              <w14:schemeClr w14:val="tx1"/>
            </w14:solidFill>
          </w14:textFill>
        </w:rPr>
        <w:t>猪舍、各生产用具均定期消毒。拟建项目消毒池无排水设施，因此不会出现消毒液排入环境。只定期加入清水和药剂，评价对其不作污染源考虑，此用水量</w:t>
      </w:r>
      <w:r>
        <w:rPr>
          <w:rFonts w:cs="Times New Roman"/>
          <w:color w:val="000000" w:themeColor="text1"/>
          <w:kern w:val="0"/>
          <w:szCs w:val="24"/>
          <w14:textFill>
            <w14:solidFill>
              <w14:schemeClr w14:val="tx1"/>
            </w14:solidFill>
          </w14:textFill>
        </w:rPr>
        <w:t>按6 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/d计，全部蒸发消耗。其它消毒用水量按3 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/d计。</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消毒用水量合计为9.03 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/d（3295 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8、喷淋除臭用水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病死猪无害化处置间设置1套喷淋除臭装置，每栋猪舍排风口均设置一套喷淋除臭挡网装置，沿除臭网设置除臭液喷淋管道，将除臭液雾化喷淋至除臭网上。地面设置喷淋液收集集水沟，末端设置喷淋水储水池后自动泵入除臭液水箱回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本项目养殖区各种猪舍共22座，每栋猪舍出风口设置过滤吸附除臭装置；配种舍、妊娠舍、分娩舍等9栋猪舍，每套喷淋设施循环水量为10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/d；保育舍、中大猪舍等13栋猪舍，每套喷淋设施循环水量为20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/d；合计350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/d，喷淋水每天补充量按3%计，合计用水量为10.5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/d，全年用水量为3832.5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/a。喷淋水全部循环使用，废水不外排。</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10、厂区绿化</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本项目场区内绿化面积约为7076 m</w:t>
      </w:r>
      <w:r>
        <w:rPr>
          <w:rFonts w:cs="Times New Roman"/>
          <w:color w:val="000000" w:themeColor="text1"/>
          <w:vertAlign w:val="superscript"/>
          <w:lang w:bidi="en-US"/>
          <w14:textFill>
            <w14:solidFill>
              <w14:schemeClr w14:val="tx1"/>
            </w14:solidFill>
          </w14:textFill>
        </w:rPr>
        <w:t>2</w:t>
      </w:r>
      <w:r>
        <w:rPr>
          <w:rFonts w:cs="Times New Roman"/>
          <w:color w:val="000000" w:themeColor="text1"/>
          <w:lang w:bidi="en-US"/>
          <w14:textFill>
            <w14:solidFill>
              <w14:schemeClr w14:val="tx1"/>
            </w14:solidFill>
          </w14:textFill>
        </w:rPr>
        <w:t>，按0.28 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/（m</w:t>
      </w:r>
      <w:r>
        <w:rPr>
          <w:rFonts w:cs="Times New Roman"/>
          <w:color w:val="000000" w:themeColor="text1"/>
          <w:vertAlign w:val="superscript"/>
          <w:lang w:bidi="en-US"/>
          <w14:textFill>
            <w14:solidFill>
              <w14:schemeClr w14:val="tx1"/>
            </w14:solidFill>
          </w14:textFill>
        </w:rPr>
        <w:t>2</w:t>
      </w:r>
      <w:r>
        <w:rPr>
          <w:rFonts w:cs="Times New Roman"/>
          <w:color w:val="000000" w:themeColor="text1"/>
          <w:lang w:bidi="en-US"/>
          <w14:textFill>
            <w14:solidFill>
              <w14:schemeClr w14:val="tx1"/>
            </w14:solidFill>
          </w14:textFill>
        </w:rPr>
        <w:t>·a），用水量为1981.28 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/a，绿化洒水为250 d/a，则用水量为7.93 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/d。</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11、道路洒水</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本项目场区道路面积为3600 m</w:t>
      </w:r>
      <w:r>
        <w:rPr>
          <w:rFonts w:cs="Times New Roman"/>
          <w:color w:val="000000" w:themeColor="text1"/>
          <w:vertAlign w:val="superscript"/>
          <w:lang w:bidi="en-US"/>
          <w14:textFill>
            <w14:solidFill>
              <w14:schemeClr w14:val="tx1"/>
            </w14:solidFill>
          </w14:textFill>
        </w:rPr>
        <w:t>2</w:t>
      </w:r>
      <w:r>
        <w:rPr>
          <w:rFonts w:cs="Times New Roman"/>
          <w:color w:val="000000" w:themeColor="text1"/>
          <w:lang w:bidi="en-US"/>
          <w14:textFill>
            <w14:solidFill>
              <w14:schemeClr w14:val="tx1"/>
            </w14:solidFill>
          </w14:textFill>
        </w:rPr>
        <w:t>，道路洒水按0.2 L/（m</w:t>
      </w:r>
      <w:r>
        <w:rPr>
          <w:rFonts w:cs="Times New Roman"/>
          <w:color w:val="000000" w:themeColor="text1"/>
          <w:vertAlign w:val="superscript"/>
          <w:lang w:bidi="en-US"/>
          <w14:textFill>
            <w14:solidFill>
              <w14:schemeClr w14:val="tx1"/>
            </w14:solidFill>
          </w14:textFill>
        </w:rPr>
        <w:t>2</w:t>
      </w:r>
      <w:r>
        <w:rPr>
          <w:rFonts w:cs="Times New Roman"/>
          <w:color w:val="000000" w:themeColor="text1"/>
          <w:lang w:bidi="en-US"/>
          <w14:textFill>
            <w14:solidFill>
              <w14:schemeClr w14:val="tx1"/>
            </w14:solidFill>
          </w14:textFill>
        </w:rPr>
        <w:t>·次），每天1次计，用水量为0.72 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/d，262.8 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/a。</w:t>
      </w:r>
    </w:p>
    <w:p>
      <w:pPr>
        <w:ind w:firstLine="480"/>
        <w:rPr>
          <w:rFonts w:cs="Times New Roman"/>
          <w:color w:val="000000" w:themeColor="text1"/>
          <w:szCs w:val="24"/>
          <w:lang w:bidi="en-US"/>
          <w14:textFill>
            <w14:solidFill>
              <w14:schemeClr w14:val="tx1"/>
            </w14:solidFill>
          </w14:textFill>
        </w:rPr>
      </w:pPr>
      <w:r>
        <w:rPr>
          <w:rFonts w:cs="Times New Roman"/>
          <w:color w:val="000000" w:themeColor="text1"/>
          <w:szCs w:val="24"/>
          <w:lang w:bidi="en-US"/>
          <w14:textFill>
            <w14:solidFill>
              <w14:schemeClr w14:val="tx1"/>
            </w14:solidFill>
          </w14:textFill>
        </w:rPr>
        <w:t>综上，项目建成后用水量约为</w:t>
      </w:r>
      <w:r>
        <w:rPr>
          <w:rFonts w:eastAsia="等线" w:cs="Times New Roman"/>
          <w:color w:val="000000" w:themeColor="text1"/>
          <w:szCs w:val="24"/>
          <w14:textFill>
            <w14:solidFill>
              <w14:schemeClr w14:val="tx1"/>
            </w14:solidFill>
          </w14:textFill>
        </w:rPr>
        <w:t>150.98</w:t>
      </w:r>
      <w:r>
        <w:rPr>
          <w:rFonts w:cs="Times New Roman"/>
          <w:color w:val="000000" w:themeColor="text1"/>
          <w:szCs w:val="24"/>
          <w:lang w:bidi="en-US"/>
          <w14:textFill>
            <w14:solidFill>
              <w14:schemeClr w14:val="tx1"/>
            </w14:solidFill>
          </w14:textFill>
        </w:rPr>
        <w:t xml:space="preserve"> m</w:t>
      </w:r>
      <w:r>
        <w:rPr>
          <w:rFonts w:cs="Times New Roman"/>
          <w:color w:val="000000" w:themeColor="text1"/>
          <w:szCs w:val="24"/>
          <w:vertAlign w:val="superscript"/>
          <w:lang w:bidi="en-US"/>
          <w14:textFill>
            <w14:solidFill>
              <w14:schemeClr w14:val="tx1"/>
            </w14:solidFill>
          </w14:textFill>
        </w:rPr>
        <w:t>3</w:t>
      </w:r>
      <w:r>
        <w:rPr>
          <w:rFonts w:cs="Times New Roman"/>
          <w:color w:val="000000" w:themeColor="text1"/>
          <w:szCs w:val="24"/>
          <w:lang w:bidi="en-US"/>
          <w14:textFill>
            <w14:solidFill>
              <w14:schemeClr w14:val="tx1"/>
            </w14:solidFill>
          </w14:textFill>
        </w:rPr>
        <w:t>/d（夏季）、</w:t>
      </w:r>
      <w:r>
        <w:rPr>
          <w:rFonts w:eastAsia="等线" w:cs="Times New Roman"/>
          <w:color w:val="000000" w:themeColor="text1"/>
          <w:szCs w:val="24"/>
          <w14:textFill>
            <w14:solidFill>
              <w14:schemeClr w14:val="tx1"/>
            </w14:solidFill>
          </w14:textFill>
        </w:rPr>
        <w:t>78.68</w:t>
      </w:r>
      <w:r>
        <w:rPr>
          <w:rFonts w:cs="Times New Roman"/>
          <w:color w:val="000000" w:themeColor="text1"/>
          <w:szCs w:val="24"/>
          <w:lang w:bidi="en-US"/>
          <w14:textFill>
            <w14:solidFill>
              <w14:schemeClr w14:val="tx1"/>
            </w14:solidFill>
          </w14:textFill>
        </w:rPr>
        <w:t xml:space="preserve"> m</w:t>
      </w:r>
      <w:r>
        <w:rPr>
          <w:rFonts w:cs="Times New Roman"/>
          <w:color w:val="000000" w:themeColor="text1"/>
          <w:szCs w:val="24"/>
          <w:vertAlign w:val="superscript"/>
          <w:lang w:bidi="en-US"/>
          <w14:textFill>
            <w14:solidFill>
              <w14:schemeClr w14:val="tx1"/>
            </w14:solidFill>
          </w14:textFill>
        </w:rPr>
        <w:t>3</w:t>
      </w:r>
      <w:r>
        <w:rPr>
          <w:rFonts w:cs="Times New Roman"/>
          <w:color w:val="000000" w:themeColor="text1"/>
          <w:szCs w:val="24"/>
          <w:lang w:bidi="en-US"/>
          <w14:textFill>
            <w14:solidFill>
              <w14:schemeClr w14:val="tx1"/>
            </w14:solidFill>
          </w14:textFill>
        </w:rPr>
        <w:t>/d（春秋季）、70.03m</w:t>
      </w:r>
      <w:r>
        <w:rPr>
          <w:rFonts w:cs="Times New Roman"/>
          <w:color w:val="000000" w:themeColor="text1"/>
          <w:szCs w:val="24"/>
          <w:vertAlign w:val="superscript"/>
          <w:lang w:bidi="en-US"/>
          <w14:textFill>
            <w14:solidFill>
              <w14:schemeClr w14:val="tx1"/>
            </w14:solidFill>
          </w14:textFill>
        </w:rPr>
        <w:t>3</w:t>
      </w:r>
      <w:r>
        <w:rPr>
          <w:rFonts w:cs="Times New Roman"/>
          <w:color w:val="000000" w:themeColor="text1"/>
          <w:szCs w:val="24"/>
          <w:lang w:bidi="en-US"/>
          <w14:textFill>
            <w14:solidFill>
              <w14:schemeClr w14:val="tx1"/>
            </w14:solidFill>
          </w14:textFill>
        </w:rPr>
        <w:t>/d（冬季），共计</w:t>
      </w:r>
      <w:r>
        <w:rPr>
          <w:rFonts w:eastAsia="等线" w:cs="Times New Roman"/>
          <w:color w:val="000000" w:themeColor="text1"/>
          <w:kern w:val="0"/>
          <w:szCs w:val="24"/>
          <w14:textFill>
            <w14:solidFill>
              <w14:schemeClr w14:val="tx1"/>
            </w14:solidFill>
          </w14:textFill>
        </w:rPr>
        <w:t xml:space="preserve">33837.82 </w:t>
      </w:r>
      <w:r>
        <w:rPr>
          <w:rFonts w:cs="Times New Roman"/>
          <w:color w:val="000000" w:themeColor="text1"/>
          <w:szCs w:val="24"/>
          <w:lang w:bidi="en-US"/>
          <w14:textFill>
            <w14:solidFill>
              <w14:schemeClr w14:val="tx1"/>
            </w14:solidFill>
          </w14:textFill>
        </w:rPr>
        <w:t>m</w:t>
      </w:r>
      <w:r>
        <w:rPr>
          <w:rFonts w:cs="Times New Roman"/>
          <w:color w:val="000000" w:themeColor="text1"/>
          <w:szCs w:val="24"/>
          <w:vertAlign w:val="superscript"/>
          <w:lang w:bidi="en-US"/>
          <w14:textFill>
            <w14:solidFill>
              <w14:schemeClr w14:val="tx1"/>
            </w14:solidFill>
          </w14:textFill>
        </w:rPr>
        <w:t>3</w:t>
      </w:r>
      <w:r>
        <w:rPr>
          <w:rFonts w:cs="Times New Roman"/>
          <w:color w:val="000000" w:themeColor="text1"/>
          <w:szCs w:val="24"/>
          <w:lang w:bidi="en-US"/>
          <w14:textFill>
            <w14:solidFill>
              <w14:schemeClr w14:val="tx1"/>
            </w14:solidFill>
          </w14:textFill>
        </w:rPr>
        <w:t>/a。</w:t>
      </w:r>
    </w:p>
    <w:p>
      <w:pPr>
        <w:pStyle w:val="5"/>
        <w:rPr>
          <w:color w:val="000000" w:themeColor="text1"/>
          <w14:textFill>
            <w14:solidFill>
              <w14:schemeClr w14:val="tx1"/>
            </w14:solidFill>
          </w14:textFill>
        </w:rPr>
      </w:pPr>
      <w:r>
        <w:rPr>
          <w:color w:val="000000" w:themeColor="text1"/>
          <w14:textFill>
            <w14:solidFill>
              <w14:schemeClr w14:val="tx1"/>
            </w14:solidFill>
          </w14:textFill>
        </w:rPr>
        <w:t>3.2.1.3排水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1、雨水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本项目场区的排水系统实施雨污分流。初期雨水收集后进入</w:t>
      </w:r>
      <w:r>
        <w:rPr>
          <w:rFonts w:cs="Times New Roman"/>
          <w:color w:val="000000" w:themeColor="text1"/>
          <w:szCs w:val="24"/>
          <w14:textFill>
            <w14:solidFill>
              <w14:schemeClr w14:val="tx1"/>
            </w14:solidFill>
          </w14:textFill>
        </w:rPr>
        <w:t>自建污水处理设施，</w:t>
      </w:r>
      <w:r>
        <w:rPr>
          <w:rFonts w:cs="Times New Roman"/>
          <w:color w:val="000000" w:themeColor="text1"/>
          <w14:textFill>
            <w14:solidFill>
              <w14:schemeClr w14:val="tx1"/>
            </w14:solidFill>
          </w14:textFill>
        </w:rPr>
        <w:t>后期雨水经地势差排出场外。</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2、生产废水、生活污水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食堂含油废水经隔油池处理后与生活污水、养殖区废水经废水收集系统收集后，进入粪污处理区处理，废水处理采用“预处理+厌氧处理+沼液暂存+沼液返田”工艺，处理后沼液储存于沼液塘中，回用于场区周围农田施肥，沼渣及猪粪便运至有机肥粪棚堆肥处理。</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3、污水量</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fldChar w:fldCharType="begin"/>
      </w:r>
      <w:r>
        <w:rPr>
          <w:rFonts w:cs="Times New Roman"/>
          <w:color w:val="000000" w:themeColor="text1"/>
          <w:lang w:bidi="en-US"/>
          <w14:textFill>
            <w14:solidFill>
              <w14:schemeClr w14:val="tx1"/>
            </w14:solidFill>
          </w14:textFill>
        </w:rPr>
        <w:instrText xml:space="preserve"> = 1 \* GB3 </w:instrText>
      </w:r>
      <w:r>
        <w:rPr>
          <w:rFonts w:cs="Times New Roman"/>
          <w:color w:val="000000" w:themeColor="text1"/>
          <w:lang w:bidi="en-US"/>
          <w14:textFill>
            <w14:solidFill>
              <w14:schemeClr w14:val="tx1"/>
            </w14:solidFill>
          </w14:textFill>
        </w:rPr>
        <w:fldChar w:fldCharType="separate"/>
      </w:r>
      <w:r>
        <w:rPr>
          <w:rFonts w:hint="eastAsia" w:ascii="宋体" w:hAnsi="宋体" w:cs="宋体"/>
          <w:color w:val="000000" w:themeColor="text1"/>
          <w:lang w:bidi="en-US"/>
          <w14:textFill>
            <w14:solidFill>
              <w14:schemeClr w14:val="tx1"/>
            </w14:solidFill>
          </w14:textFill>
        </w:rPr>
        <w:t>①</w:t>
      </w:r>
      <w:r>
        <w:rPr>
          <w:rFonts w:cs="Times New Roman"/>
          <w:color w:val="000000" w:themeColor="text1"/>
          <w14:textFill>
            <w14:solidFill>
              <w14:schemeClr w14:val="tx1"/>
            </w14:solidFill>
          </w14:textFill>
        </w:rPr>
        <w:fldChar w:fldCharType="end"/>
      </w:r>
      <w:r>
        <w:rPr>
          <w:rFonts w:cs="Times New Roman"/>
          <w:color w:val="000000" w:themeColor="text1"/>
          <w:lang w:bidi="en-US"/>
          <w14:textFill>
            <w14:solidFill>
              <w14:schemeClr w14:val="tx1"/>
            </w14:solidFill>
          </w14:textFill>
        </w:rPr>
        <w:t>职工生活污水</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生活污水排放量按用水量的80%计，则生活污水排水量为2.16 m³/d（788.4</w:t>
      </w:r>
      <w:r>
        <w:rPr>
          <w:rFonts w:cs="Times New Roman"/>
          <w:color w:val="000000" w:themeColor="text1"/>
          <w14:textFill>
            <w14:solidFill>
              <w14:schemeClr w14:val="tx1"/>
            </w14:solidFill>
          </w14:textFill>
        </w:rPr>
        <w:t xml:space="preserve">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r>
        <w:rPr>
          <w:rFonts w:cs="Times New Roman"/>
          <w:color w:val="000000" w:themeColor="text1"/>
          <w:lang w:bidi="en-US"/>
          <w14:textFill>
            <w14:solidFill>
              <w14:schemeClr w14:val="tx1"/>
            </w14:solidFill>
          </w14:textFill>
        </w:rPr>
        <w:t>）。</w:t>
      </w:r>
    </w:p>
    <w:p>
      <w:pPr>
        <w:ind w:firstLine="480"/>
        <w:rPr>
          <w:rFonts w:cs="Times New Roman"/>
          <w:color w:val="000000" w:themeColor="text1"/>
          <w:lang w:bidi="en-US"/>
          <w14:textFill>
            <w14:solidFill>
              <w14:schemeClr w14:val="tx1"/>
            </w14:solidFill>
          </w14:textFill>
        </w:rPr>
      </w:pPr>
      <w:bookmarkStart w:id="361" w:name="_Hlk26708310"/>
      <w:r>
        <w:rPr>
          <w:rFonts w:cs="Times New Roman"/>
          <w:color w:val="000000" w:themeColor="text1"/>
          <w:lang w:bidi="en-US"/>
          <w14:textFill>
            <w14:solidFill>
              <w14:schemeClr w14:val="tx1"/>
            </w14:solidFill>
          </w14:textFill>
        </w:rPr>
        <w:fldChar w:fldCharType="begin"/>
      </w:r>
      <w:r>
        <w:rPr>
          <w:rFonts w:cs="Times New Roman"/>
          <w:color w:val="000000" w:themeColor="text1"/>
          <w:lang w:bidi="en-US"/>
          <w14:textFill>
            <w14:solidFill>
              <w14:schemeClr w14:val="tx1"/>
            </w14:solidFill>
          </w14:textFill>
        </w:rPr>
        <w:instrText xml:space="preserve"> = 2 \* GB3 </w:instrText>
      </w:r>
      <w:r>
        <w:rPr>
          <w:rFonts w:cs="Times New Roman"/>
          <w:color w:val="000000" w:themeColor="text1"/>
          <w:lang w:bidi="en-US"/>
          <w14:textFill>
            <w14:solidFill>
              <w14:schemeClr w14:val="tx1"/>
            </w14:solidFill>
          </w14:textFill>
        </w:rPr>
        <w:fldChar w:fldCharType="separate"/>
      </w:r>
      <w:r>
        <w:rPr>
          <w:rFonts w:hint="eastAsia" w:ascii="宋体" w:hAnsi="宋体" w:cs="宋体"/>
          <w:color w:val="000000" w:themeColor="text1"/>
          <w:lang w:bidi="en-US"/>
          <w14:textFill>
            <w14:solidFill>
              <w14:schemeClr w14:val="tx1"/>
            </w14:solidFill>
          </w14:textFill>
        </w:rPr>
        <w:t>②</w:t>
      </w:r>
      <w:r>
        <w:rPr>
          <w:rFonts w:cs="Times New Roman"/>
          <w:color w:val="000000" w:themeColor="text1"/>
          <w14:textFill>
            <w14:solidFill>
              <w14:schemeClr w14:val="tx1"/>
            </w14:solidFill>
          </w14:textFill>
        </w:rPr>
        <w:fldChar w:fldCharType="end"/>
      </w:r>
      <w:bookmarkEnd w:id="361"/>
      <w:r>
        <w:rPr>
          <w:rFonts w:cs="Times New Roman"/>
          <w:color w:val="000000" w:themeColor="text1"/>
          <w:lang w:bidi="en-US"/>
          <w14:textFill>
            <w14:solidFill>
              <w14:schemeClr w14:val="tx1"/>
            </w14:solidFill>
          </w14:textFill>
        </w:rPr>
        <w:t>猪尿液</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根据《畜禽养殖污染防治最佳可行技术指南》（试行），猪尿排泄量计算公式为：Yu=0.205+0.438W，式中，Yu为猪尿排泄量，W为猪的饮水量。通过计算，</w:t>
      </w:r>
      <w:bookmarkStart w:id="362" w:name="_Hlk26708256"/>
      <w:r>
        <w:rPr>
          <w:rFonts w:cs="Times New Roman"/>
          <w:color w:val="000000" w:themeColor="text1"/>
          <w:lang w:bidi="en-US"/>
          <w14:textFill>
            <w14:solidFill>
              <w14:schemeClr w14:val="tx1"/>
            </w14:solidFill>
          </w14:textFill>
        </w:rPr>
        <w:t>本项目猪尿液产生量为31.7 m³/d（夏季）、19.6 m³/d（其他季节），共计8600.9</w:t>
      </w:r>
      <w:r>
        <w:rPr>
          <w:rFonts w:cs="Times New Roman"/>
          <w:color w:val="000000" w:themeColor="text1"/>
          <w14:textFill>
            <w14:solidFill>
              <w14:schemeClr w14:val="tx1"/>
            </w14:solidFill>
          </w14:textFill>
        </w:rPr>
        <w:t xml:space="preserve">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r>
        <w:rPr>
          <w:rFonts w:cs="Times New Roman"/>
          <w:color w:val="000000" w:themeColor="text1"/>
          <w:lang w:bidi="en-US"/>
          <w14:textFill>
            <w14:solidFill>
              <w14:schemeClr w14:val="tx1"/>
            </w14:solidFill>
          </w14:textFill>
        </w:rPr>
        <w:t>。</w:t>
      </w:r>
      <w:bookmarkEnd w:id="362"/>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夏季（6月-9月）按照120天计算，其他季节按照245天计算。</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3.2-3 </w:t>
      </w:r>
      <w:r>
        <w:rPr>
          <w:rFonts w:cs="Times New Roman"/>
          <w:color w:val="000000" w:themeColor="text1"/>
          <w14:textFill>
            <w14:solidFill>
              <w14:schemeClr w14:val="tx1"/>
            </w14:solidFill>
          </w14:textFill>
        </w:rPr>
        <w:t>养殖过程猪尿液产生量一览表   单位：m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1182"/>
        <w:gridCol w:w="870"/>
        <w:gridCol w:w="1870"/>
        <w:gridCol w:w="1894"/>
        <w:gridCol w:w="1602"/>
        <w:gridCol w:w="12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43"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652"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饲养阶段</w:t>
            </w:r>
          </w:p>
        </w:tc>
        <w:tc>
          <w:tcPr>
            <w:tcW w:w="480"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存栏量（头）</w:t>
            </w:r>
          </w:p>
        </w:tc>
        <w:tc>
          <w:tcPr>
            <w:tcW w:w="1032"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饮水量（L/d·头）</w:t>
            </w:r>
          </w:p>
        </w:tc>
        <w:tc>
          <w:tcPr>
            <w:tcW w:w="1045"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单头猪尿液产生量（L/d·头）</w:t>
            </w:r>
          </w:p>
        </w:tc>
        <w:tc>
          <w:tcPr>
            <w:tcW w:w="88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猪尿液产生量（m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c>
          <w:tcPr>
            <w:tcW w:w="66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小计（m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652"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妊娠猪、空怀母猪</w:t>
            </w:r>
          </w:p>
        </w:tc>
        <w:tc>
          <w:tcPr>
            <w:tcW w:w="480"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1032"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20（夏季）</w:t>
            </w:r>
          </w:p>
        </w:tc>
        <w:tc>
          <w:tcPr>
            <w:tcW w:w="1045"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9.0</w:t>
            </w:r>
          </w:p>
        </w:tc>
        <w:tc>
          <w:tcPr>
            <w:tcW w:w="884" w:type="pct"/>
            <w:tcBorders>
              <w:top w:val="single" w:color="auto" w:sz="12" w:space="0"/>
            </w:tcBorders>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4.5</w:t>
            </w:r>
          </w:p>
        </w:tc>
        <w:tc>
          <w:tcPr>
            <w:tcW w:w="664"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1262.8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vMerge w:val="continue"/>
            <w:vAlign w:val="center"/>
          </w:tcPr>
          <w:p>
            <w:pPr>
              <w:pStyle w:val="332"/>
              <w:widowControl w:val="0"/>
              <w:rPr>
                <w:color w:val="000000" w:themeColor="text1"/>
                <w14:textFill>
                  <w14:solidFill>
                    <w14:schemeClr w14:val="tx1"/>
                  </w14:solidFill>
                </w14:textFill>
              </w:rPr>
            </w:pPr>
          </w:p>
        </w:tc>
        <w:tc>
          <w:tcPr>
            <w:tcW w:w="652" w:type="pct"/>
            <w:vMerge w:val="continue"/>
            <w:vAlign w:val="center"/>
          </w:tcPr>
          <w:p>
            <w:pPr>
              <w:pStyle w:val="332"/>
              <w:widowControl w:val="0"/>
              <w:rPr>
                <w:color w:val="000000" w:themeColor="text1"/>
                <w14:textFill>
                  <w14:solidFill>
                    <w14:schemeClr w14:val="tx1"/>
                  </w14:solidFill>
                </w14:textFill>
              </w:rPr>
            </w:pPr>
          </w:p>
        </w:tc>
        <w:tc>
          <w:tcPr>
            <w:tcW w:w="480" w:type="pct"/>
            <w:vMerge w:val="continue"/>
            <w:vAlign w:val="center"/>
          </w:tcPr>
          <w:p>
            <w:pPr>
              <w:pStyle w:val="332"/>
              <w:widowControl w:val="0"/>
              <w:rPr>
                <w:color w:val="000000" w:themeColor="text1"/>
                <w14:textFill>
                  <w14:solidFill>
                    <w14:schemeClr w14:val="tx1"/>
                  </w14:solidFill>
                </w14:textFill>
              </w:rPr>
            </w:pPr>
          </w:p>
        </w:tc>
        <w:tc>
          <w:tcPr>
            <w:tcW w:w="103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13（其他季节）</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5.9</w:t>
            </w:r>
          </w:p>
        </w:tc>
        <w:tc>
          <w:tcPr>
            <w:tcW w:w="884"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3.0</w:t>
            </w:r>
          </w:p>
        </w:tc>
        <w:tc>
          <w:tcPr>
            <w:tcW w:w="664"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652"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哺乳猪</w:t>
            </w:r>
          </w:p>
        </w:tc>
        <w:tc>
          <w:tcPr>
            <w:tcW w:w="480"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03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55（夏季）</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24.3</w:t>
            </w:r>
          </w:p>
        </w:tc>
        <w:tc>
          <w:tcPr>
            <w:tcW w:w="884"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2.4</w:t>
            </w:r>
          </w:p>
        </w:tc>
        <w:tc>
          <w:tcPr>
            <w:tcW w:w="664"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617.5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vMerge w:val="continue"/>
            <w:vAlign w:val="center"/>
          </w:tcPr>
          <w:p>
            <w:pPr>
              <w:pStyle w:val="332"/>
              <w:widowControl w:val="0"/>
              <w:rPr>
                <w:color w:val="000000" w:themeColor="text1"/>
                <w14:textFill>
                  <w14:solidFill>
                    <w14:schemeClr w14:val="tx1"/>
                  </w14:solidFill>
                </w14:textFill>
              </w:rPr>
            </w:pPr>
          </w:p>
        </w:tc>
        <w:tc>
          <w:tcPr>
            <w:tcW w:w="652" w:type="pct"/>
            <w:vMerge w:val="continue"/>
            <w:vAlign w:val="center"/>
          </w:tcPr>
          <w:p>
            <w:pPr>
              <w:pStyle w:val="332"/>
              <w:widowControl w:val="0"/>
              <w:rPr>
                <w:color w:val="000000" w:themeColor="text1"/>
                <w14:textFill>
                  <w14:solidFill>
                    <w14:schemeClr w14:val="tx1"/>
                  </w14:solidFill>
                </w14:textFill>
              </w:rPr>
            </w:pPr>
          </w:p>
        </w:tc>
        <w:tc>
          <w:tcPr>
            <w:tcW w:w="480" w:type="pct"/>
            <w:vMerge w:val="continue"/>
            <w:vAlign w:val="center"/>
          </w:tcPr>
          <w:p>
            <w:pPr>
              <w:pStyle w:val="332"/>
              <w:widowControl w:val="0"/>
              <w:rPr>
                <w:color w:val="000000" w:themeColor="text1"/>
                <w14:textFill>
                  <w14:solidFill>
                    <w14:schemeClr w14:val="tx1"/>
                  </w14:solidFill>
                </w14:textFill>
              </w:rPr>
            </w:pPr>
          </w:p>
        </w:tc>
        <w:tc>
          <w:tcPr>
            <w:tcW w:w="103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30（其他季节）</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13.3</w:t>
            </w:r>
          </w:p>
        </w:tc>
        <w:tc>
          <w:tcPr>
            <w:tcW w:w="884"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1.3</w:t>
            </w:r>
          </w:p>
        </w:tc>
        <w:tc>
          <w:tcPr>
            <w:tcW w:w="664"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652"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保育仔猪</w:t>
            </w:r>
          </w:p>
        </w:tc>
        <w:tc>
          <w:tcPr>
            <w:tcW w:w="480"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1404</w:t>
            </w:r>
          </w:p>
        </w:tc>
        <w:tc>
          <w:tcPr>
            <w:tcW w:w="103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4（夏季）</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2.0</w:t>
            </w:r>
          </w:p>
        </w:tc>
        <w:tc>
          <w:tcPr>
            <w:tcW w:w="884"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2.8</w:t>
            </w:r>
          </w:p>
        </w:tc>
        <w:tc>
          <w:tcPr>
            <w:tcW w:w="664"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749.8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vMerge w:val="continue"/>
            <w:vAlign w:val="center"/>
          </w:tcPr>
          <w:p>
            <w:pPr>
              <w:pStyle w:val="332"/>
              <w:widowControl w:val="0"/>
              <w:rPr>
                <w:color w:val="000000" w:themeColor="text1"/>
                <w14:textFill>
                  <w14:solidFill>
                    <w14:schemeClr w14:val="tx1"/>
                  </w14:solidFill>
                </w14:textFill>
              </w:rPr>
            </w:pPr>
          </w:p>
        </w:tc>
        <w:tc>
          <w:tcPr>
            <w:tcW w:w="652" w:type="pct"/>
            <w:vMerge w:val="continue"/>
            <w:vAlign w:val="center"/>
          </w:tcPr>
          <w:p>
            <w:pPr>
              <w:pStyle w:val="332"/>
              <w:widowControl w:val="0"/>
              <w:rPr>
                <w:color w:val="000000" w:themeColor="text1"/>
                <w14:textFill>
                  <w14:solidFill>
                    <w14:schemeClr w14:val="tx1"/>
                  </w14:solidFill>
                </w14:textFill>
              </w:rPr>
            </w:pPr>
          </w:p>
        </w:tc>
        <w:tc>
          <w:tcPr>
            <w:tcW w:w="480" w:type="pct"/>
            <w:vMerge w:val="continue"/>
            <w:vAlign w:val="center"/>
          </w:tcPr>
          <w:p>
            <w:pPr>
              <w:pStyle w:val="332"/>
              <w:widowControl w:val="0"/>
              <w:rPr>
                <w:color w:val="000000" w:themeColor="text1"/>
                <w14:textFill>
                  <w14:solidFill>
                    <w14:schemeClr w14:val="tx1"/>
                  </w14:solidFill>
                </w14:textFill>
              </w:rPr>
            </w:pPr>
          </w:p>
        </w:tc>
        <w:tc>
          <w:tcPr>
            <w:tcW w:w="103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2.2（其他季节）</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1.2</w:t>
            </w:r>
          </w:p>
        </w:tc>
        <w:tc>
          <w:tcPr>
            <w:tcW w:w="884"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1.7</w:t>
            </w:r>
          </w:p>
        </w:tc>
        <w:tc>
          <w:tcPr>
            <w:tcW w:w="664"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652"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育肥猪</w:t>
            </w:r>
          </w:p>
        </w:tc>
        <w:tc>
          <w:tcPr>
            <w:tcW w:w="480"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4165</w:t>
            </w:r>
          </w:p>
        </w:tc>
        <w:tc>
          <w:tcPr>
            <w:tcW w:w="103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11（夏季）</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5.0</w:t>
            </w:r>
          </w:p>
        </w:tc>
        <w:tc>
          <w:tcPr>
            <w:tcW w:w="884"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20.8</w:t>
            </w:r>
          </w:p>
        </w:tc>
        <w:tc>
          <w:tcPr>
            <w:tcW w:w="664"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5662.3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vMerge w:val="continue"/>
            <w:vAlign w:val="center"/>
          </w:tcPr>
          <w:p>
            <w:pPr>
              <w:pStyle w:val="332"/>
              <w:widowControl w:val="0"/>
              <w:rPr>
                <w:color w:val="000000" w:themeColor="text1"/>
                <w14:textFill>
                  <w14:solidFill>
                    <w14:schemeClr w14:val="tx1"/>
                  </w14:solidFill>
                </w14:textFill>
              </w:rPr>
            </w:pPr>
          </w:p>
        </w:tc>
        <w:tc>
          <w:tcPr>
            <w:tcW w:w="652" w:type="pct"/>
            <w:vMerge w:val="continue"/>
            <w:vAlign w:val="center"/>
          </w:tcPr>
          <w:p>
            <w:pPr>
              <w:pStyle w:val="332"/>
              <w:widowControl w:val="0"/>
              <w:rPr>
                <w:color w:val="000000" w:themeColor="text1"/>
                <w14:textFill>
                  <w14:solidFill>
                    <w14:schemeClr w14:val="tx1"/>
                  </w14:solidFill>
                </w14:textFill>
              </w:rPr>
            </w:pPr>
          </w:p>
        </w:tc>
        <w:tc>
          <w:tcPr>
            <w:tcW w:w="480" w:type="pct"/>
            <w:vMerge w:val="continue"/>
            <w:vAlign w:val="center"/>
          </w:tcPr>
          <w:p>
            <w:pPr>
              <w:pStyle w:val="332"/>
              <w:widowControl w:val="0"/>
              <w:rPr>
                <w:color w:val="000000" w:themeColor="text1"/>
                <w14:textFill>
                  <w14:solidFill>
                    <w14:schemeClr w14:val="tx1"/>
                  </w14:solidFill>
                </w14:textFill>
              </w:rPr>
            </w:pPr>
          </w:p>
        </w:tc>
        <w:tc>
          <w:tcPr>
            <w:tcW w:w="103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6.5（其他季节）</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3.1</w:t>
            </w:r>
          </w:p>
        </w:tc>
        <w:tc>
          <w:tcPr>
            <w:tcW w:w="884"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12.9</w:t>
            </w:r>
          </w:p>
        </w:tc>
        <w:tc>
          <w:tcPr>
            <w:tcW w:w="664"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652"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公猪、后备猪</w:t>
            </w:r>
          </w:p>
        </w:tc>
        <w:tc>
          <w:tcPr>
            <w:tcW w:w="480"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227</w:t>
            </w:r>
          </w:p>
        </w:tc>
        <w:tc>
          <w:tcPr>
            <w:tcW w:w="103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11（夏季）</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5.0</w:t>
            </w:r>
          </w:p>
        </w:tc>
        <w:tc>
          <w:tcPr>
            <w:tcW w:w="884"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1.1</w:t>
            </w:r>
          </w:p>
        </w:tc>
        <w:tc>
          <w:tcPr>
            <w:tcW w:w="664"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vMerge w:val="continue"/>
            <w:vAlign w:val="center"/>
          </w:tcPr>
          <w:p>
            <w:pPr>
              <w:pStyle w:val="332"/>
              <w:widowControl w:val="0"/>
              <w:rPr>
                <w:color w:val="000000" w:themeColor="text1"/>
                <w14:textFill>
                  <w14:solidFill>
                    <w14:schemeClr w14:val="tx1"/>
                  </w14:solidFill>
                </w14:textFill>
              </w:rPr>
            </w:pPr>
          </w:p>
        </w:tc>
        <w:tc>
          <w:tcPr>
            <w:tcW w:w="652" w:type="pct"/>
            <w:vMerge w:val="continue"/>
            <w:vAlign w:val="center"/>
          </w:tcPr>
          <w:p>
            <w:pPr>
              <w:pStyle w:val="332"/>
              <w:widowControl w:val="0"/>
              <w:rPr>
                <w:color w:val="000000" w:themeColor="text1"/>
                <w14:textFill>
                  <w14:solidFill>
                    <w14:schemeClr w14:val="tx1"/>
                  </w14:solidFill>
                </w14:textFill>
              </w:rPr>
            </w:pPr>
          </w:p>
        </w:tc>
        <w:tc>
          <w:tcPr>
            <w:tcW w:w="480" w:type="pct"/>
            <w:vMerge w:val="continue"/>
            <w:vAlign w:val="center"/>
          </w:tcPr>
          <w:p>
            <w:pPr>
              <w:pStyle w:val="332"/>
              <w:widowControl w:val="0"/>
              <w:rPr>
                <w:color w:val="000000" w:themeColor="text1"/>
                <w14:textFill>
                  <w14:solidFill>
                    <w14:schemeClr w14:val="tx1"/>
                  </w14:solidFill>
                </w14:textFill>
              </w:rPr>
            </w:pPr>
          </w:p>
        </w:tc>
        <w:tc>
          <w:tcPr>
            <w:tcW w:w="103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6.5（其他季节）</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3.1</w:t>
            </w:r>
          </w:p>
        </w:tc>
        <w:tc>
          <w:tcPr>
            <w:tcW w:w="884"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0.7</w:t>
            </w:r>
          </w:p>
        </w:tc>
        <w:tc>
          <w:tcPr>
            <w:tcW w:w="664"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5" w:type="pct"/>
            <w:gridSpan w:val="3"/>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03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夏季</w:t>
            </w:r>
          </w:p>
        </w:tc>
        <w:tc>
          <w:tcPr>
            <w:tcW w:w="1045" w:type="pct"/>
            <w:vAlign w:val="center"/>
          </w:tcPr>
          <w:p>
            <w:pPr>
              <w:pStyle w:val="332"/>
              <w:widowControl w:val="0"/>
              <w:rPr>
                <w:color w:val="000000" w:themeColor="text1"/>
                <w14:textFill>
                  <w14:solidFill>
                    <w14:schemeClr w14:val="tx1"/>
                  </w14:solidFill>
                </w14:textFill>
              </w:rPr>
            </w:pPr>
          </w:p>
        </w:tc>
        <w:tc>
          <w:tcPr>
            <w:tcW w:w="8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31.7</w:t>
            </w:r>
          </w:p>
        </w:tc>
        <w:tc>
          <w:tcPr>
            <w:tcW w:w="664"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8600.9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5" w:type="pct"/>
            <w:gridSpan w:val="3"/>
            <w:vMerge w:val="continue"/>
            <w:vAlign w:val="center"/>
          </w:tcPr>
          <w:p>
            <w:pPr>
              <w:pStyle w:val="332"/>
              <w:widowControl w:val="0"/>
              <w:rPr>
                <w:color w:val="000000" w:themeColor="text1"/>
                <w14:textFill>
                  <w14:solidFill>
                    <w14:schemeClr w14:val="tx1"/>
                  </w14:solidFill>
                </w14:textFill>
              </w:rPr>
            </w:pPr>
          </w:p>
        </w:tc>
        <w:tc>
          <w:tcPr>
            <w:tcW w:w="103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其他季节</w:t>
            </w:r>
          </w:p>
        </w:tc>
        <w:tc>
          <w:tcPr>
            <w:tcW w:w="1045" w:type="pct"/>
            <w:vAlign w:val="center"/>
          </w:tcPr>
          <w:p>
            <w:pPr>
              <w:pStyle w:val="332"/>
              <w:widowControl w:val="0"/>
              <w:rPr>
                <w:color w:val="000000" w:themeColor="text1"/>
                <w14:textFill>
                  <w14:solidFill>
                    <w14:schemeClr w14:val="tx1"/>
                  </w14:solidFill>
                </w14:textFill>
              </w:rPr>
            </w:pPr>
          </w:p>
        </w:tc>
        <w:tc>
          <w:tcPr>
            <w:tcW w:w="8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19.6</w:t>
            </w:r>
          </w:p>
        </w:tc>
        <w:tc>
          <w:tcPr>
            <w:tcW w:w="664" w:type="pct"/>
            <w:vMerge w:val="continue"/>
            <w:vAlign w:val="center"/>
          </w:tcPr>
          <w:p>
            <w:pPr>
              <w:pStyle w:val="332"/>
              <w:widowControl w:val="0"/>
              <w:rPr>
                <w:color w:val="000000" w:themeColor="text1"/>
                <w14:textFill>
                  <w14:solidFill>
                    <w14:schemeClr w14:val="tx1"/>
                  </w14:solidFill>
                </w14:textFill>
              </w:rPr>
            </w:pPr>
          </w:p>
        </w:tc>
      </w:tr>
    </w:tbl>
    <w:p>
      <w:pPr>
        <w:ind w:firstLine="480"/>
        <w:rPr>
          <w:rFonts w:cs="Times New Roman"/>
          <w:color w:val="000000" w:themeColor="text1"/>
          <w:lang w:bidi="en-US"/>
          <w14:textFill>
            <w14:solidFill>
              <w14:schemeClr w14:val="tx1"/>
            </w14:solidFill>
          </w14:textFill>
        </w:rPr>
      </w:pPr>
      <w:bookmarkStart w:id="363" w:name="_Hlk26708316"/>
      <w:r>
        <w:rPr>
          <w:rFonts w:cs="Times New Roman"/>
          <w:color w:val="000000" w:themeColor="text1"/>
          <w:lang w:bidi="en-US"/>
          <w14:textFill>
            <w14:solidFill>
              <w14:schemeClr w14:val="tx1"/>
            </w14:solidFill>
          </w14:textFill>
        </w:rPr>
        <w:fldChar w:fldCharType="begin"/>
      </w:r>
      <w:r>
        <w:rPr>
          <w:rFonts w:cs="Times New Roman"/>
          <w:color w:val="000000" w:themeColor="text1"/>
          <w:lang w:bidi="en-US"/>
          <w14:textFill>
            <w14:solidFill>
              <w14:schemeClr w14:val="tx1"/>
            </w14:solidFill>
          </w14:textFill>
        </w:rPr>
        <w:instrText xml:space="preserve"> = 3 \* GB3 </w:instrText>
      </w:r>
      <w:r>
        <w:rPr>
          <w:rFonts w:cs="Times New Roman"/>
          <w:color w:val="000000" w:themeColor="text1"/>
          <w:lang w:bidi="en-US"/>
          <w14:textFill>
            <w14:solidFill>
              <w14:schemeClr w14:val="tx1"/>
            </w14:solidFill>
          </w14:textFill>
        </w:rPr>
        <w:fldChar w:fldCharType="separate"/>
      </w:r>
      <w:r>
        <w:rPr>
          <w:rFonts w:hint="eastAsia" w:ascii="宋体" w:hAnsi="宋体" w:cs="宋体"/>
          <w:color w:val="000000" w:themeColor="text1"/>
          <w:lang w:bidi="en-US"/>
          <w14:textFill>
            <w14:solidFill>
              <w14:schemeClr w14:val="tx1"/>
            </w14:solidFill>
          </w14:textFill>
        </w:rPr>
        <w:t>③</w:t>
      </w:r>
      <w:r>
        <w:rPr>
          <w:rFonts w:cs="Times New Roman"/>
          <w:color w:val="000000" w:themeColor="text1"/>
          <w14:textFill>
            <w14:solidFill>
              <w14:schemeClr w14:val="tx1"/>
            </w14:solidFill>
          </w14:textFill>
        </w:rPr>
        <w:fldChar w:fldCharType="end"/>
      </w:r>
      <w:bookmarkEnd w:id="363"/>
      <w:r>
        <w:rPr>
          <w:rFonts w:cs="Times New Roman"/>
          <w:color w:val="000000" w:themeColor="text1"/>
          <w:lang w:bidi="en-US"/>
          <w14:textFill>
            <w14:solidFill>
              <w14:schemeClr w14:val="tx1"/>
            </w14:solidFill>
          </w14:textFill>
        </w:rPr>
        <w:t>猪舍冲洗废水</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 xml:space="preserve">清洗废水排放量按用水量的90%计，则废水量为3.74 </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r>
        <w:rPr>
          <w:rFonts w:cs="Times New Roman"/>
          <w:color w:val="000000" w:themeColor="text1"/>
          <w:lang w:bidi="en-US"/>
          <w14:textFill>
            <w14:solidFill>
              <w14:schemeClr w14:val="tx1"/>
            </w14:solidFill>
          </w14:textFill>
        </w:rPr>
        <w:t>（</w:t>
      </w:r>
      <w:r>
        <w:rPr>
          <w:rFonts w:cs="Times New Roman"/>
          <w:color w:val="000000" w:themeColor="text1"/>
          <w14:textFill>
            <w14:solidFill>
              <w14:schemeClr w14:val="tx1"/>
            </w14:solidFill>
          </w14:textFill>
        </w:rPr>
        <w:t>1364.38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r>
        <w:rPr>
          <w:rFonts w:cs="Times New Roman"/>
          <w:color w:val="000000" w:themeColor="text1"/>
          <w:lang w:bidi="en-US"/>
          <w14:textFill>
            <w14:solidFill>
              <w14:schemeClr w14:val="tx1"/>
            </w14:solidFill>
          </w14:textFill>
        </w:rPr>
        <w:t>）。</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fldChar w:fldCharType="begin"/>
      </w:r>
      <w:r>
        <w:rPr>
          <w:rFonts w:cs="Times New Roman"/>
          <w:color w:val="000000" w:themeColor="text1"/>
          <w:lang w:bidi="en-US"/>
          <w14:textFill>
            <w14:solidFill>
              <w14:schemeClr w14:val="tx1"/>
            </w14:solidFill>
          </w14:textFill>
        </w:rPr>
        <w:instrText xml:space="preserve"> = 4 \* GB3 </w:instrText>
      </w:r>
      <w:r>
        <w:rPr>
          <w:rFonts w:cs="Times New Roman"/>
          <w:color w:val="000000" w:themeColor="text1"/>
          <w:lang w:bidi="en-US"/>
          <w14:textFill>
            <w14:solidFill>
              <w14:schemeClr w14:val="tx1"/>
            </w14:solidFill>
          </w14:textFill>
        </w:rPr>
        <w:fldChar w:fldCharType="separate"/>
      </w:r>
      <w:r>
        <w:rPr>
          <w:rFonts w:hint="eastAsia" w:ascii="宋体" w:hAnsi="宋体" w:cs="宋体"/>
          <w:color w:val="000000" w:themeColor="text1"/>
          <w:lang w:bidi="en-US"/>
          <w14:textFill>
            <w14:solidFill>
              <w14:schemeClr w14:val="tx1"/>
            </w14:solidFill>
          </w14:textFill>
        </w:rPr>
        <w:t>④</w:t>
      </w:r>
      <w:r>
        <w:rPr>
          <w:rFonts w:cs="Times New Roman"/>
          <w:color w:val="000000" w:themeColor="text1"/>
          <w14:textFill>
            <w14:solidFill>
              <w14:schemeClr w14:val="tx1"/>
            </w14:solidFill>
          </w14:textFill>
        </w:rPr>
        <w:fldChar w:fldCharType="end"/>
      </w:r>
      <w:r>
        <w:rPr>
          <w:rFonts w:cs="Times New Roman"/>
          <w:color w:val="000000" w:themeColor="text1"/>
          <w:lang w:bidi="en-US"/>
          <w14:textFill>
            <w14:solidFill>
              <w14:schemeClr w14:val="tx1"/>
            </w14:solidFill>
          </w14:textFill>
        </w:rPr>
        <w:t>分娩猪清洗废水</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 xml:space="preserve">清洗废水排放量按用水量的90%计，则废水量为0.099 </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r>
        <w:rPr>
          <w:rFonts w:cs="Times New Roman"/>
          <w:color w:val="000000" w:themeColor="text1"/>
          <w:lang w:bidi="en-US"/>
          <w14:textFill>
            <w14:solidFill>
              <w14:schemeClr w14:val="tx1"/>
            </w14:solidFill>
          </w14:textFill>
        </w:rPr>
        <w:t>（36.14</w:t>
      </w:r>
      <w:r>
        <w:rPr>
          <w:rFonts w:cs="Times New Roman"/>
          <w:color w:val="000000" w:themeColor="text1"/>
          <w14:textFill>
            <w14:solidFill>
              <w14:schemeClr w14:val="tx1"/>
            </w14:solidFill>
          </w14:textFill>
        </w:rPr>
        <w:t xml:space="preserve">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r>
        <w:rPr>
          <w:rFonts w:cs="Times New Roman"/>
          <w:color w:val="000000" w:themeColor="text1"/>
          <w:lang w:bidi="en-US"/>
          <w14:textFill>
            <w14:solidFill>
              <w14:schemeClr w14:val="tx1"/>
            </w14:solidFill>
          </w14:textFill>
        </w:rPr>
        <w:t>）。</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lang w:bidi="en-US"/>
          <w14:textFill>
            <w14:solidFill>
              <w14:schemeClr w14:val="tx1"/>
            </w14:solidFill>
          </w14:textFill>
        </w:rPr>
        <w:fldChar w:fldCharType="begin"/>
      </w:r>
      <w:r>
        <w:rPr>
          <w:rFonts w:cs="Times New Roman"/>
          <w:color w:val="000000" w:themeColor="text1"/>
          <w:lang w:bidi="en-US"/>
          <w14:textFill>
            <w14:solidFill>
              <w14:schemeClr w14:val="tx1"/>
            </w14:solidFill>
          </w14:textFill>
        </w:rPr>
        <w:instrText xml:space="preserve"> = 5 \* GB3 </w:instrText>
      </w:r>
      <w:r>
        <w:rPr>
          <w:rFonts w:cs="Times New Roman"/>
          <w:color w:val="000000" w:themeColor="text1"/>
          <w:lang w:bidi="en-US"/>
          <w14:textFill>
            <w14:solidFill>
              <w14:schemeClr w14:val="tx1"/>
            </w14:solidFill>
          </w14:textFill>
        </w:rPr>
        <w:fldChar w:fldCharType="separate"/>
      </w:r>
      <w:r>
        <w:rPr>
          <w:rFonts w:hint="eastAsia" w:ascii="宋体" w:hAnsi="宋体" w:cs="宋体"/>
          <w:color w:val="000000" w:themeColor="text1"/>
          <w:lang w:bidi="en-US"/>
          <w14:textFill>
            <w14:solidFill>
              <w14:schemeClr w14:val="tx1"/>
            </w14:solidFill>
          </w14:textFill>
        </w:rPr>
        <w:t>⑤</w:t>
      </w:r>
      <w:r>
        <w:rPr>
          <w:rFonts w:cs="Times New Roman"/>
          <w:color w:val="000000" w:themeColor="text1"/>
          <w14:textFill>
            <w14:solidFill>
              <w14:schemeClr w14:val="tx1"/>
            </w14:solidFill>
          </w14:textFill>
        </w:rPr>
        <w:fldChar w:fldCharType="end"/>
      </w:r>
      <w:r>
        <w:rPr>
          <w:rFonts w:cs="Times New Roman"/>
          <w:color w:val="000000" w:themeColor="text1"/>
          <w:kern w:val="0"/>
          <w:szCs w:val="24"/>
          <w14:textFill>
            <w14:solidFill>
              <w14:schemeClr w14:val="tx1"/>
            </w14:solidFill>
          </w14:textFill>
        </w:rPr>
        <w:t>器具清洗废水</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清洗废水排放量按用水量的90%计，则废水量为</w:t>
      </w:r>
      <w:r>
        <w:rPr>
          <w:rFonts w:cs="Times New Roman"/>
          <w:color w:val="000000" w:themeColor="text1"/>
          <w:kern w:val="0"/>
          <w:szCs w:val="24"/>
          <w14:textFill>
            <w14:solidFill>
              <w14:schemeClr w14:val="tx1"/>
            </w14:solidFill>
          </w14:textFill>
        </w:rPr>
        <w:t xml:space="preserve">2.16 </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cs="Times New Roman"/>
          <w:color w:val="000000" w:themeColor="text1"/>
          <w:kern w:val="0"/>
          <w:szCs w:val="24"/>
          <w:lang w:bidi="en-US"/>
          <w14:textFill>
            <w14:solidFill>
              <w14:schemeClr w14:val="tx1"/>
            </w14:solidFill>
          </w14:textFill>
        </w:rPr>
        <w:t>/d</w:t>
      </w:r>
      <w:r>
        <w:rPr>
          <w:rFonts w:cs="Times New Roman"/>
          <w:color w:val="000000" w:themeColor="text1"/>
          <w:kern w:val="0"/>
          <w:szCs w:val="24"/>
          <w14:textFill>
            <w14:solidFill>
              <w14:schemeClr w14:val="tx1"/>
            </w14:solidFill>
          </w14:textFill>
        </w:rPr>
        <w:t>（788.4</w:t>
      </w:r>
      <w:r>
        <w:rPr>
          <w:rFonts w:cs="Times New Roman"/>
          <w:color w:val="000000" w:themeColor="text1"/>
          <w14:textFill>
            <w14:solidFill>
              <w14:schemeClr w14:val="tx1"/>
            </w14:solidFill>
          </w14:textFill>
        </w:rPr>
        <w:t xml:space="preserve">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r>
        <w:rPr>
          <w:rFonts w:cs="Times New Roman"/>
          <w:color w:val="000000" w:themeColor="text1"/>
          <w:kern w:val="0"/>
          <w:szCs w:val="24"/>
          <w14:textFill>
            <w14:solidFill>
              <w14:schemeClr w14:val="tx1"/>
            </w14:solidFill>
          </w14:textFill>
        </w:rPr>
        <w:t>）</w:t>
      </w:r>
      <w:r>
        <w:rPr>
          <w:rFonts w:cs="Times New Roman"/>
          <w:color w:val="000000" w:themeColor="text1"/>
          <w:lang w:bidi="en-US"/>
          <w14:textFill>
            <w14:solidFill>
              <w14:schemeClr w14:val="tx1"/>
            </w14:solidFill>
          </w14:textFill>
        </w:rPr>
        <w:t>。</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fldChar w:fldCharType="begin"/>
      </w:r>
      <w:r>
        <w:rPr>
          <w:rFonts w:cs="Times New Roman"/>
          <w:color w:val="000000" w:themeColor="text1"/>
          <w:lang w:bidi="en-US"/>
          <w14:textFill>
            <w14:solidFill>
              <w14:schemeClr w14:val="tx1"/>
            </w14:solidFill>
          </w14:textFill>
        </w:rPr>
        <w:instrText xml:space="preserve"> = 6 \* GB3 </w:instrText>
      </w:r>
      <w:r>
        <w:rPr>
          <w:rFonts w:cs="Times New Roman"/>
          <w:color w:val="000000" w:themeColor="text1"/>
          <w:lang w:bidi="en-US"/>
          <w14:textFill>
            <w14:solidFill>
              <w14:schemeClr w14:val="tx1"/>
            </w14:solidFill>
          </w14:textFill>
        </w:rPr>
        <w:fldChar w:fldCharType="separate"/>
      </w:r>
      <w:r>
        <w:rPr>
          <w:rFonts w:hint="eastAsia" w:ascii="宋体" w:hAnsi="宋体" w:cs="宋体"/>
          <w:color w:val="000000" w:themeColor="text1"/>
          <w:lang w:bidi="en-US"/>
          <w14:textFill>
            <w14:solidFill>
              <w14:schemeClr w14:val="tx1"/>
            </w14:solidFill>
          </w14:textFill>
        </w:rPr>
        <w:t>⑥</w:t>
      </w:r>
      <w:r>
        <w:rPr>
          <w:rFonts w:cs="Times New Roman"/>
          <w:color w:val="000000" w:themeColor="text1"/>
          <w14:textFill>
            <w14:solidFill>
              <w14:schemeClr w14:val="tx1"/>
            </w14:solidFill>
          </w14:textFill>
        </w:rPr>
        <w:fldChar w:fldCharType="end"/>
      </w:r>
      <w:r>
        <w:rPr>
          <w:rFonts w:cs="Times New Roman"/>
          <w:color w:val="000000" w:themeColor="text1"/>
          <w:lang w:bidi="en-US"/>
          <w14:textFill>
            <w14:solidFill>
              <w14:schemeClr w14:val="tx1"/>
            </w14:solidFill>
          </w14:textFill>
        </w:rPr>
        <w:t>无害化设备冷凝水</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根据猪体成分相关资料调查，猪只水分含量约占猪体质量的60%，病死猪产量约13.09 t/a，水分含量为7.85 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/a（折0.02 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/d），物料水分在加热升温过程中水分蒸发约80%，水蒸气经设备自带的冷凝系统冷凝后排入废水处理系统，产生量6.28 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/a（折0.017 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/d）。</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fldChar w:fldCharType="begin"/>
      </w:r>
      <w:r>
        <w:rPr>
          <w:rFonts w:cs="Times New Roman"/>
          <w:color w:val="000000" w:themeColor="text1"/>
          <w:lang w:bidi="en-US"/>
          <w14:textFill>
            <w14:solidFill>
              <w14:schemeClr w14:val="tx1"/>
            </w14:solidFill>
          </w14:textFill>
        </w:rPr>
        <w:instrText xml:space="preserve"> = 7 \* GB3 </w:instrText>
      </w:r>
      <w:r>
        <w:rPr>
          <w:rFonts w:cs="Times New Roman"/>
          <w:color w:val="000000" w:themeColor="text1"/>
          <w:lang w:bidi="en-US"/>
          <w14:textFill>
            <w14:solidFill>
              <w14:schemeClr w14:val="tx1"/>
            </w14:solidFill>
          </w14:textFill>
        </w:rPr>
        <w:fldChar w:fldCharType="separate"/>
      </w:r>
      <w:r>
        <w:rPr>
          <w:rFonts w:hint="eastAsia" w:ascii="宋体" w:hAnsi="宋体" w:cs="宋体"/>
          <w:color w:val="000000" w:themeColor="text1"/>
          <w:lang w:bidi="en-US"/>
          <w14:textFill>
            <w14:solidFill>
              <w14:schemeClr w14:val="tx1"/>
            </w14:solidFill>
          </w14:textFill>
        </w:rPr>
        <w:t>⑦</w:t>
      </w:r>
      <w:r>
        <w:rPr>
          <w:rFonts w:cs="Times New Roman"/>
          <w:color w:val="000000" w:themeColor="text1"/>
          <w:lang w:bidi="en-US"/>
          <w14:textFill>
            <w14:solidFill>
              <w14:schemeClr w14:val="tx1"/>
            </w14:solidFill>
          </w14:textFill>
        </w:rPr>
        <w:fldChar w:fldCharType="end"/>
      </w:r>
      <w:r>
        <w:rPr>
          <w:rFonts w:cs="Times New Roman"/>
          <w:color w:val="000000" w:themeColor="text1"/>
          <w:lang w:bidi="en-US"/>
          <w14:textFill>
            <w14:solidFill>
              <w14:schemeClr w14:val="tx1"/>
            </w14:solidFill>
          </w14:textFill>
        </w:rPr>
        <w:t>堆肥发酵场滤液</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本项目粪污处理固液分离工段分离出的固态猪粪1351.7 t/a（3.7 t/d）直接进行堆肥；而厌氧塘产生的沼渣</w:t>
      </w:r>
      <w:r>
        <w:rPr>
          <w:rFonts w:cs="Times New Roman"/>
          <w:color w:val="000000" w:themeColor="text1"/>
          <w14:textFill>
            <w14:solidFill>
              <w14:schemeClr w14:val="tx1"/>
            </w14:solidFill>
          </w14:textFill>
        </w:rPr>
        <w:t>750.95 t/a（2.1 t/d）</w:t>
      </w:r>
      <w:r>
        <w:rPr>
          <w:rFonts w:cs="Times New Roman"/>
          <w:color w:val="000000" w:themeColor="text1"/>
          <w:lang w:bidi="en-US"/>
          <w14:textFill>
            <w14:solidFill>
              <w14:schemeClr w14:val="tx1"/>
            </w14:solidFill>
          </w14:textFill>
        </w:rPr>
        <w:t>，就近运至有机肥粪棚堆肥发酵，猪粪和沼渣经堆肥后产生的有机肥967.25 t/a（2.7</w:t>
      </w:r>
      <w:r>
        <w:rPr>
          <w:rFonts w:cs="Times New Roman"/>
          <w:color w:val="000000" w:themeColor="text1"/>
          <w14:textFill>
            <w14:solidFill>
              <w14:schemeClr w14:val="tx1"/>
            </w14:solidFill>
          </w14:textFill>
        </w:rPr>
        <w:t xml:space="preserve"> t/d</w:t>
      </w:r>
      <w:r>
        <w:rPr>
          <w:rFonts w:cs="Times New Roman"/>
          <w:color w:val="000000" w:themeColor="text1"/>
          <w:lang w:bidi="en-US"/>
          <w14:textFill>
            <w14:solidFill>
              <w14:schemeClr w14:val="tx1"/>
            </w14:solidFill>
          </w14:textFill>
        </w:rPr>
        <w:t>），产生的滤液1135.4 t/a（3.1</w:t>
      </w:r>
      <w:r>
        <w:rPr>
          <w:rFonts w:cs="Times New Roman"/>
          <w:color w:val="000000" w:themeColor="text1"/>
          <w14:textFill>
            <w14:solidFill>
              <w14:schemeClr w14:val="tx1"/>
            </w14:solidFill>
          </w14:textFill>
        </w:rPr>
        <w:t xml:space="preserve"> t/d</w:t>
      </w:r>
      <w:r>
        <w:rPr>
          <w:rFonts w:cs="Times New Roman"/>
          <w:color w:val="000000" w:themeColor="text1"/>
          <w:lang w:bidi="en-US"/>
          <w14:textFill>
            <w14:solidFill>
              <w14:schemeClr w14:val="tx1"/>
            </w14:solidFill>
          </w14:textFill>
        </w:rPr>
        <w:t>），顺底部斜坡自流至沼液塘进行处理。</w:t>
      </w:r>
    </w:p>
    <w:p>
      <w:pPr>
        <w:ind w:firstLine="480"/>
        <w:rPr>
          <w:rFonts w:cs="Times New Roman"/>
          <w:color w:val="000000" w:themeColor="text1"/>
          <w:lang w:bidi="en-US"/>
          <w14:textFill>
            <w14:solidFill>
              <w14:schemeClr w14:val="tx1"/>
            </w14:solidFill>
          </w14:textFill>
        </w:rPr>
      </w:pPr>
      <w:bookmarkStart w:id="364" w:name="_Hlk26710201"/>
      <w:r>
        <w:rPr>
          <w:rFonts w:cs="Times New Roman"/>
          <w:color w:val="000000" w:themeColor="text1"/>
          <w:lang w:bidi="en-US"/>
          <w14:textFill>
            <w14:solidFill>
              <w14:schemeClr w14:val="tx1"/>
            </w14:solidFill>
          </w14:textFill>
        </w:rPr>
        <w:t>综上，项目建成后废水产生量约为42.98 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/d（夏季）、30.88 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/d（其他季节），共计</w:t>
      </w:r>
      <w:r>
        <w:rPr>
          <w:rFonts w:cs="Times New Roman"/>
          <w:color w:val="000000" w:themeColor="text1"/>
          <w14:textFill>
            <w14:solidFill>
              <w14:schemeClr w14:val="tx1"/>
            </w14:solidFill>
          </w14:textFill>
        </w:rPr>
        <w:t xml:space="preserve">12719.9 </w:t>
      </w:r>
      <w:r>
        <w:rPr>
          <w:rFonts w:cs="Times New Roman"/>
          <w:color w:val="000000" w:themeColor="text1"/>
          <w:lang w:bidi="en-US"/>
          <w14:textFill>
            <w14:solidFill>
              <w14:schemeClr w14:val="tx1"/>
            </w14:solidFill>
          </w14:textFill>
        </w:rPr>
        <w:t>t/a。</w:t>
      </w:r>
      <w:bookmarkEnd w:id="364"/>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本项目场区用排水情况详见表3.2-4。水平衡情况见图3.2-1、3.2-2、3.2-3。</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表3.2-4 项目用排水情况一览表</w:t>
      </w: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772"/>
        <w:gridCol w:w="1307"/>
        <w:gridCol w:w="1053"/>
        <w:gridCol w:w="870"/>
        <w:gridCol w:w="1031"/>
        <w:gridCol w:w="756"/>
        <w:gridCol w:w="924"/>
        <w:gridCol w:w="17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61" w:type="pct"/>
            <w:gridSpan w:val="2"/>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用水项目</w:t>
            </w:r>
          </w:p>
        </w:tc>
        <w:tc>
          <w:tcPr>
            <w:tcW w:w="721"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用水系数</w:t>
            </w:r>
          </w:p>
        </w:tc>
        <w:tc>
          <w:tcPr>
            <w:tcW w:w="581"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用水</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规模</w:t>
            </w:r>
          </w:p>
        </w:tc>
        <w:tc>
          <w:tcPr>
            <w:tcW w:w="1049" w:type="pct"/>
            <w:gridSpan w:val="2"/>
            <w:tcBorders>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用水量</w:t>
            </w:r>
          </w:p>
        </w:tc>
        <w:tc>
          <w:tcPr>
            <w:tcW w:w="927" w:type="pct"/>
            <w:gridSpan w:val="2"/>
            <w:tcBorders>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废水量</w:t>
            </w:r>
          </w:p>
        </w:tc>
        <w:tc>
          <w:tcPr>
            <w:tcW w:w="961"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61" w:type="pct"/>
            <w:gridSpan w:val="2"/>
            <w:vMerge w:val="continue"/>
            <w:tcBorders>
              <w:bottom w:val="single" w:color="auto" w:sz="12" w:space="0"/>
            </w:tcBorders>
            <w:vAlign w:val="center"/>
          </w:tcPr>
          <w:p>
            <w:pPr>
              <w:pStyle w:val="332"/>
              <w:widowControl w:val="0"/>
              <w:rPr>
                <w:color w:val="000000" w:themeColor="text1"/>
                <w14:textFill>
                  <w14:solidFill>
                    <w14:schemeClr w14:val="tx1"/>
                  </w14:solidFill>
                </w14:textFill>
              </w:rPr>
            </w:pPr>
          </w:p>
        </w:tc>
        <w:tc>
          <w:tcPr>
            <w:tcW w:w="721" w:type="pct"/>
            <w:vMerge w:val="continue"/>
            <w:tcBorders>
              <w:bottom w:val="single" w:color="auto" w:sz="12" w:space="0"/>
            </w:tcBorders>
            <w:vAlign w:val="center"/>
          </w:tcPr>
          <w:p>
            <w:pPr>
              <w:pStyle w:val="332"/>
              <w:widowControl w:val="0"/>
              <w:rPr>
                <w:color w:val="000000" w:themeColor="text1"/>
                <w14:textFill>
                  <w14:solidFill>
                    <w14:schemeClr w14:val="tx1"/>
                  </w14:solidFill>
                </w14:textFill>
              </w:rPr>
            </w:pPr>
          </w:p>
        </w:tc>
        <w:tc>
          <w:tcPr>
            <w:tcW w:w="581" w:type="pct"/>
            <w:vMerge w:val="continue"/>
            <w:tcBorders>
              <w:bottom w:val="single" w:color="auto" w:sz="12" w:space="0"/>
            </w:tcBorders>
            <w:vAlign w:val="center"/>
          </w:tcPr>
          <w:p>
            <w:pPr>
              <w:pStyle w:val="332"/>
              <w:widowControl w:val="0"/>
              <w:rPr>
                <w:color w:val="000000" w:themeColor="text1"/>
                <w14:textFill>
                  <w14:solidFill>
                    <w14:schemeClr w14:val="tx1"/>
                  </w14:solidFill>
                </w14:textFill>
              </w:rPr>
            </w:pPr>
          </w:p>
        </w:tc>
        <w:tc>
          <w:tcPr>
            <w:tcW w:w="480" w:type="pct"/>
            <w:tcBorders>
              <w:top w:val="single" w:color="auto" w:sz="4"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m</w:t>
            </w:r>
            <w:r>
              <w:rPr>
                <w:color w:val="000000" w:themeColor="text1"/>
                <w:vertAlign w:val="superscript"/>
                <w:lang w:bidi="en-US"/>
                <w14:textFill>
                  <w14:solidFill>
                    <w14:schemeClr w14:val="tx1"/>
                  </w14:solidFill>
                </w14:textFill>
              </w:rPr>
              <w:t>3</w:t>
            </w:r>
            <w:r>
              <w:rPr>
                <w:color w:val="000000" w:themeColor="text1"/>
                <w:lang w:bidi="en-US"/>
                <w14:textFill>
                  <w14:solidFill>
                    <w14:schemeClr w14:val="tx1"/>
                  </w14:solidFill>
                </w14:textFill>
              </w:rPr>
              <w:t>/d</w:t>
            </w:r>
          </w:p>
        </w:tc>
        <w:tc>
          <w:tcPr>
            <w:tcW w:w="569" w:type="pct"/>
            <w:tcBorders>
              <w:top w:val="single" w:color="auto" w:sz="4"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417" w:type="pct"/>
            <w:tcBorders>
              <w:top w:val="single" w:color="auto" w:sz="4"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m</w:t>
            </w:r>
            <w:r>
              <w:rPr>
                <w:color w:val="000000" w:themeColor="text1"/>
                <w:vertAlign w:val="superscript"/>
                <w:lang w:bidi="en-US"/>
                <w14:textFill>
                  <w14:solidFill>
                    <w14:schemeClr w14:val="tx1"/>
                  </w14:solidFill>
                </w14:textFill>
              </w:rPr>
              <w:t>3</w:t>
            </w:r>
            <w:r>
              <w:rPr>
                <w:color w:val="000000" w:themeColor="text1"/>
                <w:lang w:bidi="en-US"/>
                <w14:textFill>
                  <w14:solidFill>
                    <w14:schemeClr w14:val="tx1"/>
                  </w14:solidFill>
                </w14:textFill>
              </w:rPr>
              <w:t>/d</w:t>
            </w:r>
          </w:p>
        </w:tc>
        <w:tc>
          <w:tcPr>
            <w:tcW w:w="510" w:type="pct"/>
            <w:tcBorders>
              <w:top w:val="single" w:color="auto" w:sz="4"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961" w:type="pct"/>
            <w:vMerge w:val="continue"/>
            <w:tcBorders>
              <w:bottom w:val="single" w:color="auto" w:sz="12" w:space="0"/>
            </w:tcBorders>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1" w:type="pct"/>
            <w:gridSpan w:val="2"/>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生活用水</w:t>
            </w:r>
          </w:p>
        </w:tc>
        <w:tc>
          <w:tcPr>
            <w:tcW w:w="721"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90 L/人·d</w:t>
            </w:r>
          </w:p>
        </w:tc>
        <w:tc>
          <w:tcPr>
            <w:tcW w:w="581"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30人</w:t>
            </w:r>
          </w:p>
        </w:tc>
        <w:tc>
          <w:tcPr>
            <w:tcW w:w="480"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2.7</w:t>
            </w:r>
          </w:p>
        </w:tc>
        <w:tc>
          <w:tcPr>
            <w:tcW w:w="569"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985.5</w:t>
            </w:r>
          </w:p>
        </w:tc>
        <w:tc>
          <w:tcPr>
            <w:tcW w:w="417"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2.16</w:t>
            </w:r>
          </w:p>
        </w:tc>
        <w:tc>
          <w:tcPr>
            <w:tcW w:w="510"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788.4</w:t>
            </w:r>
          </w:p>
        </w:tc>
        <w:tc>
          <w:tcPr>
            <w:tcW w:w="961"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1" w:type="pct"/>
            <w:gridSpan w:val="2"/>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猪饮用水</w:t>
            </w:r>
          </w:p>
        </w:tc>
        <w:tc>
          <w:tcPr>
            <w:tcW w:w="1302" w:type="pct"/>
            <w:gridSpan w:val="2"/>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见表3.2-1</w:t>
            </w:r>
          </w:p>
        </w:tc>
        <w:tc>
          <w:tcPr>
            <w:tcW w:w="48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69.44</w:t>
            </w:r>
          </w:p>
        </w:tc>
        <w:tc>
          <w:tcPr>
            <w:tcW w:w="56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18409.88</w:t>
            </w:r>
          </w:p>
        </w:tc>
        <w:tc>
          <w:tcPr>
            <w:tcW w:w="41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31.7</w:t>
            </w:r>
          </w:p>
        </w:tc>
        <w:tc>
          <w:tcPr>
            <w:tcW w:w="510"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8600.9</w:t>
            </w:r>
          </w:p>
        </w:tc>
        <w:tc>
          <w:tcPr>
            <w:tcW w:w="96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夏季120天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1" w:type="pct"/>
            <w:gridSpan w:val="2"/>
            <w:vMerge w:val="continue"/>
            <w:vAlign w:val="center"/>
          </w:tcPr>
          <w:p>
            <w:pPr>
              <w:pStyle w:val="332"/>
              <w:widowControl w:val="0"/>
              <w:rPr>
                <w:color w:val="000000" w:themeColor="text1"/>
                <w14:textFill>
                  <w14:solidFill>
                    <w14:schemeClr w14:val="tx1"/>
                  </w14:solidFill>
                </w14:textFill>
              </w:rPr>
            </w:pPr>
          </w:p>
        </w:tc>
        <w:tc>
          <w:tcPr>
            <w:tcW w:w="1302" w:type="pct"/>
            <w:gridSpan w:val="2"/>
            <w:vMerge w:val="continue"/>
            <w:vAlign w:val="center"/>
          </w:tcPr>
          <w:p>
            <w:pPr>
              <w:pStyle w:val="332"/>
              <w:widowControl w:val="0"/>
              <w:rPr>
                <w:color w:val="000000" w:themeColor="text1"/>
                <w14:textFill>
                  <w14:solidFill>
                    <w14:schemeClr w14:val="tx1"/>
                  </w14:solidFill>
                </w14:textFill>
              </w:rPr>
            </w:pPr>
          </w:p>
        </w:tc>
        <w:tc>
          <w:tcPr>
            <w:tcW w:w="48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41.14</w:t>
            </w:r>
          </w:p>
        </w:tc>
        <w:tc>
          <w:tcPr>
            <w:tcW w:w="569" w:type="pct"/>
            <w:vMerge w:val="continue"/>
            <w:vAlign w:val="center"/>
          </w:tcPr>
          <w:p>
            <w:pPr>
              <w:pStyle w:val="332"/>
              <w:widowControl w:val="0"/>
              <w:rPr>
                <w:color w:val="000000" w:themeColor="text1"/>
                <w14:textFill>
                  <w14:solidFill>
                    <w14:schemeClr w14:val="tx1"/>
                  </w14:solidFill>
                </w14:textFill>
              </w:rPr>
            </w:pPr>
          </w:p>
        </w:tc>
        <w:tc>
          <w:tcPr>
            <w:tcW w:w="41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19.6</w:t>
            </w:r>
          </w:p>
        </w:tc>
        <w:tc>
          <w:tcPr>
            <w:tcW w:w="510" w:type="pct"/>
            <w:vMerge w:val="continue"/>
            <w:vAlign w:val="center"/>
          </w:tcPr>
          <w:p>
            <w:pPr>
              <w:pStyle w:val="332"/>
              <w:widowControl w:val="0"/>
              <w:rPr>
                <w:color w:val="000000" w:themeColor="text1"/>
                <w14:textFill>
                  <w14:solidFill>
                    <w14:schemeClr w14:val="tx1"/>
                  </w14:solidFill>
                </w14:textFill>
              </w:rPr>
            </w:pPr>
          </w:p>
        </w:tc>
        <w:tc>
          <w:tcPr>
            <w:tcW w:w="96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其他季节245天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1" w:type="pct"/>
            <w:gridSpan w:val="2"/>
            <w:vAlign w:val="center"/>
          </w:tcPr>
          <w:p>
            <w:pPr>
              <w:pStyle w:val="332"/>
              <w:widowControl w:val="0"/>
              <w:rPr>
                <w:color w:val="000000" w:themeColor="text1"/>
                <w14:textFill>
                  <w14:solidFill>
                    <w14:schemeClr w14:val="tx1"/>
                  </w14:solidFill>
                </w14:textFill>
              </w:rPr>
            </w:pPr>
            <w:r>
              <w:rPr>
                <w:color w:val="000000" w:themeColor="text1"/>
                <w:kern w:val="0"/>
                <w14:textFill>
                  <w14:solidFill>
                    <w14:schemeClr w14:val="tx1"/>
                  </w14:solidFill>
                </w14:textFill>
              </w:rPr>
              <w:t>冲洗猪舍</w:t>
            </w:r>
          </w:p>
        </w:tc>
        <w:tc>
          <w:tcPr>
            <w:tcW w:w="1302" w:type="pct"/>
            <w:gridSpan w:val="2"/>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见表3.2-2</w:t>
            </w:r>
          </w:p>
        </w:tc>
        <w:tc>
          <w:tcPr>
            <w:tcW w:w="48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4.15</w:t>
            </w:r>
          </w:p>
        </w:tc>
        <w:tc>
          <w:tcPr>
            <w:tcW w:w="56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1515.98</w:t>
            </w:r>
          </w:p>
        </w:tc>
        <w:tc>
          <w:tcPr>
            <w:tcW w:w="41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3.74</w:t>
            </w:r>
          </w:p>
        </w:tc>
        <w:tc>
          <w:tcPr>
            <w:tcW w:w="51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1364.38</w:t>
            </w:r>
          </w:p>
        </w:tc>
        <w:tc>
          <w:tcPr>
            <w:tcW w:w="96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1" w:type="pct"/>
            <w:gridSpan w:val="2"/>
            <w:vAlign w:val="center"/>
          </w:tcPr>
          <w:p>
            <w:pPr>
              <w:pStyle w:val="332"/>
              <w:widowControl w:val="0"/>
              <w:rPr>
                <w:color w:val="000000" w:themeColor="text1"/>
                <w14:textFill>
                  <w14:solidFill>
                    <w14:schemeClr w14:val="tx1"/>
                  </w14:solidFill>
                </w14:textFill>
              </w:rPr>
            </w:pPr>
            <w:r>
              <w:rPr>
                <w:color w:val="000000" w:themeColor="text1"/>
                <w:kern w:val="0"/>
                <w:lang w:bidi="en-US"/>
                <w14:textFill>
                  <w14:solidFill>
                    <w14:schemeClr w14:val="tx1"/>
                  </w14:solidFill>
                </w14:textFill>
              </w:rPr>
              <w:t>分娩猪清洗</w:t>
            </w:r>
          </w:p>
        </w:tc>
        <w:tc>
          <w:tcPr>
            <w:tcW w:w="721"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30 L/猪·次</w:t>
            </w:r>
          </w:p>
        </w:tc>
        <w:tc>
          <w:tcPr>
            <w:tcW w:w="58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600头</w:t>
            </w:r>
          </w:p>
        </w:tc>
        <w:tc>
          <w:tcPr>
            <w:tcW w:w="480" w:type="pct"/>
            <w:vAlign w:val="center"/>
          </w:tcPr>
          <w:p>
            <w:pPr>
              <w:pStyle w:val="332"/>
              <w:widowControl w:val="0"/>
              <w:rPr>
                <w:color w:val="000000" w:themeColor="text1"/>
                <w14:textFill>
                  <w14:solidFill>
                    <w14:schemeClr w14:val="tx1"/>
                  </w14:solidFill>
                </w14:textFill>
              </w:rPr>
            </w:pPr>
            <w:r>
              <w:rPr>
                <w:color w:val="000000" w:themeColor="text1"/>
                <w:kern w:val="0"/>
                <w:lang w:bidi="en-US"/>
                <w14:textFill>
                  <w14:solidFill>
                    <w14:schemeClr w14:val="tx1"/>
                  </w14:solidFill>
                </w14:textFill>
              </w:rPr>
              <w:t>0.11</w:t>
            </w:r>
          </w:p>
        </w:tc>
        <w:tc>
          <w:tcPr>
            <w:tcW w:w="569" w:type="pct"/>
            <w:vAlign w:val="center"/>
          </w:tcPr>
          <w:p>
            <w:pPr>
              <w:pStyle w:val="332"/>
              <w:widowControl w:val="0"/>
              <w:rPr>
                <w:color w:val="000000" w:themeColor="text1"/>
                <w14:textFill>
                  <w14:solidFill>
                    <w14:schemeClr w14:val="tx1"/>
                  </w14:solidFill>
                </w14:textFill>
              </w:rPr>
            </w:pPr>
            <w:r>
              <w:rPr>
                <w:color w:val="000000" w:themeColor="text1"/>
                <w:kern w:val="0"/>
                <w:lang w:bidi="en-US"/>
                <w14:textFill>
                  <w14:solidFill>
                    <w14:schemeClr w14:val="tx1"/>
                  </w14:solidFill>
                </w14:textFill>
              </w:rPr>
              <w:t>38.88</w:t>
            </w:r>
          </w:p>
        </w:tc>
        <w:tc>
          <w:tcPr>
            <w:tcW w:w="417"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0.099</w:t>
            </w:r>
          </w:p>
        </w:tc>
        <w:tc>
          <w:tcPr>
            <w:tcW w:w="510"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36.14</w:t>
            </w:r>
          </w:p>
        </w:tc>
        <w:tc>
          <w:tcPr>
            <w:tcW w:w="961" w:type="pct"/>
            <w:vAlign w:val="center"/>
          </w:tcPr>
          <w:p>
            <w:pPr>
              <w:pStyle w:val="332"/>
              <w:widowControl w:val="0"/>
              <w:jc w:val="both"/>
              <w:rPr>
                <w:color w:val="000000" w:themeColor="text1"/>
                <w14:textFill>
                  <w14:solidFill>
                    <w14:schemeClr w14:val="tx1"/>
                  </w14:solidFill>
                </w14:textFill>
              </w:rPr>
            </w:pPr>
            <w:r>
              <w:rPr>
                <w:color w:val="000000" w:themeColor="text1"/>
                <w:kern w:val="0"/>
                <w:lang w:bidi="en-US"/>
                <w14:textFill>
                  <w14:solidFill>
                    <w14:schemeClr w14:val="tx1"/>
                  </w14:solidFill>
                </w14:textFill>
              </w:rPr>
              <w:t>每年分娩2.16次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1" w:type="pct"/>
            <w:gridSpan w:val="2"/>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猪舍降温</w:t>
            </w:r>
          </w:p>
        </w:tc>
        <w:tc>
          <w:tcPr>
            <w:tcW w:w="721" w:type="pct"/>
            <w:vAlign w:val="center"/>
          </w:tcPr>
          <w:p>
            <w:pPr>
              <w:pStyle w:val="332"/>
              <w:widowControl w:val="0"/>
              <w:rPr>
                <w:color w:val="000000" w:themeColor="text1"/>
                <w14:textFill>
                  <w14:solidFill>
                    <w14:schemeClr w14:val="tx1"/>
                  </w14:solidFill>
                </w14:textFill>
              </w:rPr>
            </w:pPr>
            <w:r>
              <w:rPr>
                <w:color w:val="000000" w:themeColor="text1"/>
                <w:kern w:val="0"/>
                <w14:textFill>
                  <w14:solidFill>
                    <w14:schemeClr w14:val="tx1"/>
                  </w14:solidFill>
                </w14:textFill>
              </w:rPr>
              <w:t>补充水量按2m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/栋</w:t>
            </w:r>
          </w:p>
        </w:tc>
        <w:tc>
          <w:tcPr>
            <w:tcW w:w="581" w:type="pct"/>
            <w:vAlign w:val="center"/>
          </w:tcPr>
          <w:p>
            <w:pPr>
              <w:pStyle w:val="332"/>
              <w:widowControl w:val="0"/>
              <w:rPr>
                <w:color w:val="000000" w:themeColor="text1"/>
                <w14:textFill>
                  <w14:solidFill>
                    <w14:schemeClr w14:val="tx1"/>
                  </w14:solidFill>
                </w14:textFill>
              </w:rPr>
            </w:pPr>
            <w:r>
              <w:rPr>
                <w:color w:val="000000" w:themeColor="text1"/>
                <w:kern w:val="0"/>
                <w14:textFill>
                  <w14:solidFill>
                    <w14:schemeClr w14:val="tx1"/>
                  </w14:solidFill>
                </w14:textFill>
              </w:rPr>
              <w:t>22栋</w:t>
            </w:r>
          </w:p>
        </w:tc>
        <w:tc>
          <w:tcPr>
            <w:tcW w:w="480" w:type="pct"/>
            <w:vAlign w:val="center"/>
          </w:tcPr>
          <w:p>
            <w:pPr>
              <w:pStyle w:val="332"/>
              <w:widowControl w:val="0"/>
              <w:rPr>
                <w:color w:val="000000" w:themeColor="text1"/>
                <w:kern w:val="0"/>
                <w14:textFill>
                  <w14:solidFill>
                    <w14:schemeClr w14:val="tx1"/>
                  </w14:solidFill>
                </w14:textFill>
              </w:rPr>
            </w:pPr>
            <w:r>
              <w:rPr>
                <w:color w:val="000000" w:themeColor="text1"/>
                <w:kern w:val="0"/>
                <w14:textFill>
                  <w14:solidFill>
                    <w14:schemeClr w14:val="tx1"/>
                  </w14:solidFill>
                </w14:textFill>
              </w:rPr>
              <w:t>44</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r>
              <w:rPr>
                <w:color w:val="000000" w:themeColor="text1"/>
                <w:kern w:val="0"/>
                <w14:textFill>
                  <w14:solidFill>
                    <w14:schemeClr w14:val="tx1"/>
                  </w14:solidFill>
                </w14:textFill>
              </w:rPr>
              <w:t>22</w:t>
            </w:r>
            <w:r>
              <w:rPr>
                <w:color w:val="000000" w:themeColor="text1"/>
                <w14:textFill>
                  <w14:solidFill>
                    <w14:schemeClr w14:val="tx1"/>
                  </w14:solidFill>
                </w14:textFill>
              </w:rPr>
              <w:t>）</w:t>
            </w:r>
          </w:p>
        </w:tc>
        <w:tc>
          <w:tcPr>
            <w:tcW w:w="569" w:type="pct"/>
            <w:vAlign w:val="center"/>
          </w:tcPr>
          <w:p>
            <w:pPr>
              <w:pStyle w:val="332"/>
              <w:widowControl w:val="0"/>
              <w:rPr>
                <w:color w:val="000000" w:themeColor="text1"/>
                <w14:textFill>
                  <w14:solidFill>
                    <w14:schemeClr w14:val="tx1"/>
                  </w14:solidFill>
                </w14:textFill>
              </w:rPr>
            </w:pPr>
            <w:r>
              <w:rPr>
                <w:color w:val="000000" w:themeColor="text1"/>
                <w:kern w:val="0"/>
                <w14:textFill>
                  <w14:solidFill>
                    <w14:schemeClr w14:val="tx1"/>
                  </w14:solidFill>
                </w14:textFill>
              </w:rPr>
              <w:t>2640</w:t>
            </w:r>
          </w:p>
        </w:tc>
        <w:tc>
          <w:tcPr>
            <w:tcW w:w="41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w:t>
            </w:r>
          </w:p>
        </w:tc>
        <w:tc>
          <w:tcPr>
            <w:tcW w:w="51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61" w:type="pct"/>
            <w:vAlign w:val="center"/>
          </w:tcPr>
          <w:p>
            <w:pPr>
              <w:pStyle w:val="332"/>
              <w:widowControl w:val="0"/>
              <w:rPr>
                <w:color w:val="000000" w:themeColor="text1"/>
                <w14:textFill>
                  <w14:solidFill>
                    <w14:schemeClr w14:val="tx1"/>
                  </w14:solidFill>
                </w14:textFill>
              </w:rPr>
            </w:pPr>
            <w:r>
              <w:rPr>
                <w:color w:val="000000" w:themeColor="text1"/>
                <w:kern w:val="0"/>
                <w14:textFill>
                  <w14:solidFill>
                    <w14:schemeClr w14:val="tx1"/>
                  </w14:solidFill>
                </w14:textFill>
              </w:rPr>
              <w:t>降温期60 d/a</w:t>
            </w:r>
            <w:r>
              <w:rPr>
                <w:color w:val="000000" w:themeColor="text1"/>
                <w14:textFill>
                  <w14:solidFill>
                    <w14:schemeClr w14:val="tx1"/>
                  </w14:solidFill>
                </w14:textFill>
              </w:rPr>
              <w:t xml:space="preserve"> </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（夏季日平均）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1" w:type="pct"/>
            <w:gridSpan w:val="2"/>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器具清洗</w:t>
            </w:r>
          </w:p>
        </w:tc>
        <w:tc>
          <w:tcPr>
            <w:tcW w:w="72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58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48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2.4</w:t>
            </w:r>
          </w:p>
        </w:tc>
        <w:tc>
          <w:tcPr>
            <w:tcW w:w="569" w:type="pct"/>
            <w:vAlign w:val="center"/>
          </w:tcPr>
          <w:p>
            <w:pPr>
              <w:pStyle w:val="332"/>
              <w:widowControl w:val="0"/>
              <w:rPr>
                <w:color w:val="000000" w:themeColor="text1"/>
                <w14:textFill>
                  <w14:solidFill>
                    <w14:schemeClr w14:val="tx1"/>
                  </w14:solidFill>
                </w14:textFill>
              </w:rPr>
            </w:pPr>
            <w:r>
              <w:rPr>
                <w:color w:val="000000" w:themeColor="text1"/>
                <w:kern w:val="0"/>
                <w14:textFill>
                  <w14:solidFill>
                    <w14:schemeClr w14:val="tx1"/>
                  </w14:solidFill>
                </w14:textFill>
              </w:rPr>
              <w:t>876</w:t>
            </w:r>
          </w:p>
        </w:tc>
        <w:tc>
          <w:tcPr>
            <w:tcW w:w="417" w:type="pct"/>
            <w:vAlign w:val="center"/>
          </w:tcPr>
          <w:p>
            <w:pPr>
              <w:pStyle w:val="332"/>
              <w:widowControl w:val="0"/>
              <w:rPr>
                <w:color w:val="000000" w:themeColor="text1"/>
                <w14:textFill>
                  <w14:solidFill>
                    <w14:schemeClr w14:val="tx1"/>
                  </w14:solidFill>
                </w14:textFill>
              </w:rPr>
            </w:pPr>
            <w:r>
              <w:rPr>
                <w:color w:val="000000" w:themeColor="text1"/>
                <w:kern w:val="0"/>
                <w14:textFill>
                  <w14:solidFill>
                    <w14:schemeClr w14:val="tx1"/>
                  </w14:solidFill>
                </w14:textFill>
              </w:rPr>
              <w:t>2.16</w:t>
            </w:r>
          </w:p>
        </w:tc>
        <w:tc>
          <w:tcPr>
            <w:tcW w:w="510" w:type="pct"/>
            <w:vAlign w:val="center"/>
          </w:tcPr>
          <w:p>
            <w:pPr>
              <w:pStyle w:val="332"/>
              <w:widowControl w:val="0"/>
              <w:rPr>
                <w:color w:val="000000" w:themeColor="text1"/>
                <w14:textFill>
                  <w14:solidFill>
                    <w14:schemeClr w14:val="tx1"/>
                  </w14:solidFill>
                </w14:textFill>
              </w:rPr>
            </w:pPr>
            <w:r>
              <w:rPr>
                <w:color w:val="000000" w:themeColor="text1"/>
                <w:kern w:val="0"/>
                <w14:textFill>
                  <w14:solidFill>
                    <w14:schemeClr w14:val="tx1"/>
                  </w14:solidFill>
                </w14:textFill>
              </w:rPr>
              <w:t>788.4</w:t>
            </w:r>
          </w:p>
        </w:tc>
        <w:tc>
          <w:tcPr>
            <w:tcW w:w="96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5"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消毒用水</w:t>
            </w:r>
          </w:p>
        </w:tc>
        <w:tc>
          <w:tcPr>
            <w:tcW w:w="42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车辆冲洗</w:t>
            </w:r>
          </w:p>
        </w:tc>
        <w:tc>
          <w:tcPr>
            <w:tcW w:w="1302" w:type="pct"/>
            <w:gridSpan w:val="2"/>
            <w:vAlign w:val="center"/>
          </w:tcPr>
          <w:p>
            <w:pPr>
              <w:pStyle w:val="332"/>
              <w:widowControl w:val="0"/>
              <w:rPr>
                <w:color w:val="000000" w:themeColor="text1"/>
                <w14:textFill>
                  <w14:solidFill>
                    <w14:schemeClr w14:val="tx1"/>
                  </w14:solidFill>
                </w14:textFill>
              </w:rPr>
            </w:pPr>
            <w:r>
              <w:rPr>
                <w:color w:val="000000" w:themeColor="text1"/>
                <w:kern w:val="0"/>
                <w14:textFill>
                  <w14:solidFill>
                    <w14:schemeClr w14:val="tx1"/>
                  </w14:solidFill>
                </w14:textFill>
              </w:rPr>
              <w:t>补水量20 L/车·次</w:t>
            </w:r>
          </w:p>
        </w:tc>
        <w:tc>
          <w:tcPr>
            <w:tcW w:w="48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0.03</w:t>
            </w:r>
          </w:p>
        </w:tc>
        <w:tc>
          <w:tcPr>
            <w:tcW w:w="56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10</w:t>
            </w:r>
          </w:p>
        </w:tc>
        <w:tc>
          <w:tcPr>
            <w:tcW w:w="41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w:t>
            </w:r>
          </w:p>
        </w:tc>
        <w:tc>
          <w:tcPr>
            <w:tcW w:w="51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61" w:type="pct"/>
            <w:vAlign w:val="center"/>
          </w:tcPr>
          <w:p>
            <w:pPr>
              <w:pStyle w:val="332"/>
              <w:widowControl w:val="0"/>
              <w:rPr>
                <w:color w:val="000000" w:themeColor="text1"/>
                <w14:textFill>
                  <w14:solidFill>
                    <w14:schemeClr w14:val="tx1"/>
                  </w14:solidFill>
                </w14:textFill>
              </w:rPr>
            </w:pPr>
            <w:r>
              <w:rPr>
                <w:color w:val="000000" w:themeColor="text1"/>
                <w:kern w:val="0"/>
                <w14:textFill>
                  <w14:solidFill>
                    <w14:schemeClr w14:val="tx1"/>
                  </w14:solidFill>
                </w14:textFill>
              </w:rPr>
              <w:t>全年100天用车，每天5辆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5" w:type="pct"/>
            <w:vMerge w:val="continue"/>
            <w:vAlign w:val="center"/>
          </w:tcPr>
          <w:p>
            <w:pPr>
              <w:pStyle w:val="332"/>
              <w:widowControl w:val="0"/>
              <w:rPr>
                <w:color w:val="000000" w:themeColor="text1"/>
                <w14:textFill>
                  <w14:solidFill>
                    <w14:schemeClr w14:val="tx1"/>
                  </w14:solidFill>
                </w14:textFill>
              </w:rPr>
            </w:pPr>
          </w:p>
        </w:tc>
        <w:tc>
          <w:tcPr>
            <w:tcW w:w="42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其他</w:t>
            </w:r>
          </w:p>
        </w:tc>
        <w:tc>
          <w:tcPr>
            <w:tcW w:w="72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58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48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9</w:t>
            </w:r>
          </w:p>
        </w:tc>
        <w:tc>
          <w:tcPr>
            <w:tcW w:w="56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3285</w:t>
            </w:r>
          </w:p>
        </w:tc>
        <w:tc>
          <w:tcPr>
            <w:tcW w:w="41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w:t>
            </w:r>
          </w:p>
        </w:tc>
        <w:tc>
          <w:tcPr>
            <w:tcW w:w="51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6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1" w:type="pct"/>
            <w:gridSpan w:val="2"/>
            <w:shd w:val="clear" w:color="auto" w:fill="auto"/>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喷淋除臭</w:t>
            </w:r>
          </w:p>
        </w:tc>
        <w:tc>
          <w:tcPr>
            <w:tcW w:w="1302" w:type="pct"/>
            <w:gridSpan w:val="2"/>
            <w:shd w:val="clear" w:color="auto" w:fill="auto"/>
            <w:vAlign w:val="center"/>
          </w:tcPr>
          <w:p>
            <w:pPr>
              <w:pStyle w:val="332"/>
              <w:widowControl w:val="0"/>
              <w:rPr>
                <w:color w:val="000000" w:themeColor="text1"/>
                <w14:textFill>
                  <w14:solidFill>
                    <w14:schemeClr w14:val="tx1"/>
                  </w14:solidFill>
                </w14:textFill>
              </w:rPr>
            </w:pPr>
            <w:r>
              <w:rPr>
                <w:color w:val="000000" w:themeColor="text1"/>
                <w:kern w:val="0"/>
                <w14:textFill>
                  <w14:solidFill>
                    <w14:schemeClr w14:val="tx1"/>
                  </w14:solidFill>
                </w14:textFill>
              </w:rPr>
              <w:t>补水</w:t>
            </w:r>
            <w:r>
              <w:rPr>
                <w:color w:val="000000" w:themeColor="text1"/>
                <w14:textFill>
                  <w14:solidFill>
                    <w14:schemeClr w14:val="tx1"/>
                  </w14:solidFill>
                </w14:textFill>
              </w:rPr>
              <w:t>按循环水量3%计</w:t>
            </w:r>
          </w:p>
        </w:tc>
        <w:tc>
          <w:tcPr>
            <w:tcW w:w="480" w:type="pct"/>
            <w:shd w:val="clear" w:color="auto" w:fill="auto"/>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10.5</w:t>
            </w:r>
          </w:p>
        </w:tc>
        <w:tc>
          <w:tcPr>
            <w:tcW w:w="569" w:type="pct"/>
            <w:shd w:val="clear" w:color="auto" w:fill="auto"/>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3832.5</w:t>
            </w:r>
          </w:p>
        </w:tc>
        <w:tc>
          <w:tcPr>
            <w:tcW w:w="417" w:type="pct"/>
            <w:shd w:val="clear" w:color="auto" w:fill="auto"/>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w:t>
            </w:r>
          </w:p>
        </w:tc>
        <w:tc>
          <w:tcPr>
            <w:tcW w:w="510" w:type="pct"/>
            <w:shd w:val="clear" w:color="auto" w:fill="auto"/>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w:t>
            </w:r>
          </w:p>
        </w:tc>
        <w:tc>
          <w:tcPr>
            <w:tcW w:w="961" w:type="pct"/>
            <w:shd w:val="clear" w:color="auto" w:fill="auto"/>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循环水量350m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1" w:type="pct"/>
            <w:gridSpan w:val="2"/>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无害化设备冷凝水</w:t>
            </w:r>
          </w:p>
        </w:tc>
        <w:tc>
          <w:tcPr>
            <w:tcW w:w="72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58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48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56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417"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0.017</w:t>
            </w:r>
          </w:p>
        </w:tc>
        <w:tc>
          <w:tcPr>
            <w:tcW w:w="510"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6.28</w:t>
            </w:r>
          </w:p>
        </w:tc>
        <w:tc>
          <w:tcPr>
            <w:tcW w:w="96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1" w:type="pct"/>
            <w:gridSpan w:val="2"/>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堆肥发酵场滤液</w:t>
            </w:r>
          </w:p>
        </w:tc>
        <w:tc>
          <w:tcPr>
            <w:tcW w:w="72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58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48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56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417"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3.1</w:t>
            </w:r>
          </w:p>
        </w:tc>
        <w:tc>
          <w:tcPr>
            <w:tcW w:w="510"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1135.4</w:t>
            </w:r>
          </w:p>
        </w:tc>
        <w:tc>
          <w:tcPr>
            <w:tcW w:w="96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1" w:type="pct"/>
            <w:gridSpan w:val="2"/>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厂区绿化</w:t>
            </w:r>
          </w:p>
        </w:tc>
        <w:tc>
          <w:tcPr>
            <w:tcW w:w="721" w:type="pct"/>
            <w:vAlign w:val="center"/>
          </w:tcPr>
          <w:p>
            <w:pPr>
              <w:pStyle w:val="332"/>
              <w:widowControl w:val="0"/>
              <w:jc w:val="both"/>
              <w:rPr>
                <w:color w:val="000000" w:themeColor="text1"/>
                <w14:textFill>
                  <w14:solidFill>
                    <w14:schemeClr w14:val="tx1"/>
                  </w14:solidFill>
                </w14:textFill>
              </w:rPr>
            </w:pPr>
            <w:r>
              <w:rPr>
                <w:color w:val="000000" w:themeColor="text1"/>
                <w:lang w:bidi="en-US"/>
                <w14:textFill>
                  <w14:solidFill>
                    <w14:schemeClr w14:val="tx1"/>
                  </w14:solidFill>
                </w14:textFill>
              </w:rPr>
              <w:t>0.28m</w:t>
            </w:r>
            <w:r>
              <w:rPr>
                <w:color w:val="000000" w:themeColor="text1"/>
                <w:vertAlign w:val="superscript"/>
                <w:lang w:bidi="en-US"/>
                <w14:textFill>
                  <w14:solidFill>
                    <w14:schemeClr w14:val="tx1"/>
                  </w14:solidFill>
                </w14:textFill>
              </w:rPr>
              <w:t>3</w:t>
            </w:r>
            <w:r>
              <w:rPr>
                <w:color w:val="000000" w:themeColor="text1"/>
                <w:lang w:bidi="en-US"/>
                <w14:textFill>
                  <w14:solidFill>
                    <w14:schemeClr w14:val="tx1"/>
                  </w14:solidFill>
                </w14:textFill>
              </w:rPr>
              <w:t>/m</w:t>
            </w:r>
            <w:r>
              <w:rPr>
                <w:color w:val="000000" w:themeColor="text1"/>
                <w:vertAlign w:val="superscript"/>
                <w:lang w:bidi="en-US"/>
                <w14:textFill>
                  <w14:solidFill>
                    <w14:schemeClr w14:val="tx1"/>
                  </w14:solidFill>
                </w14:textFill>
              </w:rPr>
              <w:t>2</w:t>
            </w:r>
            <w:r>
              <w:rPr>
                <w:color w:val="000000" w:themeColor="text1"/>
                <w:lang w:bidi="en-US"/>
                <w14:textFill>
                  <w14:solidFill>
                    <w14:schemeClr w14:val="tx1"/>
                  </w14:solidFill>
                </w14:textFill>
              </w:rPr>
              <w:t>·a</w:t>
            </w:r>
          </w:p>
        </w:tc>
        <w:tc>
          <w:tcPr>
            <w:tcW w:w="581"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7076 m</w:t>
            </w:r>
            <w:r>
              <w:rPr>
                <w:color w:val="000000" w:themeColor="text1"/>
                <w:vertAlign w:val="superscript"/>
                <w:lang w:bidi="en-US"/>
                <w14:textFill>
                  <w14:solidFill>
                    <w14:schemeClr w14:val="tx1"/>
                  </w14:solidFill>
                </w14:textFill>
              </w:rPr>
              <w:t>2</w:t>
            </w:r>
          </w:p>
        </w:tc>
        <w:tc>
          <w:tcPr>
            <w:tcW w:w="480"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7.93</w:t>
            </w:r>
          </w:p>
        </w:tc>
        <w:tc>
          <w:tcPr>
            <w:tcW w:w="569"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1981.28</w:t>
            </w:r>
          </w:p>
        </w:tc>
        <w:tc>
          <w:tcPr>
            <w:tcW w:w="41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51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961"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洒水250 d/a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1" w:type="pct"/>
            <w:gridSpan w:val="2"/>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道路洒水</w:t>
            </w:r>
          </w:p>
        </w:tc>
        <w:tc>
          <w:tcPr>
            <w:tcW w:w="721"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0.2L/m</w:t>
            </w:r>
            <w:r>
              <w:rPr>
                <w:color w:val="000000" w:themeColor="text1"/>
                <w:vertAlign w:val="superscript"/>
                <w:lang w:bidi="en-US"/>
                <w14:textFill>
                  <w14:solidFill>
                    <w14:schemeClr w14:val="tx1"/>
                  </w14:solidFill>
                </w14:textFill>
              </w:rPr>
              <w:t>2</w:t>
            </w:r>
            <w:r>
              <w:rPr>
                <w:color w:val="000000" w:themeColor="text1"/>
                <w:lang w:bidi="en-US"/>
                <w14:textFill>
                  <w14:solidFill>
                    <w14:schemeClr w14:val="tx1"/>
                  </w14:solidFill>
                </w14:textFill>
              </w:rPr>
              <w:t>·次</w:t>
            </w:r>
          </w:p>
        </w:tc>
        <w:tc>
          <w:tcPr>
            <w:tcW w:w="581"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3600 m</w:t>
            </w:r>
            <w:r>
              <w:rPr>
                <w:color w:val="000000" w:themeColor="text1"/>
                <w:vertAlign w:val="superscript"/>
                <w:lang w:bidi="en-US"/>
                <w14:textFill>
                  <w14:solidFill>
                    <w14:schemeClr w14:val="tx1"/>
                  </w14:solidFill>
                </w14:textFill>
              </w:rPr>
              <w:t>2</w:t>
            </w:r>
          </w:p>
        </w:tc>
        <w:tc>
          <w:tcPr>
            <w:tcW w:w="480"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0.72</w:t>
            </w:r>
          </w:p>
        </w:tc>
        <w:tc>
          <w:tcPr>
            <w:tcW w:w="569"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262.8</w:t>
            </w:r>
          </w:p>
        </w:tc>
        <w:tc>
          <w:tcPr>
            <w:tcW w:w="41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51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96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1" w:type="pct"/>
            <w:gridSpan w:val="2"/>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302" w:type="pct"/>
            <w:gridSpan w:val="2"/>
            <w:vAlign w:val="center"/>
          </w:tcPr>
          <w:p>
            <w:pPr>
              <w:pStyle w:val="332"/>
              <w:widowControl w:val="0"/>
              <w:rPr>
                <w:color w:val="000000" w:themeColor="text1"/>
                <w:lang w:bidi="en-US"/>
                <w14:textFill>
                  <w14:solidFill>
                    <w14:schemeClr w14:val="tx1"/>
                  </w14:solidFill>
                </w14:textFill>
              </w:rPr>
            </w:pPr>
            <w:r>
              <w:rPr>
                <w:color w:val="000000" w:themeColor="text1"/>
                <w:lang w:bidi="en-US"/>
                <w14:textFill>
                  <w14:solidFill>
                    <w14:schemeClr w14:val="tx1"/>
                  </w14:solidFill>
                </w14:textFill>
              </w:rPr>
              <w:t>夏季</w:t>
            </w:r>
          </w:p>
        </w:tc>
        <w:tc>
          <w:tcPr>
            <w:tcW w:w="480" w:type="pct"/>
            <w:vAlign w:val="center"/>
          </w:tcPr>
          <w:p>
            <w:pPr>
              <w:pStyle w:val="332"/>
              <w:widowControl w:val="0"/>
              <w:rPr>
                <w:color w:val="000000" w:themeColor="text1"/>
                <w:lang w:bidi="en-US"/>
                <w14:textFill>
                  <w14:solidFill>
                    <w14:schemeClr w14:val="tx1"/>
                  </w14:solidFill>
                </w14:textFill>
              </w:rPr>
            </w:pPr>
            <w:r>
              <w:rPr>
                <w:rFonts w:eastAsia="等线"/>
                <w:color w:val="000000" w:themeColor="text1"/>
                <w:szCs w:val="21"/>
                <w14:textFill>
                  <w14:solidFill>
                    <w14:schemeClr w14:val="tx1"/>
                  </w14:solidFill>
                </w14:textFill>
              </w:rPr>
              <w:t>150.98</w:t>
            </w:r>
          </w:p>
        </w:tc>
        <w:tc>
          <w:tcPr>
            <w:tcW w:w="569" w:type="pct"/>
            <w:vMerge w:val="restart"/>
            <w:vAlign w:val="center"/>
          </w:tcPr>
          <w:p>
            <w:pPr>
              <w:pStyle w:val="332"/>
              <w:widowControl w:val="0"/>
              <w:rPr>
                <w:color w:val="000000" w:themeColor="text1"/>
                <w:lang w:bidi="en-US"/>
                <w14:textFill>
                  <w14:solidFill>
                    <w14:schemeClr w14:val="tx1"/>
                  </w14:solidFill>
                </w14:textFill>
              </w:rPr>
            </w:pPr>
            <w:r>
              <w:rPr>
                <w:rFonts w:eastAsia="等线"/>
                <w:color w:val="000000" w:themeColor="text1"/>
                <w:kern w:val="0"/>
                <w:szCs w:val="21"/>
                <w14:textFill>
                  <w14:solidFill>
                    <w14:schemeClr w14:val="tx1"/>
                  </w14:solidFill>
                </w14:textFill>
              </w:rPr>
              <w:t>33837.82</w:t>
            </w:r>
          </w:p>
        </w:tc>
        <w:tc>
          <w:tcPr>
            <w:tcW w:w="417"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42.98</w:t>
            </w:r>
          </w:p>
        </w:tc>
        <w:tc>
          <w:tcPr>
            <w:tcW w:w="510"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12719.9</w:t>
            </w:r>
          </w:p>
        </w:tc>
        <w:tc>
          <w:tcPr>
            <w:tcW w:w="961"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1" w:type="pct"/>
            <w:gridSpan w:val="2"/>
            <w:vMerge w:val="continue"/>
            <w:vAlign w:val="center"/>
          </w:tcPr>
          <w:p>
            <w:pPr>
              <w:pStyle w:val="332"/>
              <w:widowControl w:val="0"/>
              <w:rPr>
                <w:color w:val="000000" w:themeColor="text1"/>
                <w14:textFill>
                  <w14:solidFill>
                    <w14:schemeClr w14:val="tx1"/>
                  </w14:solidFill>
                </w14:textFill>
              </w:rPr>
            </w:pPr>
          </w:p>
        </w:tc>
        <w:tc>
          <w:tcPr>
            <w:tcW w:w="1302" w:type="pct"/>
            <w:gridSpan w:val="2"/>
            <w:vAlign w:val="center"/>
          </w:tcPr>
          <w:p>
            <w:pPr>
              <w:pStyle w:val="332"/>
              <w:widowControl w:val="0"/>
              <w:rPr>
                <w:color w:val="000000" w:themeColor="text1"/>
                <w:lang w:bidi="en-US"/>
                <w14:textFill>
                  <w14:solidFill>
                    <w14:schemeClr w14:val="tx1"/>
                  </w14:solidFill>
                </w14:textFill>
              </w:rPr>
            </w:pPr>
            <w:r>
              <w:rPr>
                <w:color w:val="000000" w:themeColor="text1"/>
                <w:lang w:bidi="en-US"/>
                <w14:textFill>
                  <w14:solidFill>
                    <w14:schemeClr w14:val="tx1"/>
                  </w14:solidFill>
                </w14:textFill>
              </w:rPr>
              <w:t>春秋季</w:t>
            </w:r>
          </w:p>
        </w:tc>
        <w:tc>
          <w:tcPr>
            <w:tcW w:w="480" w:type="pct"/>
            <w:vAlign w:val="center"/>
          </w:tcPr>
          <w:p>
            <w:pPr>
              <w:pStyle w:val="332"/>
              <w:widowControl w:val="0"/>
              <w:rPr>
                <w:color w:val="000000" w:themeColor="text1"/>
                <w:lang w:bidi="en-US"/>
                <w14:textFill>
                  <w14:solidFill>
                    <w14:schemeClr w14:val="tx1"/>
                  </w14:solidFill>
                </w14:textFill>
              </w:rPr>
            </w:pPr>
            <w:r>
              <w:rPr>
                <w:rFonts w:eastAsia="等线"/>
                <w:color w:val="000000" w:themeColor="text1"/>
                <w:szCs w:val="21"/>
                <w14:textFill>
                  <w14:solidFill>
                    <w14:schemeClr w14:val="tx1"/>
                  </w14:solidFill>
                </w14:textFill>
              </w:rPr>
              <w:t>78.68</w:t>
            </w:r>
          </w:p>
        </w:tc>
        <w:tc>
          <w:tcPr>
            <w:tcW w:w="569" w:type="pct"/>
            <w:vMerge w:val="continue"/>
            <w:vAlign w:val="center"/>
          </w:tcPr>
          <w:p>
            <w:pPr>
              <w:pStyle w:val="332"/>
              <w:widowControl w:val="0"/>
              <w:rPr>
                <w:color w:val="000000" w:themeColor="text1"/>
                <w:lang w:bidi="en-US"/>
                <w14:textFill>
                  <w14:solidFill>
                    <w14:schemeClr w14:val="tx1"/>
                  </w14:solidFill>
                </w14:textFill>
              </w:rPr>
            </w:pPr>
          </w:p>
        </w:tc>
        <w:tc>
          <w:tcPr>
            <w:tcW w:w="417"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30.88</w:t>
            </w:r>
          </w:p>
        </w:tc>
        <w:tc>
          <w:tcPr>
            <w:tcW w:w="510" w:type="pct"/>
            <w:vMerge w:val="continue"/>
            <w:vAlign w:val="center"/>
          </w:tcPr>
          <w:p>
            <w:pPr>
              <w:pStyle w:val="332"/>
              <w:widowControl w:val="0"/>
              <w:rPr>
                <w:color w:val="000000" w:themeColor="text1"/>
                <w14:textFill>
                  <w14:solidFill>
                    <w14:schemeClr w14:val="tx1"/>
                  </w14:solidFill>
                </w14:textFill>
              </w:rPr>
            </w:pPr>
          </w:p>
        </w:tc>
        <w:tc>
          <w:tcPr>
            <w:tcW w:w="961"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1" w:type="pct"/>
            <w:gridSpan w:val="2"/>
            <w:vMerge w:val="continue"/>
            <w:vAlign w:val="center"/>
          </w:tcPr>
          <w:p>
            <w:pPr>
              <w:pStyle w:val="332"/>
              <w:widowControl w:val="0"/>
              <w:rPr>
                <w:color w:val="000000" w:themeColor="text1"/>
                <w14:textFill>
                  <w14:solidFill>
                    <w14:schemeClr w14:val="tx1"/>
                  </w14:solidFill>
                </w14:textFill>
              </w:rPr>
            </w:pPr>
          </w:p>
        </w:tc>
        <w:tc>
          <w:tcPr>
            <w:tcW w:w="1302" w:type="pct"/>
            <w:gridSpan w:val="2"/>
            <w:vAlign w:val="center"/>
          </w:tcPr>
          <w:p>
            <w:pPr>
              <w:pStyle w:val="332"/>
              <w:widowControl w:val="0"/>
              <w:rPr>
                <w:color w:val="000000" w:themeColor="text1"/>
                <w:lang w:bidi="en-US"/>
                <w14:textFill>
                  <w14:solidFill>
                    <w14:schemeClr w14:val="tx1"/>
                  </w14:solidFill>
                </w14:textFill>
              </w:rPr>
            </w:pPr>
            <w:r>
              <w:rPr>
                <w:color w:val="000000" w:themeColor="text1"/>
                <w:lang w:bidi="en-US"/>
                <w14:textFill>
                  <w14:solidFill>
                    <w14:schemeClr w14:val="tx1"/>
                  </w14:solidFill>
                </w14:textFill>
              </w:rPr>
              <w:t>冬季（采暖期）</w:t>
            </w:r>
          </w:p>
        </w:tc>
        <w:tc>
          <w:tcPr>
            <w:tcW w:w="480" w:type="pct"/>
            <w:vAlign w:val="center"/>
          </w:tcPr>
          <w:p>
            <w:pPr>
              <w:pStyle w:val="332"/>
              <w:widowControl w:val="0"/>
              <w:rPr>
                <w:color w:val="000000" w:themeColor="text1"/>
                <w:lang w:bidi="en-US"/>
                <w14:textFill>
                  <w14:solidFill>
                    <w14:schemeClr w14:val="tx1"/>
                  </w14:solidFill>
                </w14:textFill>
              </w:rPr>
            </w:pPr>
            <w:r>
              <w:rPr>
                <w:rFonts w:eastAsia="等线"/>
                <w:color w:val="000000" w:themeColor="text1"/>
                <w:szCs w:val="21"/>
                <w14:textFill>
                  <w14:solidFill>
                    <w14:schemeClr w14:val="tx1"/>
                  </w14:solidFill>
                </w14:textFill>
              </w:rPr>
              <w:t>70.03</w:t>
            </w:r>
          </w:p>
        </w:tc>
        <w:tc>
          <w:tcPr>
            <w:tcW w:w="569" w:type="pct"/>
            <w:vMerge w:val="continue"/>
            <w:vAlign w:val="center"/>
          </w:tcPr>
          <w:p>
            <w:pPr>
              <w:pStyle w:val="332"/>
              <w:widowControl w:val="0"/>
              <w:rPr>
                <w:color w:val="000000" w:themeColor="text1"/>
                <w:lang w:bidi="en-US"/>
                <w14:textFill>
                  <w14:solidFill>
                    <w14:schemeClr w14:val="tx1"/>
                  </w14:solidFill>
                </w14:textFill>
              </w:rPr>
            </w:pPr>
          </w:p>
        </w:tc>
        <w:tc>
          <w:tcPr>
            <w:tcW w:w="417"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30.88</w:t>
            </w:r>
          </w:p>
        </w:tc>
        <w:tc>
          <w:tcPr>
            <w:tcW w:w="510" w:type="pct"/>
            <w:vMerge w:val="continue"/>
            <w:vAlign w:val="center"/>
          </w:tcPr>
          <w:p>
            <w:pPr>
              <w:pStyle w:val="332"/>
              <w:widowControl w:val="0"/>
              <w:rPr>
                <w:color w:val="000000" w:themeColor="text1"/>
                <w14:textFill>
                  <w14:solidFill>
                    <w14:schemeClr w14:val="tx1"/>
                  </w14:solidFill>
                </w14:textFill>
              </w:rPr>
            </w:pPr>
          </w:p>
        </w:tc>
        <w:tc>
          <w:tcPr>
            <w:tcW w:w="961" w:type="pct"/>
            <w:vMerge w:val="continue"/>
            <w:vAlign w:val="center"/>
          </w:tcPr>
          <w:p>
            <w:pPr>
              <w:pStyle w:val="332"/>
              <w:widowControl w:val="0"/>
              <w:rPr>
                <w:color w:val="000000" w:themeColor="text1"/>
                <w14:textFill>
                  <w14:solidFill>
                    <w14:schemeClr w14:val="tx1"/>
                  </w14:solidFill>
                </w14:textFill>
              </w:rPr>
            </w:pP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object>
          <v:shape id="_x0000_i1025" o:spt="75" type="#_x0000_t75" style="height:468pt;width:482.4pt;" o:ole="t" filled="f" o:preferrelative="t" stroked="f" coordsize="21600,21600">
            <v:path/>
            <v:fill on="f" focussize="0,0"/>
            <v:stroke on="f" joinstyle="miter"/>
            <v:imagedata r:id="rId23" o:title=""/>
            <o:lock v:ext="edit" aspectratio="t"/>
            <w10:wrap type="none"/>
            <w10:anchorlock/>
          </v:shape>
          <o:OLEObject Type="Embed" ProgID="Visio.Drawing.15" ShapeID="_x0000_i1025" DrawAspect="Content" ObjectID="_1468075725" r:id="rId22">
            <o:LockedField>false</o:LockedField>
          </o:OLEObject>
        </w:objec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图3.2-1 本项目夏季水平衡图（m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r>
        <w:rPr>
          <w:rFonts w:cs="Times New Roman"/>
          <w:color w:val="000000" w:themeColor="text1"/>
          <w14:textFill>
            <w14:solidFill>
              <w14:schemeClr w14:val="tx1"/>
            </w14:solidFill>
          </w14:textFill>
        </w:rPr>
        <w:br w:type="page"/>
      </w:r>
    </w:p>
    <w:p>
      <w:pPr>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object>
          <v:shape id="_x0000_i1026" o:spt="75" type="#_x0000_t75" style="height:492pt;width:505.2pt;" o:ole="t" filled="f" o:preferrelative="t" stroked="f" coordsize="21600,21600">
            <v:path/>
            <v:fill on="f" focussize="0,0"/>
            <v:stroke on="f" joinstyle="miter"/>
            <v:imagedata r:id="rId25" o:title=""/>
            <o:lock v:ext="edit" aspectratio="t"/>
            <w10:wrap type="none"/>
            <w10:anchorlock/>
          </v:shape>
          <o:OLEObject Type="Embed" ProgID="Visio.Drawing.15" ShapeID="_x0000_i1026" DrawAspect="Content" ObjectID="_1468075726" r:id="rId24">
            <o:LockedField>false</o:LockedField>
          </o:OLEObject>
        </w:objec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图3.2-2 本项目春秋季水平衡图（m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object>
          <v:shape id="_x0000_i1027" o:spt="75" type="#_x0000_t75" style="height:417.6pt;width:502.8pt;" o:ole="t" filled="f" o:preferrelative="t" stroked="f" coordsize="21600,21600">
            <v:path/>
            <v:fill on="f" focussize="0,0"/>
            <v:stroke on="f" joinstyle="miter"/>
            <v:imagedata r:id="rId27" o:title=""/>
            <o:lock v:ext="edit" aspectratio="t"/>
            <w10:wrap type="none"/>
            <w10:anchorlock/>
          </v:shape>
          <o:OLEObject Type="Embed" ProgID="Visio.Drawing.15" ShapeID="_x0000_i1027" DrawAspect="Content" ObjectID="_1468075727" r:id="rId26">
            <o:LockedField>false</o:LockedField>
          </o:OLEObject>
        </w:objec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图3.2-3 本项目冬季水平衡图（m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p>
    <w:p>
      <w:pPr>
        <w:pStyle w:val="4"/>
        <w:rPr>
          <w:rFonts w:cs="Times New Roman"/>
          <w:color w:val="000000" w:themeColor="text1"/>
          <w14:textFill>
            <w14:solidFill>
              <w14:schemeClr w14:val="tx1"/>
            </w14:solidFill>
          </w14:textFill>
        </w:rPr>
      </w:pPr>
      <w:bookmarkStart w:id="365" w:name="_Toc91163870"/>
      <w:r>
        <w:rPr>
          <w:rFonts w:cs="Times New Roman"/>
          <w:color w:val="000000" w:themeColor="text1"/>
          <w14:textFill>
            <w14:solidFill>
              <w14:schemeClr w14:val="tx1"/>
            </w14:solidFill>
          </w14:textFill>
        </w:rPr>
        <w:t>3.2.2 供电</w:t>
      </w:r>
      <w:bookmarkEnd w:id="36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项目用电从丰宜镇变电站接入，场内设置2台250 kVA变压器，并设1台150KW沼气发电机，可以满足场区用电需求。</w:t>
      </w:r>
    </w:p>
    <w:p>
      <w:pPr>
        <w:pStyle w:val="4"/>
        <w:rPr>
          <w:rFonts w:cs="Times New Roman"/>
          <w:color w:val="000000" w:themeColor="text1"/>
          <w14:textFill>
            <w14:solidFill>
              <w14:schemeClr w14:val="tx1"/>
            </w14:solidFill>
          </w14:textFill>
        </w:rPr>
      </w:pPr>
      <w:bookmarkStart w:id="366" w:name="_Toc91163871"/>
      <w:r>
        <w:rPr>
          <w:rFonts w:cs="Times New Roman"/>
          <w:color w:val="000000" w:themeColor="text1"/>
          <w14:textFill>
            <w14:solidFill>
              <w14:schemeClr w14:val="tx1"/>
            </w14:solidFill>
          </w14:textFill>
        </w:rPr>
        <w:t>3.2.3 供暖、制冷</w:t>
      </w:r>
      <w:bookmarkEnd w:id="366"/>
    </w:p>
    <w:p>
      <w:pPr>
        <w:pStyle w:val="5"/>
        <w:rPr>
          <w:color w:val="000000" w:themeColor="text1"/>
          <w14:textFill>
            <w14:solidFill>
              <w14:schemeClr w14:val="tx1"/>
            </w14:solidFill>
          </w14:textFill>
        </w:rPr>
      </w:pPr>
      <w:r>
        <w:rPr>
          <w:color w:val="000000" w:themeColor="text1"/>
          <w14:textFill>
            <w14:solidFill>
              <w14:schemeClr w14:val="tx1"/>
            </w14:solidFill>
          </w14:textFill>
        </w:rPr>
        <w:t>3.2.3.1猪舍保温与降温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1、冬季保温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猪舍冬季保温主要是通过猪舍墙体保温材料与外部断绝交换，猪舍内部通风通过全热交换器进行，实施最小通风量，既保证猪需要的氧气量，又保证单元内有害气体不超标，防止过度通风降低单元温度。当猪舍内温度接近或低于限定温度时，开启备用红外灯对猪舍内进行加温。</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猪舍控温系统说明</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项目通过优化猪舍结构设计、墙体做隔热保温层来切断单元内外热传递。同时，猪舍冬季通风换气时，通过热交换系统对进、出风实行热交换，使单元内温度保持在猪适宜的温度范围内。具体措施如下：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猪舍结构：墙体外铺挤塑式聚苯乙烯隔热保温板（冬季很好的阻热作用）+猪舍内热交换器（冬季有效利用热量，较少热量损失）+风机（夏季有很好的通风作用）。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A、猪舍外墙保温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墙体由挤塑式聚苯乙烯隔热保温板（简称“挤塑板”）来切断单元内外热传递，该材料具有高热阻、低线性、膨胀比低的特点，其结构的闭孔率达到了99%以上，形成真空层，避免空气流动散热，确保其保温性能的持久和稳定。</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B、全热交换器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全热交换器主要原理：热交换通风系统主要包括进风管、布风管、排风道、变速风机等。其中布风管和进风管相联通安装于猪舍上部，中间为猪群生活的漏缝板，猪舍下部为封闭的排风道，变速风机位于猪舍另一侧排风道中间。当变速风机启动时，从封闭通道抽出猪舍内部污浊高温的空气，室外清新的冷空气经由进风道进入猪舍内。因进风管采用导热性能较好的材料制成，在冷空气进入猪舍内的过程中，可通过进风管壁与猪舍内空气进行充分的热交换，使进入猪舍的新鲜空气温度大大提高，避免了</w:t>
      </w:r>
      <w:r>
        <w:rPr>
          <w:rFonts w:cs="Times New Roman"/>
          <w:color w:val="000000" w:themeColor="text1"/>
          <w:kern w:val="0"/>
          <w:szCs w:val="24"/>
          <w14:textFill>
            <w14:solidFill>
              <w14:schemeClr w14:val="tx1"/>
            </w14:solidFill>
          </w14:textFill>
        </w:rPr>
        <w:t>猪群在生长过程中的冷应激作用。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2、夏季降温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帘风机降温主要原理：水帘降温系统由水帘、循环水路、抽风机和温度控制装置组成。水帘用波纹状纤维纸粘结而成，在制作的原料中添加了不会随水流、气流的作用而分解的特殊化学成分，具有耐腐蚀、使用时间长等特点。在封闭式的猪舍内，一端的水泵将蓄水池中的水送至喷水管，把水喷向反水板，水均匀地从反水板上流下淋湿整个水帘，水在水槽和水帘间循环，从而保证空气与完全湿透的水帘表面接触。另一端安装负压风机向外排风，猪舍内形成负压区，舍外空气穿过水帘被吸入舍内，带着猪舍内的热量经风机排出室外，从而达到降温的目的。</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水帘风机降温系统的所有的温控全部由电脑程序自动控制，包括空气过滤、风机开启、地辅热启动，自动湿度调节等，该系统旨在给生猪提供一个温度适宜、湿度适中的饲养小环境。</w:t>
      </w:r>
    </w:p>
    <w:p>
      <w:pPr>
        <w:pStyle w:val="5"/>
        <w:rPr>
          <w:color w:val="000000" w:themeColor="text1"/>
          <w14:textFill>
            <w14:solidFill>
              <w14:schemeClr w14:val="tx1"/>
            </w14:solidFill>
          </w14:textFill>
        </w:rPr>
      </w:pPr>
      <w:r>
        <w:rPr>
          <w:color w:val="000000" w:themeColor="text1"/>
          <w14:textFill>
            <w14:solidFill>
              <w14:schemeClr w14:val="tx1"/>
            </w14:solidFill>
          </w14:textFill>
        </w:rPr>
        <w:t>3.2.3.2黑膜沼气池冬季保温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黑膜沼气池顶部的沼气隔温、外层黑膜可吸热和地埋式沼气池具有冬季相对恒温的特点，池内污水温度受外界影响较小，冬季不需保温，也不需另设热源启动，冬季其自身温度调节可满足发酵要求。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黑膜沼气池主体工程位于地面以下，顶部、底部用黑膜密封，和外界环境气温不流通，形成独特的小气候，经调查在室外温度2℃，进水温度15.8℃的环境中，经盖泻湖沼气池发酵后的出水温度达19℃；在室外温度-1℃，进水温度13.6℃的环境中，发酵后的出水温度达17.9℃。污水在池内的滞留期长（40天），厌氧发酵充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黑膜沼气池地下3 m，地上3 m，根据监测地温数据得出外界气温零下十度，地下3米温度仍在10℃以上，能够使厌氧发酵缓慢进行，整个沼气池储存时间长能够满足启动要求。</w:t>
      </w:r>
    </w:p>
    <w:p>
      <w:pPr>
        <w:pStyle w:val="5"/>
        <w:rPr>
          <w:color w:val="000000" w:themeColor="text1"/>
          <w14:textFill>
            <w14:solidFill>
              <w14:schemeClr w14:val="tx1"/>
            </w14:solidFill>
          </w14:textFill>
        </w:rPr>
      </w:pPr>
      <w:r>
        <w:rPr>
          <w:color w:val="000000" w:themeColor="text1"/>
          <w14:textFill>
            <w14:solidFill>
              <w14:schemeClr w14:val="tx1"/>
            </w14:solidFill>
          </w14:textFill>
        </w:rPr>
        <w:t>3.2.3.3 办公生活区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项目办公区冬季采用电采暖方式供暖。</w:t>
      </w:r>
    </w:p>
    <w:p>
      <w:pPr>
        <w:pStyle w:val="4"/>
        <w:rPr>
          <w:rFonts w:cs="Times New Roman"/>
          <w:color w:val="000000" w:themeColor="text1"/>
          <w14:textFill>
            <w14:solidFill>
              <w14:schemeClr w14:val="tx1"/>
            </w14:solidFill>
          </w14:textFill>
        </w:rPr>
      </w:pPr>
      <w:bookmarkStart w:id="367" w:name="_Toc91163872"/>
      <w:r>
        <w:rPr>
          <w:rFonts w:cs="Times New Roman"/>
          <w:color w:val="000000" w:themeColor="text1"/>
          <w14:textFill>
            <w14:solidFill>
              <w14:schemeClr w14:val="tx1"/>
            </w14:solidFill>
          </w14:textFill>
        </w:rPr>
        <w:t>3.2.4 通风</w:t>
      </w:r>
      <w:bookmarkEnd w:id="36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养殖区采用全封闭室内养殖，同时保证室内空气流通，猪舍两端设置通风降温系统，以改善工作环境。</w:t>
      </w:r>
    </w:p>
    <w:p>
      <w:pPr>
        <w:pStyle w:val="3"/>
        <w:spacing w:before="120" w:after="120"/>
        <w:rPr>
          <w:rFonts w:cs="Times New Roman"/>
          <w:color w:val="000000" w:themeColor="text1"/>
          <w14:textFill>
            <w14:solidFill>
              <w14:schemeClr w14:val="tx1"/>
            </w14:solidFill>
          </w14:textFill>
        </w:rPr>
      </w:pPr>
      <w:bookmarkStart w:id="368" w:name="_Toc91163873"/>
      <w:r>
        <w:rPr>
          <w:rFonts w:cs="Times New Roman"/>
          <w:color w:val="000000" w:themeColor="text1"/>
          <w14:textFill>
            <w14:solidFill>
              <w14:schemeClr w14:val="tx1"/>
            </w14:solidFill>
          </w14:textFill>
        </w:rPr>
        <w:t>3.3  工程分析</w:t>
      </w:r>
      <w:bookmarkEnd w:id="368"/>
    </w:p>
    <w:p>
      <w:pPr>
        <w:pStyle w:val="4"/>
        <w:rPr>
          <w:rFonts w:cs="Times New Roman"/>
          <w:color w:val="000000" w:themeColor="text1"/>
          <w14:textFill>
            <w14:solidFill>
              <w14:schemeClr w14:val="tx1"/>
            </w14:solidFill>
          </w14:textFill>
        </w:rPr>
      </w:pPr>
      <w:bookmarkStart w:id="369" w:name="_Toc91163874"/>
      <w:r>
        <w:rPr>
          <w:rFonts w:cs="Times New Roman"/>
          <w:color w:val="000000" w:themeColor="text1"/>
          <w14:textFill>
            <w14:solidFill>
              <w14:schemeClr w14:val="tx1"/>
            </w14:solidFill>
          </w14:textFill>
        </w:rPr>
        <w:t>3.3.1 养殖工艺</w:t>
      </w:r>
      <w:bookmarkEnd w:id="369"/>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本项目采用集约化养殖方式饲养生猪，按照现代化养猪要求设计养殖工艺流程，实行流水生产工艺，即把猪群按照生产过程专业化的要求划分为配种妊娠阶段、分娩哺乳、保育、育肥，养殖工艺流程如下：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1、配种妊娠阶段</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公猪在公猪舍中进行饲养，定期进行人工取精，经检验合格后的精液由人工送至精液冷藏柜中妥善保存；</w:t>
      </w:r>
    </w:p>
    <w:p>
      <w:pPr>
        <w:ind w:firstLine="480"/>
        <w:rPr>
          <w:rFonts w:cs="Times New Roman"/>
          <w:color w:val="000000" w:themeColor="text1"/>
          <w:lang w:bidi="en-US"/>
          <w14:textFill>
            <w14:solidFill>
              <w14:schemeClr w14:val="tx1"/>
            </w14:solidFill>
          </w14:textFill>
        </w:rPr>
      </w:pPr>
      <w:r>
        <w:rPr>
          <w:rFonts w:cs="Times New Roman"/>
          <w:color w:val="000000" w:themeColor="text1"/>
          <w14:textFill>
            <w14:solidFill>
              <w14:schemeClr w14:val="tx1"/>
            </w14:solidFill>
          </w14:textFill>
        </w:rPr>
        <w:t>母猪来源为本养殖场，从育肥阶段挑选一部分猪在后备舍进行驯化，定期更新母猪群。</w:t>
      </w:r>
      <w:r>
        <w:rPr>
          <w:rFonts w:cs="Times New Roman"/>
          <w:color w:val="000000" w:themeColor="text1"/>
          <w:lang w:bidi="en-US"/>
          <w14:textFill>
            <w14:solidFill>
              <w14:schemeClr w14:val="tx1"/>
            </w14:solidFill>
          </w14:textFill>
        </w:rPr>
        <w:t>空怀母猪，后备母猪分别在各自区域中的配怀猪舍中相应的养殖区进行饲养，当出现发情症状时移入配种区。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当母猪出现发情症状时，采用人工授精技术对发情母猪在后备猪舍进行配种，配种妊娠阶段生猪要完成配种并度过妊娠期。配种周期为1~1.5周，确认受孕后的生猪在怀孕舍进行饲养，怀孕舍生猪单头限位栏饲养，控制膘情，减少争食应激，提高受胎率及乳猪初生重，饲养存栏周期为114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母猪配种妊娠阶段死亡率为1%，在该阶段产生的病死母猪尸体送无害化处理车间处置。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2、分娩哺乳阶段</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分娩哺乳阶段母猪要完成分娩和对仔猪的哺育，母猪产前一周（7d）入分娩猪舍，在入分娩猪舍前对母猪进行清洗。母猪在分娩舍中分娩后，与仔猪一起在分娩舍中饲养，哺乳期一般为28 d。</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哺乳期结束后，仔猪进入保育猪舍进行饲养，母猪回配怀猪舍，进入下一个繁殖周期。</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该阶段哺乳死亡率为10%，在该阶段产生的母猪胎盘和病死仔猪尸体送无害化处理车间处置。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3、仔猪保育阶段</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仔猪断奶后转入保育阶段。这一阶段，仔猪与母猪不在一起，营养来源由吃奶供给转变为仔猪独立采食饲料。保育舍实行小群饲养，保育的适宜温度和相对湿度控制在20~22℃和65%~70%，并注意良好的通风换气，保持圈舍清洁、干燥，饮水充足。</w:t>
      </w:r>
    </w:p>
    <w:p>
      <w:pPr>
        <w:ind w:firstLine="480"/>
        <w:rPr>
          <w:rFonts w:cs="Times New Roman"/>
          <w:color w:val="000000" w:themeColor="text1"/>
          <w14:textFill>
            <w14:solidFill>
              <w14:schemeClr w14:val="tx1"/>
            </w14:solidFill>
          </w14:textFill>
        </w:rPr>
      </w:pPr>
      <w:r>
        <w:rPr>
          <w:rFonts w:cs="Times New Roman"/>
          <w:color w:val="000000" w:themeColor="text1"/>
          <w:lang w:bidi="en-US"/>
          <w14:textFill>
            <w14:solidFill>
              <w14:schemeClr w14:val="tx1"/>
            </w14:solidFill>
          </w14:textFill>
        </w:rPr>
        <w:t>进入保育舍的幼猪，7~10日内保持原来的乳猪饲料，并严格控制采食量，由自由采食改为日喂4-5餐，投料量为自由采食的70%。以后逐渐过渡到仔猪料。保育阶段对幼猪安排驱虫、防疫注射工作。</w:t>
      </w:r>
      <w:r>
        <w:rPr>
          <w:rFonts w:cs="Times New Roman"/>
          <w:color w:val="000000" w:themeColor="text1"/>
          <w14:textFill>
            <w14:solidFill>
              <w14:schemeClr w14:val="tx1"/>
            </w14:solidFill>
          </w14:textFill>
        </w:rPr>
        <w:t>饲养存栏周期为35天。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该阶段保育死亡率为5%，在该阶段产生的病死猪尸体送无害化处理车间处置。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4、生长育肥阶段</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猪仔育肥主要包括架子猪阶段和催肥阶段。</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架子猪阶段：猪仔体重从25~50公斤左右，饲养期4~5个月，主要饲喂青粗饲料，要求骨骼和肌肉得到充分发育，长大架子，此期间猪日增重缓慢，约150~200克。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催肥阶段：体重50公斤左右到出栏。一般约2个月左右，是脂肪沉积量大的阶段，要求集中使用精料，加快育肥，其日增重可达500克以上。除抓好以上三个阶段饲养管理之外，还应顺利地实行两个过渡。即小猪进入架子猪阶段，架子猪入催肥阶段两次过渡。防止因突然增（或减）精粗饲料喂量而影响适口性，导致猪食欲下降，消化不良和增重减少。值得强调的是，阶段育肥法只有在青粗饲料丰富的条件下使用，才能达到既节约精料又养好猪的目的。</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同时为了保证猪仔育肥阶段的健康成长，猪舍在进猪前应进行维修和彻底地冲洗、消毒。进猪后保持舍内清洁、干燥、通风良好、饮水充足，温度控制在18~22℃，夏季注意防暑降温。转群时应将原圈猪按体重大小、性别、强弱分群，每群大小应视圈舍大小而定，一般为10~20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每月要定期称重，以检查饲喂效果。经常检查猪群的采食、发育等情况，及时调整饲料配方，发现疫病及时报告，采取有效措施进行治疗和处理。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该阶段育肥死亡率为2%，在该阶段产生的病死猪尸体送无害化处理车间处置。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5、外售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本项目仔猪在经140天的保育育肥饲养成长至约110 kg即为成品商品猪，作为商品猪出售。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生产工艺流程见图3.3-1。</w:t>
      </w:r>
    </w:p>
    <w:p>
      <w:pPr>
        <w:ind w:firstLine="0" w:firstLineChars="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object>
          <v:shape id="_x0000_i1028" o:spt="75" type="#_x0000_t75" style="height:180pt;width:442.8pt;" o:ole="t" filled="f" o:preferrelative="t" stroked="f" coordsize="21600,21600">
            <v:path/>
            <v:fill on="f" focussize="0,0"/>
            <v:stroke on="f" joinstyle="miter"/>
            <v:imagedata r:id="rId29" o:title=""/>
            <o:lock v:ext="edit" aspectratio="t"/>
            <w10:wrap type="none"/>
            <w10:anchorlock/>
          </v:shape>
          <o:OLEObject Type="Embed" ProgID="Visio.Drawing.15" ShapeID="_x0000_i1028" DrawAspect="Content" ObjectID="_1468075728" r:id="rId28">
            <o:LockedField>false</o:LockedField>
          </o:OLEObject>
        </w:objec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图3.3-1 养殖工艺流程图</w:t>
      </w:r>
    </w:p>
    <w:p>
      <w:pPr>
        <w:pStyle w:val="4"/>
        <w:rPr>
          <w:rFonts w:cs="Times New Roman"/>
          <w:color w:val="000000" w:themeColor="text1"/>
          <w14:textFill>
            <w14:solidFill>
              <w14:schemeClr w14:val="tx1"/>
            </w14:solidFill>
          </w14:textFill>
        </w:rPr>
      </w:pPr>
      <w:bookmarkStart w:id="370" w:name="_Toc91163875"/>
      <w:r>
        <w:rPr>
          <w:rFonts w:cs="Times New Roman"/>
          <w:color w:val="000000" w:themeColor="text1"/>
          <w14:textFill>
            <w14:solidFill>
              <w14:schemeClr w14:val="tx1"/>
            </w14:solidFill>
          </w14:textFill>
        </w:rPr>
        <w:t>3.3.2 养殖其他工艺说明</w:t>
      </w:r>
      <w:bookmarkEnd w:id="370"/>
    </w:p>
    <w:p>
      <w:pPr>
        <w:pStyle w:val="5"/>
        <w:rPr>
          <w:color w:val="000000" w:themeColor="text1"/>
          <w14:textFill>
            <w14:solidFill>
              <w14:schemeClr w14:val="tx1"/>
            </w14:solidFill>
          </w14:textFill>
        </w:rPr>
      </w:pPr>
      <w:r>
        <w:rPr>
          <w:color w:val="000000" w:themeColor="text1"/>
          <w14:textFill>
            <w14:solidFill>
              <w14:schemeClr w14:val="tx1"/>
            </w14:solidFill>
          </w14:textFill>
        </w:rPr>
        <w:t>3.3.2.1上料系统</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项目采用全自动配送上料系统和限位猪槽，机械化操作，定时定量供应饲料，保证生猪饮食需求，同时减少浪费，节约人力和饲料用量，降低生产成本。</w:t>
      </w:r>
    </w:p>
    <w:p>
      <w:pPr>
        <w:pStyle w:val="5"/>
        <w:rPr>
          <w:color w:val="000000" w:themeColor="text1"/>
          <w14:textFill>
            <w14:solidFill>
              <w14:schemeClr w14:val="tx1"/>
            </w14:solidFill>
          </w14:textFill>
        </w:rPr>
      </w:pPr>
      <w:r>
        <w:rPr>
          <w:color w:val="000000" w:themeColor="text1"/>
          <w14:textFill>
            <w14:solidFill>
              <w14:schemeClr w14:val="tx1"/>
            </w14:solidFill>
          </w14:textFill>
        </w:rPr>
        <w:t>3.3.2.2饮水系统</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项目采用先进的水盘饮水器，水盘饮水器底部槽体液面始终持在2 cm的液面高度，在此液面高度时，饮水器与外界空气形成负压，当生猪喝水时，饮水器与空气接触，内部压力大于外部压力，水自动地从管内流出直至液面高度在2 cm时饮水器自动停止供水。能保证生猪随时饮用新鲜水，同时避免不必要的浪费，节约水资源。</w:t>
      </w:r>
    </w:p>
    <w:p>
      <w:pPr>
        <w:pStyle w:val="4"/>
        <w:rPr>
          <w:rFonts w:cs="Times New Roman"/>
          <w:color w:val="000000" w:themeColor="text1"/>
          <w14:textFill>
            <w14:solidFill>
              <w14:schemeClr w14:val="tx1"/>
            </w14:solidFill>
          </w14:textFill>
        </w:rPr>
      </w:pPr>
      <w:bookmarkStart w:id="371" w:name="_Toc91163876"/>
      <w:r>
        <w:rPr>
          <w:rFonts w:cs="Times New Roman"/>
          <w:color w:val="000000" w:themeColor="text1"/>
          <w14:textFill>
            <w14:solidFill>
              <w14:schemeClr w14:val="tx1"/>
            </w14:solidFill>
          </w14:textFill>
        </w:rPr>
        <w:t>3.3.3 干清粪工艺</w:t>
      </w:r>
      <w:bookmarkEnd w:id="371"/>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采用环保部认定的干清粪工艺：猪生活在漏缝地板上，猪舍内产生的猪粪由于猪的踩踏及重力作用离开猪舍进入猪舍底部的粪污储存池，储存池底部为两端高中间低的结构（千分之五的坡度），且中间设置有一条宽为15 cm，高为10 cm的排粪渠（排粪渠底部坡度为千分之五），粪便污水依靠重力自流进入排粪渠内，由排粪渠再自流至粪便储存池最低端，储存池最低端设置有排粪塞，排粪时拉开排粪塞，通过虹吸作用将粪便污水经从粪污储存池经地埋式管道输送至治污区，泵送至固液分离机分离粪尿，分离后的固态猪粪进入有机肥粪棚生产有机肥；液体进入黑膜沼气池进行厌氧发酵，沼液贮存在沼液储存池内用于周围土地消纳，全部综合利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本项目干清粪工艺具有以下特点：</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1、养殖圈舍不注入清水，也不将清水用于圈舍粪尿日常清理，仅在转栏时用高压水枪进行冲洗，大大减少了粪污产生量。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养殖舍内粪尿产生即依靠重力经漏缝地板离开猪舍进入猪舍下部粪污储存池，粪污在储存池内可做到充分的厌氧杀菌、适度降低有机物浓度，避免在施用农田过程中出现二次发酵的现象。粪污储存池达到一定液位后及时清理，由人工打开排污塞，粪污水排入污水处理系统处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粪污水离开粪污储存池后即进行干湿分离和无害化处理，经干湿分离后固体粪便送入堆肥发酵场生产有机肥，液体进入黑膜沼气池进行厌氧发酵，可以实现粪污离开粪池即进行干湿分离和无害化并全部实现综合利用，不混合排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本项目清粪工艺示意图见图3.3-2。</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保部办公厅“关于牧原食品股份有限公司部分养殖场清粪工艺问题的复函”（环办函【2015】425号）明确指出：“牧原食品股份有限公司部分养殖场所采用的清粪工艺不将清水用于圈舍粪尿日常清理，粪尿产生即依靠重力离开猪舍进入储存池，大大减少了粪污产生量，并实现粪尿及时清理；粪污离开储存池即进行干湿分离和无害化并全部实现综合利用，没有混合排出。我部认为该清粪工艺具备干清粪工艺基本特征，符合相关技术规范的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anchor distT="0" distB="0" distL="114300" distR="114300" simplePos="0" relativeHeight="251740160" behindDoc="0" locked="0" layoutInCell="1" allowOverlap="1">
            <wp:simplePos x="0" y="0"/>
            <wp:positionH relativeFrom="margin">
              <wp:posOffset>861060</wp:posOffset>
            </wp:positionH>
            <wp:positionV relativeFrom="paragraph">
              <wp:posOffset>368300</wp:posOffset>
            </wp:positionV>
            <wp:extent cx="4017645" cy="2871470"/>
            <wp:effectExtent l="0" t="0" r="1905" b="5080"/>
            <wp:wrapTopAndBottom/>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30">
                      <a:extLst>
                        <a:ext uri="{28A0092B-C50C-407E-A947-70E740481C1C}">
                          <a14:useLocalDpi xmlns:a14="http://schemas.microsoft.com/office/drawing/2010/main" val="false"/>
                        </a:ext>
                      </a:extLst>
                    </a:blip>
                    <a:stretch>
                      <a:fillRect/>
                    </a:stretch>
                  </pic:blipFill>
                  <pic:spPr>
                    <a:xfrm>
                      <a:off x="0" y="0"/>
                      <a:ext cx="4017645" cy="2871470"/>
                    </a:xfrm>
                    <a:prstGeom prst="rect">
                      <a:avLst/>
                    </a:prstGeom>
                  </pic:spPr>
                </pic:pic>
              </a:graphicData>
            </a:graphic>
          </wp:anchor>
        </w:drawing>
      </w:r>
      <w:r>
        <w:rPr>
          <w:rFonts w:cs="Times New Roman"/>
          <w:color w:val="000000" w:themeColor="text1"/>
          <w14:textFill>
            <w14:solidFill>
              <w14:schemeClr w14:val="tx1"/>
            </w14:solidFill>
          </w14:textFill>
        </w:rPr>
        <w:t>本项目采取的清粪工艺和牧原公司相同，符合相关技术规范的要求。</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图3.3-2 项目清粪工艺示意图</w:t>
      </w:r>
    </w:p>
    <w:p>
      <w:pPr>
        <w:pStyle w:val="4"/>
        <w:rPr>
          <w:rFonts w:cs="Times New Roman"/>
          <w:color w:val="000000" w:themeColor="text1"/>
          <w14:textFill>
            <w14:solidFill>
              <w14:schemeClr w14:val="tx1"/>
            </w14:solidFill>
          </w14:textFill>
        </w:rPr>
      </w:pPr>
      <w:bookmarkStart w:id="372" w:name="_Toc91163877"/>
      <w:r>
        <w:rPr>
          <w:rFonts w:cs="Times New Roman"/>
          <w:color w:val="000000" w:themeColor="text1"/>
          <w14:textFill>
            <w14:solidFill>
              <w14:schemeClr w14:val="tx1"/>
            </w14:solidFill>
          </w14:textFill>
        </w:rPr>
        <w:t>3.3.4 废水处理工艺</w:t>
      </w:r>
      <w:bookmarkEnd w:id="372"/>
    </w:p>
    <w:p>
      <w:pPr>
        <w:pStyle w:val="5"/>
        <w:rPr>
          <w:color w:val="000000" w:themeColor="text1"/>
          <w14:textFill>
            <w14:solidFill>
              <w14:schemeClr w14:val="tx1"/>
            </w14:solidFill>
          </w14:textFill>
        </w:rPr>
      </w:pPr>
      <w:r>
        <w:rPr>
          <w:color w:val="000000" w:themeColor="text1"/>
          <w14:textFill>
            <w14:solidFill>
              <w14:schemeClr w14:val="tx1"/>
            </w14:solidFill>
          </w14:textFill>
        </w:rPr>
        <w:t>3.3.4.1工艺简述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养殖废水经场区污水管网收集，自流至集粪池。粪污水首先经过固液分离预处理系统，去除大部分固体杂物（粪便、猪毛、沉淀物等），分离出来的固体粪渣收集进行堆肥发酵，制成有机肥。污水经提升泵泵至黑膜沼气池进行厌氧处理，厌氧发酵45天去除大部分有机物，产生沼液在施肥季节根据农作物需求液态施肥，沼渣泵送至固液分离分离机分离，与粪便一起堆肥处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体粪污的处理：堆肥区与地下集粪池紧邻，固液分离出来的粪渣可直接转至堆肥区；粪污水处理产生的沼渣以及病死猪无害化处理产生的固体残渣经小铲车运至有机肥粪棚暂存并进行堆肥发酵，制成有机肥用于种植返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本项目粪便处理采用的措施符合《畜禽养殖业污染治理工程技术规范》（HJ 497－2009）中规定的模式</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2 \* ROMAN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II</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规范中提出“模式Ⅱ工艺适用于能源需求不大，主要以进行污染物无害化处理、降低有机物浓度、减少沼液和沼渣消纳所需配套的土地面积为目的，且养殖场周围具有足够土地面积全部消纳低浓度沼液，并且有一定的土地轮作面积的情况；废水进入厌氧反应器之前应先进行固液（干湿）分离，然后再对固体粪渣和废水分别进行处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污水处理工艺流程及产污环节图见图3.3-3。</w:t>
      </w:r>
    </w:p>
    <w:p>
      <w:pPr>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object>
          <v:shape id="_x0000_i1029" o:spt="75" type="#_x0000_t75" style="height:286.8pt;width:399.6pt;" o:ole="t" filled="f" o:preferrelative="t" stroked="f" coordsize="21600,21600">
            <v:path/>
            <v:fill on="f" focussize="0,0"/>
            <v:stroke on="f" joinstyle="miter"/>
            <v:imagedata r:id="rId32" o:title=""/>
            <o:lock v:ext="edit" aspectratio="t"/>
            <w10:wrap type="none"/>
            <w10:anchorlock/>
          </v:shape>
          <o:OLEObject Type="Embed" ProgID="Visio.Drawing.15" ShapeID="_x0000_i1029" DrawAspect="Content" ObjectID="_1468075729" r:id="rId31">
            <o:LockedField>false</o:LockedField>
          </o:OLEObject>
        </w:objec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图3.3-3 项目废水处理工艺流程</w:t>
      </w:r>
    </w:p>
    <w:p>
      <w:pPr>
        <w:pStyle w:val="5"/>
        <w:rPr>
          <w:color w:val="000000" w:themeColor="text1"/>
          <w14:textFill>
            <w14:solidFill>
              <w14:schemeClr w14:val="tx1"/>
            </w14:solidFill>
          </w14:textFill>
        </w:rPr>
      </w:pPr>
      <w:r>
        <w:rPr>
          <w:color w:val="000000" w:themeColor="text1"/>
          <w14:textFill>
            <w14:solidFill>
              <w14:schemeClr w14:val="tx1"/>
            </w14:solidFill>
          </w14:textFill>
        </w:rPr>
        <w:t>3.3.4.2黑膜沼气池</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1、黑膜沼气池工艺介绍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畜禽养殖废水属于高浓度有机废水，经过厌氧无害化处理后的沼液，不仅含有作物所需的氮、磷、钾等大量元素，还含有硼、铜、铁、锰、钙、锌等丰富的中微量元素，以及大量的有机质、多种氨基酸、维生素、赤霉素、生长素、水解酶、有机酸和腐植酸等生物活性物质，是一种非常理想的液态有机肥料。</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水处理的目的是将养殖废水转变为沼液用于农田施肥，使废物资源化利用。本项目废水处理设计思路：养殖废水在厌氧无害化消除病原菌的基础上，尽量保留粪水中的有机质、氨氮等农业所需养分，以保证后续农肥利用的持续、高效。</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采用黑膜沼气池（厌氧塘），采用优质HDPE材料，由底膜和顶膜密封形成的全封闭厌氧反应器。在黑膜沼气池内，污水中的有机物在微生物作用下降解转化生成沼气，系统配置沼气净化和利用设施。黑膜沼气池容积大、深度较深，污水进入塘内后，每天进水量相对较少，因此耐污水的冲击负荷强；加之黑膜沼气池具有冬季相对恒温的特点，塘内污水温度受外界影响较小，冬季不需保温。黑膜沼气池主体工程位于地面以下，顶部、底部用黑膜密封，和外界环境气温不流通，形成独特的小气候，经调查在室外温度2℃，进水温度15.8℃的环境中，经黑膜沼气池发酵后的出水温度达19℃；在室外温度-1℃，进水温度13.6℃的环境中，发酵后的出水温度达17.9℃。污水在池内的滞留期较长，厌氧发酵充分。</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2、黑膜沼气池工艺建设及设备配置</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14:textFill>
            <w14:solidFill>
              <w14:schemeClr w14:val="tx1"/>
            </w14:solidFill>
          </w14:textFill>
        </w:rPr>
        <w:t>本项目黑膜沼气池采用常温发酵，主体工程位于地下，塘口、底部用HDPE黑膜密封，采用全封闭结构，厌氧塘内的温度能保持常温发酵。产生的沼气经净化后，用于发电；沼液在非施肥季节储存于沼液塘，满足《畜禽养殖业污染防治技术规范》（HJ/T</w:t>
      </w:r>
      <w:r>
        <w:rPr>
          <w:rFonts w:cs="Times New Roman"/>
          <w:color w:val="000000" w:themeColor="text1"/>
          <w:kern w:val="0"/>
          <w:szCs w:val="24"/>
          <w14:textFill>
            <w14:solidFill>
              <w14:schemeClr w14:val="tx1"/>
            </w14:solidFill>
          </w14:textFill>
        </w:rPr>
        <w:t xml:space="preserve"> 81-2001）相关要求。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黑膜沼气池建设及设备配置为：</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两层防渗：土膜夯实+1 mm厚聚氯乙烯膜；</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顶部覆盖：顶部用1.5 mmHDPE膜覆盖，四边用1 m深，1 m宽锚固沟压实；</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t>底部配置：160 PVC排泥管道；</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cs="Times New Roman"/>
          <w:color w:val="000000" w:themeColor="text1"/>
          <w14:textFill>
            <w14:solidFill>
              <w14:schemeClr w14:val="tx1"/>
            </w14:solidFill>
          </w14:textFill>
        </w:rPr>
        <w:t>池壁配置：PE110进水管道，PE250出水管道，de90PVC沼气出气管；</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anchor distT="0" distB="0" distL="114300" distR="114300" simplePos="0" relativeHeight="251745280" behindDoc="0" locked="0" layoutInCell="1" allowOverlap="1">
            <wp:simplePos x="0" y="0"/>
            <wp:positionH relativeFrom="column">
              <wp:posOffset>486410</wp:posOffset>
            </wp:positionH>
            <wp:positionV relativeFrom="paragraph">
              <wp:posOffset>513080</wp:posOffset>
            </wp:positionV>
            <wp:extent cx="4809490" cy="2372995"/>
            <wp:effectExtent l="0" t="0" r="0" b="8255"/>
            <wp:wrapTopAndBottom/>
            <wp:docPr id="98" name="图片 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true" noChangeArrowheads="true"/>
                    </pic:cNvPicPr>
                  </pic:nvPicPr>
                  <pic:blipFill>
                    <a:blip r:embed="rId33">
                      <a:extLst>
                        <a:ext uri="{28A0092B-C50C-407E-A947-70E740481C1C}">
                          <a14:useLocalDpi xmlns:a14="http://schemas.microsoft.com/office/drawing/2010/main" val="false"/>
                        </a:ext>
                      </a:extLst>
                    </a:blip>
                    <a:srcRect/>
                    <a:stretch>
                      <a:fillRect/>
                    </a:stretch>
                  </pic:blipFill>
                  <pic:spPr>
                    <a:xfrm>
                      <a:off x="0" y="0"/>
                      <a:ext cx="4809490" cy="2372995"/>
                    </a:xfrm>
                    <a:prstGeom prst="rect">
                      <a:avLst/>
                    </a:prstGeom>
                    <a:noFill/>
                    <a:ln>
                      <a:noFill/>
                    </a:ln>
                  </pic:spPr>
                </pic:pic>
              </a:graphicData>
            </a:graphic>
          </wp:anchor>
        </w:drawing>
      </w:r>
      <w:r>
        <w:rPr>
          <w:rFonts w:hint="eastAsia" w:ascii="宋体" w:hAnsi="宋体" w:cs="宋体"/>
          <w:color w:val="000000" w:themeColor="text1"/>
          <w14:textFill>
            <w14:solidFill>
              <w14:schemeClr w14:val="tx1"/>
            </w14:solidFill>
          </w14:textFill>
        </w:rPr>
        <w:t>⑤</w:t>
      </w:r>
      <w:r>
        <w:rPr>
          <w:rFonts w:cs="Times New Roman"/>
          <w:color w:val="000000" w:themeColor="text1"/>
          <w14:textFill>
            <w14:solidFill>
              <w14:schemeClr w14:val="tx1"/>
            </w14:solidFill>
          </w14:textFill>
        </w:rPr>
        <w:t>设备配置：根据场区规模选择（5.5 kW两相流泵，口径80，流量50，扬程20，功率5.5 kW）进水水泵。黑膜沼气池结构示意图见图3.3-4。</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图3.3-4 黑膜沼气池结构示意图</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3、黑膜沼气池处理能力的合理性分析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黑膜沼气池内分四块区域，分别为发酵前期、发酵中期、发酵后期及发酵成熟区。从黑膜沼气池起点进入的粪尿混合物，因粪尿混合物的不断进入，产生推力推动着粪尿混合物不断向黑膜沼气池的末端前进，依次经历发酵前期、发酵中期、发酵后期及发酵成熟区这四个区域，为了保证黑膜沼气池的处理能力，就要保证黑膜沼气池发酵区的长度够长，即水力停留时间长。</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根据其他养殖场运行实例，黑膜沼气池内粪尿混合物的前进速度为4.5 cm/h，设计厌氧发酵反应40天，则黑膜沼气池发酵区的有效长度为48.6 m。项目拟建黑膜沼气池的发酵区长为52 m，大于有效长度，能够有效处理该养殖场粪污。</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项目场区内每天产生废水+粪污量为47.09 t/d（日废水量按夏季计算），该黑膜沼气池的设计停留时间为45 d，则黑膜沼气池有效容积为2119.05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项目拟设置1座黑膜沼气池（容积为5000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），大于其有效容积，能够有效容纳本项目运营期粪污。</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综上分析，项目拟建的黑膜沼气池满足项目运营期粪污处理需求。</w:t>
      </w:r>
    </w:p>
    <w:p>
      <w:pPr>
        <w:pStyle w:val="5"/>
        <w:rPr>
          <w:color w:val="000000" w:themeColor="text1"/>
          <w14:textFill>
            <w14:solidFill>
              <w14:schemeClr w14:val="tx1"/>
            </w14:solidFill>
          </w14:textFill>
        </w:rPr>
      </w:pPr>
      <w:r>
        <w:rPr>
          <w:color w:val="000000" w:themeColor="text1"/>
          <w14:textFill>
            <w14:solidFill>
              <w14:schemeClr w14:val="tx1"/>
            </w14:solidFill>
          </w14:textFill>
        </w:rPr>
        <w:t>3.3.4.3沼液储存及利用系统</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1、沼液的产生量</w:t>
      </w:r>
    </w:p>
    <w:p>
      <w:pPr>
        <w:ind w:firstLine="480"/>
        <w:rPr>
          <w:rFonts w:cs="Times New Roman"/>
          <w:color w:val="000000" w:themeColor="text1"/>
          <w:highlight w:val="yellow"/>
          <w14:textFill>
            <w14:solidFill>
              <w14:schemeClr w14:val="tx1"/>
            </w14:solidFill>
          </w14:textFill>
        </w:rPr>
      </w:pPr>
      <w:r>
        <w:rPr>
          <w:rFonts w:cs="Times New Roman"/>
          <w:color w:val="000000" w:themeColor="text1"/>
          <w14:textFill>
            <w14:solidFill>
              <w14:schemeClr w14:val="tx1"/>
            </w14:solidFill>
          </w14:textFill>
        </w:rPr>
        <w:t>项目养殖废水、生活废水和餐饮废水泵送至固液分离机固液分离，废水进入黑膜沼气池厌氧发酵，进入黑膜沼气池废水量为</w:t>
      </w:r>
      <w:bookmarkStart w:id="373" w:name="_Hlk81226957"/>
      <w:r>
        <w:rPr>
          <w:rFonts w:cs="Times New Roman"/>
          <w:color w:val="000000" w:themeColor="text1"/>
          <w14:textFill>
            <w14:solidFill>
              <w14:schemeClr w14:val="tx1"/>
            </w14:solidFill>
          </w14:textFill>
        </w:rPr>
        <w:t>12719.9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bookmarkEnd w:id="373"/>
      <w:r>
        <w:rPr>
          <w:rFonts w:cs="Times New Roman"/>
          <w:color w:val="000000" w:themeColor="text1"/>
          <w14:textFill>
            <w14:solidFill>
              <w14:schemeClr w14:val="tx1"/>
            </w14:solidFill>
          </w14:textFill>
        </w:rPr>
        <w:t>（夏季42.98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/d、其他季节30.88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养殖废水、生活废水、餐饮废水经黑膜沼气池厌氧发酵，全部转化为沼液，项目运营期沼液产生量=12719.9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2、沼液储存的容积的合理性分析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畜禽养殖业污染防治技术规范》（HJ/T81-2001）中“畜禽养殖场污水排入农田之前必须进行预处理，并应配套田间贮存池，以解决农田在非施肥期间污水出路问题，田间贮存池的总容积不得低于当地农林作物生产用肥的最大间隔时间内畜禽养殖场排放污水的总值”。根据《畜禽养殖业污染治理工程技术规范》（HT497-2009）中“贮存池的总有效容积应根据贮存期确定。种养结合的养殖场，贮存池的贮存期不得低于当地农作生产用肥的最大间隔时间和冬季封冻或雨季最长降雨期，一般不得少于30 d的排放总量”。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结合相关法规、当地农作物施肥规律及《畜禽养殖污水贮存设施设计要求》（GB/T26624-2011）中要求，施肥季节为春、夏、秋，年施重肥三次，追肥四次，贮存池宜预留0.9 m高的空间，预留体积按照设施的实际长和宽以及预留高度进行计算。</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项目拟设1座沼液储存池，位于场区东侧，总容积为11170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。在冬季，农田不需施肥，无害化处理后的沼液暂存于沼液储存池，施肥主要是在非采暖期进行施肥。项目非施肥期（按150 d考虑）沼液产生量为7863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，沼液储存池可有效容纳非施肥期产生的沼液。</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3、沼液利用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项目食堂废水与其他废水一起进入黑膜沼气池处理，处理工艺为“预处理+厌氧发酵”工艺，处理后的沼液用于周围农田施肥，沼渣进行堆肥处理。项目经此工艺处理后废水综合利用，不外排。</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照《沼气工程沼液沼渣后处理技术规范》（NY/T2374-2013），以资源化利用为目的的沼液主要用于施肥、制作水溶肥料和浓缩肥，沼液必须经过充分厌氧消化。非施肥季节处理后沼液的贮存，应设置专门的贮存设施。沼液用于农田施用，应根据作物需肥量和需水量等因素进行调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项目产生的沼液用于施肥，其后处理技术工艺为：沼液-沉淀-贮存-农田施肥。项目沼液最大产生量为42.98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/d，产生的沼液以施肥方式用作肥料用于周围农田。沼液中含量最多也是最主要的可被作物吸收利用的为N素。根据工程设计，工程沼液中的氨氮含量为900 mg/L，查找类比资料可知，养殖废水中氨氮浓度为总氮的80%左右，则总氮浓度为1125 mg/L。</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fldChar w:fldCharType="begin"/>
      </w:r>
      <w:r>
        <w:rPr>
          <w:rFonts w:cs="Times New Roman"/>
          <w:b/>
          <w:bCs/>
          <w:color w:val="000000" w:themeColor="text1"/>
          <w14:textFill>
            <w14:solidFill>
              <w14:schemeClr w14:val="tx1"/>
            </w14:solidFill>
          </w14:textFill>
        </w:rPr>
        <w:instrText xml:space="preserve"> = 1 \* GB3 </w:instrText>
      </w:r>
      <w:r>
        <w:rPr>
          <w:rFonts w:cs="Times New Roman"/>
          <w:b/>
          <w:bCs/>
          <w:color w:val="000000" w:themeColor="text1"/>
          <w14:textFill>
            <w14:solidFill>
              <w14:schemeClr w14:val="tx1"/>
            </w14:solidFill>
          </w14:textFill>
        </w:rPr>
        <w:fldChar w:fldCharType="separate"/>
      </w:r>
      <w:r>
        <w:rPr>
          <w:rFonts w:hint="eastAsia" w:ascii="宋体" w:hAnsi="宋体" w:cs="宋体"/>
          <w:b/>
          <w:bCs/>
          <w:color w:val="000000" w:themeColor="text1"/>
          <w14:textFill>
            <w14:solidFill>
              <w14:schemeClr w14:val="tx1"/>
            </w14:solidFill>
          </w14:textFill>
        </w:rPr>
        <w:t>①</w:t>
      </w:r>
      <w:r>
        <w:rPr>
          <w:rFonts w:cs="Times New Roman"/>
          <w:b/>
          <w:bCs/>
          <w:color w:val="000000" w:themeColor="text1"/>
          <w14:textFill>
            <w14:solidFill>
              <w14:schemeClr w14:val="tx1"/>
            </w14:solidFill>
          </w14:textFill>
        </w:rPr>
        <w:fldChar w:fldCharType="end"/>
      </w:r>
      <w:r>
        <w:rPr>
          <w:rFonts w:cs="Times New Roman"/>
          <w:b/>
          <w:bCs/>
          <w:color w:val="000000" w:themeColor="text1"/>
          <w14:textFill>
            <w14:solidFill>
              <w14:schemeClr w14:val="tx1"/>
            </w14:solidFill>
          </w14:textFill>
        </w:rPr>
        <w:t>沼液消纳面积计算</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根据农业部办公厅印发的《畜禽粪污土地承载力测算技术指南》（农办牧【2018】1号）中的核算方法，核算本项目沼液需要的消纳面积。</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畜禽粪污土地承载力及规模养殖场配套土地面积测算以粪肥氮养分供给和植物氮养分需求为基础进行核算。</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规模养殖场配套土地面积等于规模养殖场粪肥养分供给量（对外销售部分不计算在内）除以单位土地粪肥养分需求量。</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粪肥养分供给量=Σ（各种畜禽存栏量×各种畜禽氮排泄量）×养分留存率</w:t>
      </w:r>
    </w:p>
    <w:p>
      <w:pPr>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本项目1个猪当量氮排泄量：</w:t>
      </w:r>
      <w:r>
        <w:rPr>
          <w:rFonts w:cs="Times New Roman"/>
          <w:color w:val="000000" w:themeColor="text1"/>
          <w14:textFill>
            <w14:solidFill>
              <w14:schemeClr w14:val="tx1"/>
            </w14:solidFill>
          </w14:textFill>
        </w:rPr>
        <w:t>根据《畜禽粪污土地承载力测算技术指南》，畜禽粪污土地承载力及规模养殖场配套土地面积测算以粪肥氮养分供给和植物氮养分需求为基础进行核算，对于设施蔬菜等作物为主或土壤本底值磷含量较高的特殊区域或农用地，可选择以磷为基础进行测算。本项目位于长治市屯留区，养殖场周边土地主要种植为玉米，不属于设施蔬菜等作物或土壤本底值磷含量较高的特殊区域或农用地，故本项目以氮为测算依据，1个猪当量的氮排泄量为11 kg/a。其中固体粪便中氮素占氮总量的50%。</w:t>
      </w:r>
    </w:p>
    <w:p>
      <w:pPr>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养分留存率：</w:t>
      </w:r>
      <w:r>
        <w:rPr>
          <w:rFonts w:cs="Times New Roman"/>
          <w:color w:val="000000" w:themeColor="text1"/>
          <w14:textFill>
            <w14:solidFill>
              <w14:schemeClr w14:val="tx1"/>
            </w14:solidFill>
          </w14:textFill>
        </w:rPr>
        <w:t>由于本项目产生的固体粪和污水以沼气工程处理为主的，粪污收集处理过程中氮留存率推荐值65%、磷留存率推荐值65%；</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本项目年存栏母猪600头，年出栏生猪1.5万头，年出栏2.5次，常年存栏生猪5500头左右，粪便作为有机肥基料外售处置，不就地使用，氮养分供给量主要为黑膜沼气池中产生的沼液，占氮总量的50%。</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本项目粪肥养分氮供给量=5500×11×0.5×10</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×0.65=19.67 t/a；</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单位土地粪肥养分需求量=（单位土地养分需求量×施肥供给养分占比×粪肥占施肥比例）/粪肥当季利用率</w:t>
      </w:r>
    </w:p>
    <w:p>
      <w:pPr>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单位土地养分需求量：</w:t>
      </w:r>
      <w:r>
        <w:rPr>
          <w:rFonts w:cs="Times New Roman"/>
          <w:color w:val="000000" w:themeColor="text1"/>
          <w14:textFill>
            <w14:solidFill>
              <w14:schemeClr w14:val="tx1"/>
            </w14:solidFill>
          </w14:textFill>
        </w:rPr>
        <w:t>根据《畜禽粪污土地承载力测算技术指南》，单位土地养分需求量为规模养殖场单位面积配套土地种植的各类植物在目标产量下的氮养分需求量之和；本区种植作物以玉米为主，根据指南表1，每100 kg玉米需要吸附氮2.3 kg。</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当地玉米平均产量800 kg/亩。</w:t>
      </w:r>
    </w:p>
    <w:p>
      <w:pPr>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施肥供给养分占比：</w:t>
      </w:r>
      <w:r>
        <w:rPr>
          <w:rFonts w:cs="Times New Roman"/>
          <w:color w:val="000000" w:themeColor="text1"/>
          <w14:textFill>
            <w14:solidFill>
              <w14:schemeClr w14:val="tx1"/>
            </w14:solidFill>
          </w14:textFill>
        </w:rPr>
        <w:t>土壤养分水平为II类土壤，结合《畜禽粪污土地承载力测算技术指南》中表2，本次施肥供给占比取45%；</w:t>
      </w:r>
    </w:p>
    <w:p>
      <w:pPr>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粪肥占施肥比例：</w:t>
      </w:r>
      <w:r>
        <w:rPr>
          <w:rFonts w:cs="Times New Roman"/>
          <w:color w:val="000000" w:themeColor="text1"/>
          <w14:textFill>
            <w14:solidFill>
              <w14:schemeClr w14:val="tx1"/>
            </w14:solidFill>
          </w14:textFill>
        </w:rPr>
        <w:t>100%（配套消纳地将沼液作为底肥和基肥使用，不再使用其他肥料）；</w:t>
      </w:r>
    </w:p>
    <w:p>
      <w:pPr>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粪肥当季利用率：</w:t>
      </w:r>
      <w:r>
        <w:rPr>
          <w:rFonts w:cs="Times New Roman"/>
          <w:color w:val="000000" w:themeColor="text1"/>
          <w14:textFill>
            <w14:solidFill>
              <w14:schemeClr w14:val="tx1"/>
            </w14:solidFill>
          </w14:textFill>
        </w:rPr>
        <w:t>氮元素取25%，磷元素取30%（粪肥中氮素当季利用率推荐值为25~30%，粪肥中氮素当季利用率推荐值为30~35%，具体根据当地实际情况确定，本项目氮元素取25%，磷元素取30%）；</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则玉米单位土地粪肥养分氮元素需求量=（8×2.3×0.45×1）/0.25=33.12 kg/亩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项目区土地全年粪肥养分氮元素需求量为33.12 kg/亩。本项目粪肥养分氮元素供给量为19.67 t/a，因此本项目沼液全部利用所需配套消纳耕地面积约为594亩。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了保证工程所产生的沼液能过100%综合利用，山西鑫达农牧有限公司与屯留区丰宜镇牛角川村村民委员会签订协议（见附件），利用丰宜镇牛角川村650亩农田消纳项目产生的沼液。沼液消纳范围详见图3.3-5。项目产生的沼液可全部被消纳。</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消纳地由当地农民根据需要自己种植作物，山西鑫达农牧有限公司负责无偿将沼液输送管网敷设至田间地头，然后根据施肥需求定期派出技术人员指导农户合理施用沼液。</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施肥主要是在非采暖期进行施肥，项目非施肥期（按150 d考虑）沼液产生量为7863 m</w:t>
      </w:r>
      <w:r>
        <w:rPr>
          <w:rFonts w:cs="Times New Roman"/>
          <w:b/>
          <w:bCs/>
          <w:color w:val="000000" w:themeColor="text1"/>
          <w:vertAlign w:val="superscript"/>
          <w14:textFill>
            <w14:solidFill>
              <w14:schemeClr w14:val="tx1"/>
            </w14:solidFill>
          </w14:textFill>
        </w:rPr>
        <w:t>3</w:t>
      </w:r>
      <w:r>
        <w:rPr>
          <w:rFonts w:cs="Times New Roman"/>
          <w:b/>
          <w:bCs/>
          <w:color w:val="000000" w:themeColor="text1"/>
          <w14:textFill>
            <w14:solidFill>
              <w14:schemeClr w14:val="tx1"/>
            </w14:solidFill>
          </w14:textFill>
        </w:rPr>
        <w:t>，暂存于沼液储存池。项目拟设1座沼液储存池，位于场区东侧，总容积为11170 m</w:t>
      </w:r>
      <w:r>
        <w:rPr>
          <w:rFonts w:cs="Times New Roman"/>
          <w:b/>
          <w:bCs/>
          <w:color w:val="000000" w:themeColor="text1"/>
          <w:vertAlign w:val="superscript"/>
          <w14:textFill>
            <w14:solidFill>
              <w14:schemeClr w14:val="tx1"/>
            </w14:solidFill>
          </w14:textFill>
        </w:rPr>
        <w:t>3</w:t>
      </w:r>
      <w:r>
        <w:rPr>
          <w:rFonts w:cs="Times New Roman"/>
          <w:b/>
          <w:bCs/>
          <w:color w:val="000000" w:themeColor="text1"/>
          <w14:textFill>
            <w14:solidFill>
              <w14:schemeClr w14:val="tx1"/>
            </w14:solidFill>
          </w14:textFill>
        </w:rPr>
        <w:t>，沼液储存池可有效容纳冬季产生的沼液。沼渣与固液分离机分离出的粪便一同进入固粪处理区堆肥（堆肥过程中加入菌种促进其好氧堆肥），堆肥发酵后作为有机肥基料外售，不在场内堆存。</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fldChar w:fldCharType="begin"/>
      </w:r>
      <w:r>
        <w:rPr>
          <w:rFonts w:cs="Times New Roman"/>
          <w:b/>
          <w:bCs/>
          <w:color w:val="000000" w:themeColor="text1"/>
          <w14:textFill>
            <w14:solidFill>
              <w14:schemeClr w14:val="tx1"/>
            </w14:solidFill>
          </w14:textFill>
        </w:rPr>
        <w:instrText xml:space="preserve"> = 2 \* GB3 </w:instrText>
      </w:r>
      <w:r>
        <w:rPr>
          <w:rFonts w:cs="Times New Roman"/>
          <w:b/>
          <w:bCs/>
          <w:color w:val="000000" w:themeColor="text1"/>
          <w14:textFill>
            <w14:solidFill>
              <w14:schemeClr w14:val="tx1"/>
            </w14:solidFill>
          </w14:textFill>
        </w:rPr>
        <w:fldChar w:fldCharType="separate"/>
      </w:r>
      <w:r>
        <w:rPr>
          <w:rFonts w:hint="eastAsia" w:ascii="宋体" w:hAnsi="宋体" w:cs="宋体"/>
          <w:b/>
          <w:bCs/>
          <w:color w:val="000000" w:themeColor="text1"/>
          <w14:textFill>
            <w14:solidFill>
              <w14:schemeClr w14:val="tx1"/>
            </w14:solidFill>
          </w14:textFill>
        </w:rPr>
        <w:t>②</w:t>
      </w:r>
      <w:r>
        <w:rPr>
          <w:rFonts w:cs="Times New Roman"/>
          <w:b/>
          <w:bCs/>
          <w:color w:val="000000" w:themeColor="text1"/>
          <w14:textFill>
            <w14:solidFill>
              <w14:schemeClr w14:val="tx1"/>
            </w14:solidFill>
          </w14:textFill>
        </w:rPr>
        <w:fldChar w:fldCharType="end"/>
      </w:r>
      <w:r>
        <w:rPr>
          <w:rFonts w:cs="Times New Roman"/>
          <w:b/>
          <w:bCs/>
          <w:color w:val="000000" w:themeColor="text1"/>
          <w14:textFill>
            <w14:solidFill>
              <w14:schemeClr w14:val="tx1"/>
            </w14:solidFill>
          </w14:textFill>
        </w:rPr>
        <w:t>配套设施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单位在沼液储存池中的压力罐安装有流量计，然后通过管网输送至田间，采用软管逐块对施肥农田进行施肥。建设单位在沼液消纳区无偿建设沼液输送管网，并合理设置预留口，农肥利用季节农民根据自身需要进行使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液施肥首部包括：动力系统、沼液泵、管道安全装置、电器保护装置。泵站设计应充分考虑消纳区的覆盖面积、扬程。沼液泵必须满足抽提含有纤维或其它悬浮物的高粘稠液体的要求，泵、管网及管件具抗腐蚀性。</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安装管道安全装置、电器保护装置的设计应根据抽提扬程、出液量，实现管道自动调压抗爆、排堵防蚀和过载保护，满足普通UPVC等廉价管材在沼液提灌中不堵塞、不爆管，接口不拉裂、不滴漏的需要，降低建造和运行成本。</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液施肥管网必须具有自动防爆抗堵等安全功能，具有效防止管道沼液二次产气爆管，沼渣、厌氧菌落群生长和化学沉淀物、鸟粪石等堵管的处置设计和工艺装置，具有迅速发现和确定管道堵塞位置的监测装置。安装的防爆裂、防堵塞安全装置能够保证PVC塑料管材在沼液管道消纳中不出现堵塞、爆裂，接口拉裂、漏水等质量安全问题，保证沼液施肥管网的长期使用和安全运行。</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各种管线应全面安排，用不同颜色加以区别，要避免迂回曲折和相互干扰，沼液输送管道与管件必须具防腐性，管线布置应尽量减少管道弯头，减少能量损耗和便于清通。主要管网宜采用埋设，距管顶深度≥40 cm，裸露部分应选用抗老化材料或进行防老化处理。长距离直线管道要设计防热胀冷缩的构造。</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针对本项目，由场区沼液储存池引至施肥农田主干管长度1500 m，支管长度为2000 m。管材为PVC管，主干管直径为160 mm，支管直径分别为110 mm和75 mm。沼液输送管线，做好防腐工作，定期进行检修，一旦发现滴漏，沼液排入沼液储存池，待维护完毕后方可输送。</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本项目沼液消纳范围及施肥管网布置见图3.3-5。</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沼液综合利用协议可知，山西鑫达农牧有限公司根据农民土地位置设计并负责铺设沼液输送管网等综合利用配套设施。施肥区根据地形进行单元划分，分单元进行施肥，在每个施肥口设有阀门，支管阀门间隔50-80 m，能够保证沼液全部就地消纳。</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另外，根据施肥需求山西鑫达农牧有限公司后勤保障部办公室人员负责统筹管理沼液还田工作，主抓沼液还田和作物品质追踪，同时在每个场区指定1人负责整个场区的沼液还田工作，并将沼液消纳地划分成块，每个片区指定1人专门负责该片区的沼液消纳工作；同时建立台账制度，责任到人，严格记录沼液的消纳情况；严格根据评价要求，控制施肥量，严禁突击施肥，在非施肥季节及雨季，沼液由沼液储存池暂存；对沼液施肥农田区域定期进行观测，场外农田区设置地下水观测井，建议在地下水流向上游及地下水流向下游各设置1口地下水观测井，观察沼液长期施肥对地下水的累积性影响，监测井具体点位由建设单位在建设期与当地村民协商确定。</w:t>
      </w:r>
    </w:p>
    <w:p>
      <w:pPr>
        <w:pStyle w:val="5"/>
        <w:rPr>
          <w:color w:val="000000" w:themeColor="text1"/>
          <w14:textFill>
            <w14:solidFill>
              <w14:schemeClr w14:val="tx1"/>
            </w14:solidFill>
          </w14:textFill>
        </w:rPr>
      </w:pPr>
      <w:r>
        <w:rPr>
          <w:color w:val="000000" w:themeColor="text1"/>
          <w14:textFill>
            <w14:solidFill>
              <w14:schemeClr w14:val="tx1"/>
            </w14:solidFill>
          </w14:textFill>
        </w:rPr>
        <w:t>3.3.4.4沼气利用系统</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根据《畜禽养殖业污染防治技术政策》（环发[2010]151号）中有关内容，厌氧发酵产生的沼气应进行收集，并根据利用途径进行脱水、脱硫等净化处理。沼气宜作为燃料直接利用。</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1、沼气产生量</w:t>
      </w:r>
    </w:p>
    <w:p>
      <w:pPr>
        <w:ind w:firstLine="480"/>
        <w:rPr>
          <w:rFonts w:cs="Times New Roman"/>
          <w:color w:val="000000" w:themeColor="text1"/>
          <w14:textFill>
            <w14:solidFill>
              <w14:schemeClr w14:val="tx1"/>
            </w14:solidFill>
          </w14:textFill>
        </w:rPr>
        <w:sectPr>
          <w:pgSz w:w="11907" w:h="16840"/>
          <w:pgMar w:top="1418" w:right="1531" w:bottom="1418" w:left="1531" w:header="1021" w:footer="1134" w:gutter="0"/>
          <w:pgNumType w:fmt="numberInDash"/>
          <w:cols w:space="720" w:num="1"/>
          <w:docGrid w:linePitch="312" w:charSpace="0"/>
        </w:sectPr>
      </w:pPr>
      <w:r>
        <w:rPr>
          <w:rFonts w:cs="Times New Roman"/>
          <w:color w:val="000000" w:themeColor="text1"/>
          <w14:textFill>
            <w14:solidFill>
              <w14:schemeClr w14:val="tx1"/>
            </w14:solidFill>
          </w14:textFill>
        </w:rPr>
        <w:t>项目运营期进入黑膜沼气池污水量为12719.9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/a（夏季42.98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/d、其他季节30.88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/d），COD进水浓度为15000 mg/L，出水浓度为3000 mg/L。根据《规模化畜禽养殖场沼气工程设计规范》中的数据，理论上每去除1 kgCOD可产生甲烷0.35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，由于北方地区气温偏低，实际中厌氧发酵产生沼气量较少，每去除1 kgCOD产生甲烷为0.25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。则沼气产生量为：</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图3.3-5 项目沼液消纳范围及施肥管网布置图</w:t>
      </w:r>
    </w:p>
    <w:p>
      <w:pPr>
        <w:ind w:firstLine="480"/>
        <w:rPr>
          <w:rFonts w:cs="Times New Roman"/>
          <w:color w:val="000000" w:themeColor="text1"/>
          <w14:textFill>
            <w14:solidFill>
              <w14:schemeClr w14:val="tx1"/>
            </w14:solidFill>
          </w14:textFill>
        </w:rPr>
        <w:sectPr>
          <w:pgSz w:w="16840" w:h="11907" w:orient="landscape"/>
          <w:pgMar w:top="1531" w:right="1418" w:bottom="1531" w:left="1418" w:header="1021" w:footer="1134" w:gutter="0"/>
          <w:pgNumType w:fmt="numberInDash"/>
          <w:cols w:space="720" w:num="1"/>
          <w:docGrid w:linePitch="326" w:charSpace="0"/>
        </w:sectPr>
      </w:pP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42.98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/d×（15000-3000）mg/L×0.25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/kg=128.93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/d（夏季）；</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30.88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/d×（15000-3000）mg/L×0.25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/kg=92.63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/d（其他季节）；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则项目运营期沼气产生量=128.93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/d×120 d+92.63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/d×245 d=38159.7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项目沼气成份及沼气热值见表3.3-1。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表3.3-1 沼气主要成份及热值表</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17"/>
        <w:gridCol w:w="3017"/>
        <w:gridCol w:w="30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沼气主要成分</w:t>
            </w:r>
          </w:p>
        </w:tc>
        <w:tc>
          <w:tcPr>
            <w:tcW w:w="166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未净化前所占比例</w:t>
            </w:r>
          </w:p>
        </w:tc>
        <w:tc>
          <w:tcPr>
            <w:tcW w:w="1666"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净化后所占比例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甲烷CH</w:t>
            </w:r>
            <w:r>
              <w:rPr>
                <w:color w:val="000000" w:themeColor="text1"/>
                <w:vertAlign w:val="subscript"/>
                <w14:textFill>
                  <w14:solidFill>
                    <w14:schemeClr w14:val="tx1"/>
                  </w14:solidFill>
                </w14:textFill>
              </w:rPr>
              <w:t>4</w:t>
            </w:r>
          </w:p>
        </w:tc>
        <w:tc>
          <w:tcPr>
            <w:tcW w:w="1667"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67.5%</w:t>
            </w:r>
          </w:p>
        </w:tc>
        <w:tc>
          <w:tcPr>
            <w:tcW w:w="1666"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二氧化碳CO</w:t>
            </w:r>
            <w:r>
              <w:rPr>
                <w:color w:val="000000" w:themeColor="text1"/>
                <w:vertAlign w:val="subscript"/>
                <w14:textFill>
                  <w14:solidFill>
                    <w14:schemeClr w14:val="tx1"/>
                  </w14:solidFill>
                </w14:textFill>
              </w:rPr>
              <w:t>2</w:t>
            </w:r>
          </w:p>
        </w:tc>
        <w:tc>
          <w:tcPr>
            <w:tcW w:w="16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32%</w:t>
            </w:r>
          </w:p>
        </w:tc>
        <w:tc>
          <w:tcPr>
            <w:tcW w:w="166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硫化氢H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16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0.026%</w:t>
            </w:r>
          </w:p>
        </w:tc>
        <w:tc>
          <w:tcPr>
            <w:tcW w:w="166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其他</w:t>
            </w:r>
          </w:p>
        </w:tc>
        <w:tc>
          <w:tcPr>
            <w:tcW w:w="16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0.474%</w:t>
            </w:r>
          </w:p>
        </w:tc>
        <w:tc>
          <w:tcPr>
            <w:tcW w:w="166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0.4987%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沼气热值</w:t>
            </w:r>
          </w:p>
        </w:tc>
        <w:tc>
          <w:tcPr>
            <w:tcW w:w="166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约19.2 MJ/m</w:t>
            </w:r>
            <w:r>
              <w:rPr>
                <w:color w:val="000000" w:themeColor="text1"/>
                <w:vertAlign w:val="superscript"/>
                <w14:textFill>
                  <w14:solidFill>
                    <w14:schemeClr w14:val="tx1"/>
                  </w14:solidFill>
                </w14:textFill>
              </w:rPr>
              <w:t>3</w:t>
            </w:r>
          </w:p>
        </w:tc>
        <w:tc>
          <w:tcPr>
            <w:tcW w:w="166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约23.4 MJ/m</w:t>
            </w:r>
            <w:r>
              <w:rPr>
                <w:color w:val="000000" w:themeColor="text1"/>
                <w:vertAlign w:val="superscript"/>
                <w14:textFill>
                  <w14:solidFill>
                    <w14:schemeClr w14:val="tx1"/>
                  </w14:solidFill>
                </w14:textFill>
              </w:rPr>
              <w:t>3</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沼气物理性质：沼气的主要成分甲烷，是无色、无臭、无味的气体，分子量为16.043，比重为0.716 g/L，比空气轻一半，一般沼气对空气的比重为0.85，沼气略比空气轻。沼气本身是一种无色、有小毒、略带臭味的混合气体，其主要原因是沼气中含有少量的一氧化碳（CO）和氨（NH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）所造成的。</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2、沼气储存设施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项目黑膜沼气池与其他沼气系统相比，其最大的优势在于：黑膜沼气池具有超大的贮气容积，实现一体化贮气，不需另设沼气储存设施。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本项目经厌氧发酵产生的沼气储存于黑膜沼气池内，经脱水、脱硫等净化处理后用于沼气发电机发电。</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3、沼气净化</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沼气是高湿度气体，沼气自黑膜沼气池进入管道时，温度逐渐降低，管道中会产生大量含杂质的冷凝水，容易堵塞、破坏管道设备，冷凝水经脱水器脱水之后再次进入沼气池中，不外排。沼气净化前H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S平均含量为0.026%，经采用专用沼气脱硫装置脱硫剂脱硫后，硫去除率可达到95%以上，经核算沼气净化后H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S含量不高于20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anchor distT="0" distB="0" distL="114300" distR="114300" simplePos="0" relativeHeight="251767808" behindDoc="0" locked="0" layoutInCell="1" allowOverlap="1">
            <wp:simplePos x="0" y="0"/>
            <wp:positionH relativeFrom="column">
              <wp:posOffset>495935</wp:posOffset>
            </wp:positionH>
            <wp:positionV relativeFrom="paragraph">
              <wp:posOffset>199390</wp:posOffset>
            </wp:positionV>
            <wp:extent cx="4525010" cy="1399540"/>
            <wp:effectExtent l="0" t="0" r="8890" b="0"/>
            <wp:wrapTopAndBottom/>
            <wp:docPr id="96" name="图片 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true"/>
                    </pic:cNvPicPr>
                  </pic:nvPicPr>
                  <pic:blipFill>
                    <a:blip r:embed="rId34">
                      <a:extLst>
                        <a:ext uri="{28A0092B-C50C-407E-A947-70E740481C1C}">
                          <a14:useLocalDpi xmlns:a14="http://schemas.microsoft.com/office/drawing/2010/main" val="false"/>
                        </a:ext>
                      </a:extLst>
                    </a:blip>
                    <a:stretch>
                      <a:fillRect/>
                    </a:stretch>
                  </pic:blipFill>
                  <pic:spPr>
                    <a:xfrm>
                      <a:off x="0" y="0"/>
                      <a:ext cx="4525010" cy="1399540"/>
                    </a:xfrm>
                    <a:prstGeom prst="rect">
                      <a:avLst/>
                    </a:prstGeom>
                  </pic:spPr>
                </pic:pic>
              </a:graphicData>
            </a:graphic>
          </wp:anchor>
        </w:drawing>
      </w:r>
      <w:r>
        <w:rPr>
          <w:rFonts w:cs="Times New Roman"/>
          <w:color w:val="000000" w:themeColor="text1"/>
          <w14:textFill>
            <w14:solidFill>
              <w14:schemeClr w14:val="tx1"/>
            </w14:solidFill>
          </w14:textFill>
        </w:rPr>
        <w:t>沼气净化工艺流程见图3.3-6。</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图3.3-6 沼气净化工艺流程</w:t>
      </w:r>
      <w:r>
        <w:rPr>
          <w:rFonts w:cs="Times New Roman"/>
          <w:color w:val="000000" w:themeColor="text1"/>
          <w:szCs w:val="24"/>
          <w14:textFill>
            <w14:solidFill>
              <w14:schemeClr w14:val="tx1"/>
            </w14:solidFill>
          </w14:textFill>
        </w:rPr>
        <w:t>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I、脱水器（气水分离器）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沼气是高湿度的混合气，每1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沼气约含水0.04 kg。沼气自消化池进入管道时，温度逐渐降低，管道中会产生大量含杂质的冷凝水，容易堵塞、破坏管道设备。</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II、脱硫（硫化氢的去除）</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本工程采用干法脱硫。干法脱硫是在脱硫装置内装填一定高度的脱硫剂，沼气自下而上通过脱硫剂，H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S被去除，实现脱硫过程。一般干法脱硫常用的脱硫剂为氧化铁。氧化铁干法脱硫的原理分为氧化反应和还原再生反应两部分，具体如下：</w:t>
      </w:r>
    </w:p>
    <w:p>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Fe</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O+3H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S=Fe</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O+3H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由上面的反应方程式可以看出，Fe</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吸收H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S变成Fe</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，随着沼气的不断产生，氧化铁吸收H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S，当吸收H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S达到一定的量，H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S的去除率将大大降低，直至失效。</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沼气脱硫反应式如下：</w:t>
      </w:r>
    </w:p>
    <w:p>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S+1/2O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O（反应条件是Fe</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Fe</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脱硫剂为条状多孔结构固体，对H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S能进行快速的不可逆化学吸附，数秒内可将H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S脱除到1×10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以下。脱硫剂工作一定时间后，其活性会逐渐下降，脱硫效果逐渐变差。当脱硫装置出口沼气中H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S的含量超过20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时，就需要对脱硫剂进行处理。当脱硫剂中硫未达到30%时，脱硫剂可进行再生；若脱硫剂硫容超过30%时，就要更新脱硫剂。项目一年更换一次脱硫剂，更换下来的废脱硫剂作为一般固废，收集后交由厂家回收。</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4、利用</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厌氧发酵产生的沼气，先经脱硫净化处理后，用于发电，同时设置应急火炬，确保设备故障时，无沼气体直接外排污染环境。</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沼气的发热量为23.4 MJ/m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，本项目设置1台150 KW沼气发电机，根据设备厂家提供的资料显示该发电机耗沼气量为80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/h，发电量为160 kW·h，则1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沼气发电量为2 kW·h。本项目沼气产生量为38159.7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/a（夏季128.93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/d、其他季节92.63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/d），则发电量为76319.4 kWh/a。</w:t>
      </w:r>
    </w:p>
    <w:p>
      <w:pPr>
        <w:pStyle w:val="4"/>
        <w:rPr>
          <w:rFonts w:cs="Times New Roman"/>
          <w:color w:val="000000" w:themeColor="text1"/>
          <w14:textFill>
            <w14:solidFill>
              <w14:schemeClr w14:val="tx1"/>
            </w14:solidFill>
          </w14:textFill>
        </w:rPr>
      </w:pPr>
      <w:bookmarkStart w:id="374" w:name="_Toc91163878"/>
      <w:r>
        <w:rPr>
          <w:rFonts w:cs="Times New Roman"/>
          <w:color w:val="000000" w:themeColor="text1"/>
          <w14:textFill>
            <w14:solidFill>
              <w14:schemeClr w14:val="tx1"/>
            </w14:solidFill>
          </w14:textFill>
        </w:rPr>
        <w:t>3.3.5 堆肥工艺</w:t>
      </w:r>
      <w:bookmarkEnd w:id="374"/>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本项目干清粪工艺清理出的猪粪以及污水处理装置产生的沼渣经固液分离后运至固粪处理区堆肥发酵。项目设有一个固粪处理区，底部为混凝土结构。采用改良后的条垛堆肥工艺进行粪污堆肥处理。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项目设有机肥粪棚1座，建筑面积为600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，半封闭钢架结构，三面为实体围墙+半封闭采光瓦，另外一面是大门，可供小铲车运输出入，上部设置顶棚，原料区150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，发酵区300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，成品区150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。三面：从地平面开始1 m高的混凝土围墙，围墙上方留20 cm空隙，空隙上方设置3.6 m高的采光瓦，采光瓦上部距离顶棚有20 cm空隙。有机肥粪棚平面布置图见图3.3-7。</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anchor distT="0" distB="0" distL="114300" distR="114300" simplePos="0" relativeHeight="251760640" behindDoc="0" locked="0" layoutInCell="1" allowOverlap="1">
            <wp:simplePos x="0" y="0"/>
            <wp:positionH relativeFrom="margin">
              <wp:posOffset>1177925</wp:posOffset>
            </wp:positionH>
            <wp:positionV relativeFrom="paragraph">
              <wp:posOffset>0</wp:posOffset>
            </wp:positionV>
            <wp:extent cx="3081655" cy="1887855"/>
            <wp:effectExtent l="0" t="0" r="4445" b="0"/>
            <wp:wrapTopAndBottom/>
            <wp:docPr id="6" name="图片 6" descr="形状, 矩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形状, 矩形&#10;&#10;描述已自动生成"/>
                    <pic:cNvPicPr>
                      <a:picLocks noChangeAspect="true"/>
                    </pic:cNvPicPr>
                  </pic:nvPicPr>
                  <pic:blipFill>
                    <a:blip r:embed="rId35" cstate="print">
                      <a:extLst>
                        <a:ext uri="{28A0092B-C50C-407E-A947-70E740481C1C}">
                          <a14:useLocalDpi xmlns:a14="http://schemas.microsoft.com/office/drawing/2010/main" val="false"/>
                        </a:ext>
                      </a:extLst>
                    </a:blip>
                    <a:stretch>
                      <a:fillRect/>
                    </a:stretch>
                  </pic:blipFill>
                  <pic:spPr>
                    <a:xfrm>
                      <a:off x="0" y="0"/>
                      <a:ext cx="3081655" cy="1887855"/>
                    </a:xfrm>
                    <a:prstGeom prst="rect">
                      <a:avLst/>
                    </a:prstGeom>
                  </pic:spPr>
                </pic:pic>
              </a:graphicData>
            </a:graphic>
          </wp:anchor>
        </w:drawing>
      </w:r>
      <w:r>
        <w:rPr>
          <w:rFonts w:cs="Times New Roman"/>
          <w:color w:val="000000" w:themeColor="text1"/>
          <w14:textFill>
            <w14:solidFill>
              <w14:schemeClr w14:val="tx1"/>
            </w14:solidFill>
          </w14:textFill>
        </w:rPr>
        <w:t>图3.3-7 有机肥粪棚平面布置示意图</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1、堆肥处理工艺介绍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1）原料预处理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废水固液分离机分离出的猪粪、厌氧塘产生的沼渣运至有机肥发酵区，按照堆肥要求合理调整物料碳氮比和孔隙度，降低物料的水分含量。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2）发酵</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发酵为好氧发酵，发酵时间为7-20天。好氧发酵是在有氧气存在的条件下，利用好氧微生物的外酶将物料分解为溶解性有机质，溶解性有机质可以渗入微生物细胞内，微生物通过新陈代谢把一部分溶解性有机质氧化为简单的无机物，为微生物的生命活动提供能量，其余溶解性有机物被转化为营养物质，形成新的细胞体，使微生物不断繁殖，从而促进物料中可被生物降解的有机质向稳定的腐殖质转化。</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混合后的物料用铲车在发酵区堆成条垛状，每天用铲车翻堆一次，使物料充氧充分，可使堆体在1-3天内温度上升至25-45℃，堆体温度达到60-70℃后发酵稳定，物料中纤维素和木质素也开始分解，腐殖质开始形成。堆体温度最高能达到80℃，充分发酵后温度逐步降低。翻抛的同时可将物料充分混合均匀，经一次发酵后的物料含水率约为40%。</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堆肥发酵过程分为4个阶段：</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升温阶段</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般指堆肥过程的初期，在该阶段，堆肥温度逐步从环境温度上升到45℃左右，主导微生物以嗜温性微生物为主，包括细菌、真菌和放线菌，分解底物以糖类和淀粉为主，期间能发现真菌的子实体，也有动物及原生动物参与分解。</w:t>
      </w:r>
    </w:p>
    <w:p>
      <w:pPr>
        <w:ind w:firstLine="480"/>
        <w:rPr>
          <w:rFonts w:cs="Times New Roman"/>
          <w:color w:val="000000" w:themeColor="text1"/>
          <w:kern w:val="0"/>
          <w:szCs w:val="24"/>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kern w:val="0"/>
          <w:szCs w:val="24"/>
          <w14:textFill>
            <w14:solidFill>
              <w14:schemeClr w14:val="tx1"/>
            </w14:solidFill>
          </w14:textFill>
        </w:rPr>
        <w:t>高温阶段</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堆温升至45℃以上即进入高温阶段，在这一阶段，嗜温微生物受到抑制甚至死亡，而嗜热微生物则上升为主导微生物。堆肥中残留的和新生成的可溶性有机物质继续被氧化分解，复杂的有机物如半纤维素-纤维素和蛋白质也开始被强烈分解。微生物的活动交替出现，通常在50℃左右时最活跃的是嗜热性真菌和放线菌，温度上升到60℃时真菌几乎完全停止活动，仅有嗜热性细菌和放线菌活动，温度升到70℃时大多数嗜热性微生物已不再适应，并大批进入休眠和死亡阶段。</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本项目采用采用现代化的工艺生产有机肥，最佳温度为55℃，这是因为大多数微生物在该温度范围内最活跃，最易分解有机物，而病原菌和寄生虫大多数可被杀死。</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3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降温阶段</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高温阶段必然造成微生物的死亡和活动减少，自然进入低温阶段。在这一阶段，嗜温性微生物又开始占据优势，对残余较难分解的有机物作进一步的分解，但微生物活性普遍下降，堆体发热量减少，温度开始下降，有机物趋于稳定化，需氧量大大减少，堆肥进入腐熟或后熟阶段。</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4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④</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腐熟保肥阶段</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有机物大部分已经分解和稳定，温度下降，为了保持已形成的腐殖质和微量的氮、磷、钾肥等，要使腐熟的肥料保持平衡。堆肥腐熟后，体积缩小，堆温下降至稍高于气温，应将堆体压紧，有机成分处于厌氧条件下，防止出现矿质化，以利于肥力的保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anchor distT="0" distB="0" distL="114300" distR="114300" simplePos="0" relativeHeight="251742208" behindDoc="0" locked="0" layoutInCell="1" allowOverlap="1">
            <wp:simplePos x="0" y="0"/>
            <wp:positionH relativeFrom="margin">
              <wp:posOffset>258445</wp:posOffset>
            </wp:positionH>
            <wp:positionV relativeFrom="page">
              <wp:posOffset>2411730</wp:posOffset>
            </wp:positionV>
            <wp:extent cx="4945380" cy="1080770"/>
            <wp:effectExtent l="0" t="0" r="7620" b="5080"/>
            <wp:wrapTopAndBottom/>
            <wp:docPr id="94" name="图片 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true"/>
                    </pic:cNvPicPr>
                  </pic:nvPicPr>
                  <pic:blipFill>
                    <a:blip r:embed="rId36">
                      <a:extLst>
                        <a:ext uri="{28A0092B-C50C-407E-A947-70E740481C1C}">
                          <a14:useLocalDpi xmlns:a14="http://schemas.microsoft.com/office/drawing/2010/main" val="false"/>
                        </a:ext>
                      </a:extLst>
                    </a:blip>
                    <a:stretch>
                      <a:fillRect/>
                    </a:stretch>
                  </pic:blipFill>
                  <pic:spPr>
                    <a:xfrm>
                      <a:off x="0" y="0"/>
                      <a:ext cx="4945380" cy="1080770"/>
                    </a:xfrm>
                    <a:prstGeom prst="rect">
                      <a:avLst/>
                    </a:prstGeom>
                  </pic:spPr>
                </pic:pic>
              </a:graphicData>
            </a:graphic>
          </wp:anchor>
        </w:drawing>
      </w:r>
      <w:r>
        <w:rPr>
          <w:rFonts w:cs="Times New Roman"/>
          <w:color w:val="000000" w:themeColor="text1"/>
          <w14:textFill>
            <w14:solidFill>
              <w14:schemeClr w14:val="tx1"/>
            </w14:solidFill>
          </w14:textFill>
        </w:rPr>
        <w:t>发酵后的固体有机肥，经过腐熟度检测、质量检测、安全检测后在发酵场通过自然风干、晾晒等方法把含水量降至30%以下，然后由周边村民拉走作为肥料。堆肥生产工艺流程及示意图见图3.3-8。</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图3.3-8 堆肥生产工艺流程及示意图</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有机肥产品标准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有机肥发酵生产的有机肥应能够满足《畜禽粪便无害化处理技术规范》（NY/T1168-2006）中表1粪便无害化卫生学要求以及《畜禽养殖业污染治理工程技术规范》（HJ 497-2009）中第8.2.7款要求。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本项目有机肥产品标准见表3.3-2。</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3.3-2 </w:t>
      </w:r>
      <w:r>
        <w:rPr>
          <w:rFonts w:cs="Times New Roman"/>
          <w:color w:val="000000" w:themeColor="text1"/>
          <w14:textFill>
            <w14:solidFill>
              <w14:schemeClr w14:val="tx1"/>
            </w14:solidFill>
          </w14:textFill>
        </w:rPr>
        <w:t>有机肥产品标准一览表</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73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58"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4042"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产品标准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8"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产品形态、形状</w:t>
            </w:r>
          </w:p>
        </w:tc>
        <w:tc>
          <w:tcPr>
            <w:tcW w:w="4042"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固态、粉状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产品外观</w:t>
            </w:r>
          </w:p>
        </w:tc>
        <w:tc>
          <w:tcPr>
            <w:tcW w:w="404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茶褐色或黑褐色、无恶臭、质地松散，具有泥土气味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8"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产品性能指标</w:t>
            </w:r>
          </w:p>
        </w:tc>
        <w:tc>
          <w:tcPr>
            <w:tcW w:w="404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含水率≤30%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8" w:type="pct"/>
            <w:vMerge w:val="continue"/>
            <w:vAlign w:val="center"/>
          </w:tcPr>
          <w:p>
            <w:pPr>
              <w:pStyle w:val="332"/>
              <w:widowControl w:val="0"/>
              <w:rPr>
                <w:color w:val="000000" w:themeColor="text1"/>
                <w14:textFill>
                  <w14:solidFill>
                    <w14:schemeClr w14:val="tx1"/>
                  </w14:solidFill>
                </w14:textFill>
              </w:rPr>
            </w:pPr>
          </w:p>
        </w:tc>
        <w:tc>
          <w:tcPr>
            <w:tcW w:w="404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碳氮比（C/N）≤20：1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8" w:type="pct"/>
            <w:vMerge w:val="continue"/>
            <w:vAlign w:val="center"/>
          </w:tcPr>
          <w:p>
            <w:pPr>
              <w:pStyle w:val="332"/>
              <w:widowControl w:val="0"/>
              <w:rPr>
                <w:color w:val="000000" w:themeColor="text1"/>
                <w14:textFill>
                  <w14:solidFill>
                    <w14:schemeClr w14:val="tx1"/>
                  </w14:solidFill>
                </w14:textFill>
              </w:rPr>
            </w:pPr>
          </w:p>
        </w:tc>
        <w:tc>
          <w:tcPr>
            <w:tcW w:w="404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腐熟度≥Ⅳ级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8" w:type="pct"/>
            <w:vMerge w:val="continue"/>
            <w:vAlign w:val="center"/>
          </w:tcPr>
          <w:p>
            <w:pPr>
              <w:pStyle w:val="332"/>
              <w:widowControl w:val="0"/>
              <w:rPr>
                <w:color w:val="000000" w:themeColor="text1"/>
                <w14:textFill>
                  <w14:solidFill>
                    <w14:schemeClr w14:val="tx1"/>
                  </w14:solidFill>
                </w14:textFill>
              </w:rPr>
            </w:pPr>
          </w:p>
        </w:tc>
        <w:tc>
          <w:tcPr>
            <w:tcW w:w="404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含盐量1~2%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8" w:type="pct"/>
            <w:vMerge w:val="continue"/>
            <w:vAlign w:val="center"/>
          </w:tcPr>
          <w:p>
            <w:pPr>
              <w:pStyle w:val="332"/>
              <w:widowControl w:val="0"/>
              <w:rPr>
                <w:color w:val="000000" w:themeColor="text1"/>
                <w14:textFill>
                  <w14:solidFill>
                    <w14:schemeClr w14:val="tx1"/>
                  </w14:solidFill>
                </w14:textFill>
              </w:rPr>
            </w:pPr>
          </w:p>
        </w:tc>
        <w:tc>
          <w:tcPr>
            <w:tcW w:w="404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蛔虫卵死亡率≥95%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8" w:type="pct"/>
            <w:vMerge w:val="continue"/>
            <w:vAlign w:val="center"/>
          </w:tcPr>
          <w:p>
            <w:pPr>
              <w:pStyle w:val="332"/>
              <w:widowControl w:val="0"/>
              <w:rPr>
                <w:color w:val="000000" w:themeColor="text1"/>
                <w14:textFill>
                  <w14:solidFill>
                    <w14:schemeClr w14:val="tx1"/>
                  </w14:solidFill>
                </w14:textFill>
              </w:rPr>
            </w:pPr>
          </w:p>
        </w:tc>
        <w:tc>
          <w:tcPr>
            <w:tcW w:w="404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粪大肠菌群数≤10</w:t>
            </w:r>
            <w:r>
              <w:rPr>
                <w:color w:val="000000" w:themeColor="text1"/>
                <w:vertAlign w:val="superscript"/>
                <w14:textFill>
                  <w14:solidFill>
                    <w14:schemeClr w14:val="tx1"/>
                  </w14:solidFill>
                </w14:textFill>
              </w:rPr>
              <w:t>5</w:t>
            </w:r>
            <w:r>
              <w:rPr>
                <w:color w:val="000000" w:themeColor="text1"/>
                <w14:textFill>
                  <w14:solidFill>
                    <w14:schemeClr w14:val="tx1"/>
                  </w14:solidFill>
                </w14:textFill>
              </w:rPr>
              <w:t>个/kg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8" w:type="pct"/>
            <w:vMerge w:val="continue"/>
            <w:vAlign w:val="center"/>
          </w:tcPr>
          <w:p>
            <w:pPr>
              <w:pStyle w:val="332"/>
              <w:widowControl w:val="0"/>
              <w:rPr>
                <w:color w:val="000000" w:themeColor="text1"/>
                <w14:textFill>
                  <w14:solidFill>
                    <w14:schemeClr w14:val="tx1"/>
                  </w14:solidFill>
                </w14:textFill>
              </w:rPr>
            </w:pPr>
          </w:p>
        </w:tc>
        <w:tc>
          <w:tcPr>
            <w:tcW w:w="404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苍蝇：有效地控制苍蝇孽生，堆体周围无活的蛆、蛹或新羽化的成蝇</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有机肥粪棚建筑面积为600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，地面采取防渗措施，半封闭设计，其中原料区150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，好氧堆肥时间约15~20天，本项目混合后的物料用铲车翻堆机在发酵棚堆成条垛状，条剁按照宽2 m，高2 m，长15 m，约容纳60 t，堆肥区按照最多可堆4个条剁计，可容纳240 t。本项目养殖场送堆肥区堆肥处理的粪便量为</w:t>
      </w:r>
      <w:r>
        <w:rPr>
          <w:rFonts w:cs="Times New Roman"/>
          <w:color w:val="000000" w:themeColor="text1"/>
          <w:lang w:bidi="en-US"/>
          <w14:textFill>
            <w14:solidFill>
              <w14:schemeClr w14:val="tx1"/>
            </w14:solidFill>
          </w14:textFill>
        </w:rPr>
        <w:t>1351.7</w:t>
      </w:r>
      <w:r>
        <w:rPr>
          <w:rFonts w:cs="Times New Roman"/>
          <w:color w:val="000000" w:themeColor="text1"/>
          <w14:textFill>
            <w14:solidFill>
              <w14:schemeClr w14:val="tx1"/>
            </w14:solidFill>
          </w14:textFill>
        </w:rPr>
        <w:t xml:space="preserve"> t/a，沼渣量为750.95 t/a，无害化处理固体残渣1.3 t/a，合计</w:t>
      </w:r>
      <w:r>
        <w:rPr>
          <w:rFonts w:cs="Times New Roman"/>
          <w:color w:val="000000" w:themeColor="text1"/>
          <w:lang w:bidi="en-US"/>
          <w14:textFill>
            <w14:solidFill>
              <w14:schemeClr w14:val="tx1"/>
            </w14:solidFill>
          </w14:textFill>
        </w:rPr>
        <w:t>2103.95</w:t>
      </w:r>
      <w:r>
        <w:rPr>
          <w:rFonts w:cs="Times New Roman"/>
          <w:color w:val="000000" w:themeColor="text1"/>
          <w14:textFill>
            <w14:solidFill>
              <w14:schemeClr w14:val="tx1"/>
            </w14:solidFill>
          </w14:textFill>
        </w:rPr>
        <w:t xml:space="preserve"> t/a，车间可容纳约35天的粪便及沼渣量，可满足好氧堆肥时间要求；堆肥产品置于粪棚东侧成品区，由周围农户直接拉走施肥，非施肥季车间暂存。</w:t>
      </w:r>
    </w:p>
    <w:p>
      <w:pPr>
        <w:pStyle w:val="4"/>
        <w:rPr>
          <w:rFonts w:cs="Times New Roman"/>
          <w:color w:val="000000" w:themeColor="text1"/>
          <w14:textFill>
            <w14:solidFill>
              <w14:schemeClr w14:val="tx1"/>
            </w14:solidFill>
          </w14:textFill>
        </w:rPr>
      </w:pPr>
      <w:bookmarkStart w:id="375" w:name="_Toc91163879"/>
      <w:r>
        <w:rPr>
          <w:rFonts w:cs="Times New Roman"/>
          <w:color w:val="000000" w:themeColor="text1"/>
          <w14:textFill>
            <w14:solidFill>
              <w14:schemeClr w14:val="tx1"/>
            </w14:solidFill>
          </w14:textFill>
        </w:rPr>
        <w:t>3.3.6 病死猪无害化处理</w:t>
      </w:r>
      <w:bookmarkEnd w:id="37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采用集辰（福建）农林发展有限公司生产的病死动物无害化处理设备对病死猪进行无害化处理，其生产的高速发酵有机废弃物处理机已取得国家知识产权局实用新型专利证书。无害化处理技术工艺主要为分切、绞碎、发酵、杀菌、干燥五大步骤，在专用微生物菌的作用下，将动物尸体及其废弃物转化为无害粉状有机原料。技术核心分三步：一是密闭状态下的杀菌处理，保证通过空气传播的细菌能够在这个阶段消灭；二是通过微生物菌的发酵降解有机质；三是高温杀毒，温度达到90-130℃，持续时间达到10 h以上，保证病毒的彻底消灭，最终降解有机物。处理过程产生的水蒸气进入尾气处理系统除臭杀毒，残渣为有机肥原料。设备加热系统均为电源，全程采用PLC程序控制。</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本项目设1座建筑面积为450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的无害化处理车间，分为冷冻库、垫料库、成品库、喷淋消毒区及主设备区；本项目病死猪及母猪胎盘产生量约13.09 t/a，本项目病死猪处理间设1台处理能力为1.3 t/d的无害化处理设备，可以随时对病死猪等有机废弃物进行无害化高速处理，完全分解成粉状有机肥料。高峰期未能及时处理的部分尸体在冷库暂存，冷库采用5HP机组压缩空气制冷。无害化处理后的固体残渣可运至有机肥粪棚进行堆肥处理。病死猪无害化处理车间平面示意图见图3.3-9，无害化处理技术流程见图3.3-10，设备参数见表3.3-3，一体式喷淋尾气处理系统设备参数见表3.3-4。</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anchor distT="0" distB="0" distL="114300" distR="114300" simplePos="0" relativeHeight="251743232" behindDoc="0" locked="0" layoutInCell="1" allowOverlap="1">
            <wp:simplePos x="0" y="0"/>
            <wp:positionH relativeFrom="margin">
              <wp:posOffset>479425</wp:posOffset>
            </wp:positionH>
            <wp:positionV relativeFrom="paragraph">
              <wp:posOffset>90170</wp:posOffset>
            </wp:positionV>
            <wp:extent cx="4358640" cy="4038600"/>
            <wp:effectExtent l="0" t="0" r="3810" b="0"/>
            <wp:wrapTopAndBottom/>
            <wp:docPr id="95" name="图片 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true"/>
                    </pic:cNvPicPr>
                  </pic:nvPicPr>
                  <pic:blipFill>
                    <a:blip r:embed="rId37">
                      <a:extLst>
                        <a:ext uri="{28A0092B-C50C-407E-A947-70E740481C1C}">
                          <a14:useLocalDpi xmlns:a14="http://schemas.microsoft.com/office/drawing/2010/main" val="false"/>
                        </a:ext>
                      </a:extLst>
                    </a:blip>
                    <a:stretch>
                      <a:fillRect/>
                    </a:stretch>
                  </pic:blipFill>
                  <pic:spPr>
                    <a:xfrm>
                      <a:off x="0" y="0"/>
                      <a:ext cx="4358640" cy="4038600"/>
                    </a:xfrm>
                    <a:prstGeom prst="rect">
                      <a:avLst/>
                    </a:prstGeom>
                  </pic:spPr>
                </pic:pic>
              </a:graphicData>
            </a:graphic>
          </wp:anchor>
        </w:drawing>
      </w:r>
      <w:r>
        <w:rPr>
          <w:rFonts w:cs="Times New Roman"/>
          <w:color w:val="000000" w:themeColor="text1"/>
          <w14:textFill>
            <w14:solidFill>
              <w14:schemeClr w14:val="tx1"/>
            </w14:solidFill>
          </w14:textFill>
        </w:rPr>
        <w:t>图3.3-9 无害化处理车间平面示意图</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object>
          <v:shape id="_x0000_i1030" o:spt="75" type="#_x0000_t75" style="height:284.4pt;width:270pt;" o:ole="t" filled="f" o:preferrelative="t" stroked="f" coordsize="21600,21600">
            <v:path/>
            <v:fill on="f" focussize="0,0"/>
            <v:stroke on="f" joinstyle="miter"/>
            <v:imagedata r:id="rId39" o:title=""/>
            <o:lock v:ext="edit" aspectratio="t"/>
            <w10:wrap type="none"/>
            <w10:anchorlock/>
          </v:shape>
          <o:OLEObject Type="Embed" ProgID="Visio.Drawing.15" ShapeID="_x0000_i1030" DrawAspect="Content" ObjectID="_1468075730" r:id="rId38">
            <o:LockedField>false</o:LockedField>
          </o:OLEObject>
        </w:objec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图3.3-10 无害化处理技术流程图</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kern w:val="0"/>
          <w:szCs w:val="21"/>
          <w14:textFill>
            <w14:solidFill>
              <w14:schemeClr w14:val="tx1"/>
            </w14:solidFill>
          </w14:textFill>
        </w:rPr>
      </w:pPr>
      <w:r>
        <w:rPr>
          <w:rFonts w:cs="Times New Roman"/>
          <w:color w:val="000000" w:themeColor="text1"/>
          <w14:textFill>
            <w14:solidFill>
              <w14:schemeClr w14:val="tx1"/>
            </w14:solidFill>
          </w14:textFill>
        </w:rPr>
        <w:t xml:space="preserve">表3.3-3 </w:t>
      </w:r>
      <w:r>
        <w:rPr>
          <w:rFonts w:cs="Times New Roman"/>
          <w:color w:val="000000" w:themeColor="text1"/>
          <w:kern w:val="0"/>
          <w:szCs w:val="21"/>
          <w14:textFill>
            <w14:solidFill>
              <w14:schemeClr w14:val="tx1"/>
            </w14:solidFill>
          </w14:textFill>
        </w:rPr>
        <w:t>动物尸体无害化处理设备参数一览表</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874"/>
        <w:gridCol w:w="1167"/>
        <w:gridCol w:w="1774"/>
        <w:gridCol w:w="2263"/>
        <w:gridCol w:w="22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108" w:type="pct"/>
            <w:gridSpan w:val="3"/>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250"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124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参数值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2108" w:type="pct"/>
            <w:gridSpan w:val="3"/>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型号</w:t>
            </w:r>
          </w:p>
        </w:tc>
        <w:tc>
          <w:tcPr>
            <w:tcW w:w="1250"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1247"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JC-11FXC25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2108" w:type="pct"/>
            <w:gridSpan w:val="3"/>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容积</w:t>
            </w:r>
          </w:p>
        </w:tc>
        <w:tc>
          <w:tcPr>
            <w:tcW w:w="125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124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2108" w:type="pct"/>
            <w:gridSpan w:val="3"/>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辅料、菌种配比</w:t>
            </w:r>
          </w:p>
        </w:tc>
        <w:tc>
          <w:tcPr>
            <w:tcW w:w="125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124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2108" w:type="pct"/>
            <w:gridSpan w:val="3"/>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批次处理量</w:t>
            </w:r>
          </w:p>
        </w:tc>
        <w:tc>
          <w:tcPr>
            <w:tcW w:w="125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kg</w:t>
            </w:r>
          </w:p>
        </w:tc>
        <w:tc>
          <w:tcPr>
            <w:tcW w:w="124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48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刀辊</w:t>
            </w:r>
          </w:p>
        </w:tc>
        <w:tc>
          <w:tcPr>
            <w:tcW w:w="645"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电动机</w:t>
            </w:r>
          </w:p>
        </w:tc>
        <w:tc>
          <w:tcPr>
            <w:tcW w:w="98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功率</w:t>
            </w:r>
          </w:p>
        </w:tc>
        <w:tc>
          <w:tcPr>
            <w:tcW w:w="125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kW</w:t>
            </w:r>
          </w:p>
        </w:tc>
        <w:tc>
          <w:tcPr>
            <w:tcW w:w="124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pct"/>
            <w:vMerge w:val="continue"/>
            <w:vAlign w:val="center"/>
          </w:tcPr>
          <w:p>
            <w:pPr>
              <w:pStyle w:val="332"/>
              <w:widowControl w:val="0"/>
              <w:rPr>
                <w:color w:val="000000" w:themeColor="text1"/>
                <w14:textFill>
                  <w14:solidFill>
                    <w14:schemeClr w14:val="tx1"/>
                  </w14:solidFill>
                </w14:textFill>
              </w:rPr>
            </w:pPr>
          </w:p>
        </w:tc>
        <w:tc>
          <w:tcPr>
            <w:tcW w:w="483" w:type="pct"/>
            <w:vMerge w:val="continue"/>
            <w:vAlign w:val="center"/>
          </w:tcPr>
          <w:p>
            <w:pPr>
              <w:pStyle w:val="332"/>
              <w:widowControl w:val="0"/>
              <w:rPr>
                <w:color w:val="000000" w:themeColor="text1"/>
                <w14:textFill>
                  <w14:solidFill>
                    <w14:schemeClr w14:val="tx1"/>
                  </w14:solidFill>
                </w14:textFill>
              </w:rPr>
            </w:pPr>
          </w:p>
        </w:tc>
        <w:tc>
          <w:tcPr>
            <w:tcW w:w="645" w:type="pct"/>
            <w:vMerge w:val="continue"/>
            <w:vAlign w:val="center"/>
          </w:tcPr>
          <w:p>
            <w:pPr>
              <w:pStyle w:val="332"/>
              <w:widowControl w:val="0"/>
              <w:rPr>
                <w:color w:val="000000" w:themeColor="text1"/>
                <w14:textFill>
                  <w14:solidFill>
                    <w14:schemeClr w14:val="tx1"/>
                  </w14:solidFill>
                </w14:textFill>
              </w:rPr>
            </w:pPr>
          </w:p>
        </w:tc>
        <w:tc>
          <w:tcPr>
            <w:tcW w:w="98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转速</w:t>
            </w:r>
          </w:p>
        </w:tc>
        <w:tc>
          <w:tcPr>
            <w:tcW w:w="125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r/min</w:t>
            </w:r>
          </w:p>
        </w:tc>
        <w:tc>
          <w:tcPr>
            <w:tcW w:w="124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1410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pct"/>
            <w:vMerge w:val="continue"/>
            <w:vAlign w:val="center"/>
          </w:tcPr>
          <w:p>
            <w:pPr>
              <w:pStyle w:val="332"/>
              <w:widowControl w:val="0"/>
              <w:rPr>
                <w:color w:val="000000" w:themeColor="text1"/>
                <w14:textFill>
                  <w14:solidFill>
                    <w14:schemeClr w14:val="tx1"/>
                  </w14:solidFill>
                </w14:textFill>
              </w:rPr>
            </w:pPr>
          </w:p>
        </w:tc>
        <w:tc>
          <w:tcPr>
            <w:tcW w:w="483" w:type="pct"/>
            <w:vMerge w:val="continue"/>
            <w:vAlign w:val="center"/>
          </w:tcPr>
          <w:p>
            <w:pPr>
              <w:pStyle w:val="332"/>
              <w:widowControl w:val="0"/>
              <w:rPr>
                <w:color w:val="000000" w:themeColor="text1"/>
                <w14:textFill>
                  <w14:solidFill>
                    <w14:schemeClr w14:val="tx1"/>
                  </w14:solidFill>
                </w14:textFill>
              </w:rPr>
            </w:pPr>
          </w:p>
        </w:tc>
        <w:tc>
          <w:tcPr>
            <w:tcW w:w="645" w:type="pct"/>
            <w:vMerge w:val="continue"/>
            <w:vAlign w:val="center"/>
          </w:tcPr>
          <w:p>
            <w:pPr>
              <w:pStyle w:val="332"/>
              <w:widowControl w:val="0"/>
              <w:rPr>
                <w:color w:val="000000" w:themeColor="text1"/>
                <w14:textFill>
                  <w14:solidFill>
                    <w14:schemeClr w14:val="tx1"/>
                  </w14:solidFill>
                </w14:textFill>
              </w:rPr>
            </w:pPr>
          </w:p>
        </w:tc>
        <w:tc>
          <w:tcPr>
            <w:tcW w:w="98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额定电压</w:t>
            </w:r>
          </w:p>
        </w:tc>
        <w:tc>
          <w:tcPr>
            <w:tcW w:w="125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V</w:t>
            </w:r>
          </w:p>
        </w:tc>
        <w:tc>
          <w:tcPr>
            <w:tcW w:w="124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pct"/>
            <w:vMerge w:val="continue"/>
            <w:vAlign w:val="center"/>
          </w:tcPr>
          <w:p>
            <w:pPr>
              <w:pStyle w:val="332"/>
              <w:widowControl w:val="0"/>
              <w:rPr>
                <w:color w:val="000000" w:themeColor="text1"/>
                <w14:textFill>
                  <w14:solidFill>
                    <w14:schemeClr w14:val="tx1"/>
                  </w14:solidFill>
                </w14:textFill>
              </w:rPr>
            </w:pPr>
          </w:p>
        </w:tc>
        <w:tc>
          <w:tcPr>
            <w:tcW w:w="483" w:type="pct"/>
            <w:vMerge w:val="continue"/>
            <w:vAlign w:val="center"/>
          </w:tcPr>
          <w:p>
            <w:pPr>
              <w:pStyle w:val="332"/>
              <w:widowControl w:val="0"/>
              <w:rPr>
                <w:color w:val="000000" w:themeColor="text1"/>
                <w14:textFill>
                  <w14:solidFill>
                    <w14:schemeClr w14:val="tx1"/>
                  </w14:solidFill>
                </w14:textFill>
              </w:rPr>
            </w:pPr>
          </w:p>
        </w:tc>
        <w:tc>
          <w:tcPr>
            <w:tcW w:w="1625" w:type="pct"/>
            <w:gridSpan w:val="2"/>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刀辊工作转速</w:t>
            </w:r>
          </w:p>
        </w:tc>
        <w:tc>
          <w:tcPr>
            <w:tcW w:w="125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r/min</w:t>
            </w:r>
          </w:p>
        </w:tc>
        <w:tc>
          <w:tcPr>
            <w:tcW w:w="124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w:t>
            </w:r>
          </w:p>
        </w:tc>
        <w:tc>
          <w:tcPr>
            <w:tcW w:w="48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加热</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系统</w:t>
            </w:r>
          </w:p>
        </w:tc>
        <w:tc>
          <w:tcPr>
            <w:tcW w:w="1625" w:type="pct"/>
            <w:gridSpan w:val="2"/>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加热元件</w:t>
            </w:r>
          </w:p>
        </w:tc>
        <w:tc>
          <w:tcPr>
            <w:tcW w:w="125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124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电热管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5" w:type="pct"/>
            <w:vMerge w:val="continue"/>
            <w:vAlign w:val="center"/>
          </w:tcPr>
          <w:p>
            <w:pPr>
              <w:pStyle w:val="332"/>
              <w:widowControl w:val="0"/>
              <w:rPr>
                <w:color w:val="000000" w:themeColor="text1"/>
                <w14:textFill>
                  <w14:solidFill>
                    <w14:schemeClr w14:val="tx1"/>
                  </w14:solidFill>
                </w14:textFill>
              </w:rPr>
            </w:pPr>
          </w:p>
        </w:tc>
        <w:tc>
          <w:tcPr>
            <w:tcW w:w="483" w:type="pct"/>
            <w:vMerge w:val="continue"/>
            <w:vAlign w:val="center"/>
          </w:tcPr>
          <w:p>
            <w:pPr>
              <w:pStyle w:val="332"/>
              <w:widowControl w:val="0"/>
              <w:rPr>
                <w:color w:val="000000" w:themeColor="text1"/>
                <w14:textFill>
                  <w14:solidFill>
                    <w14:schemeClr w14:val="tx1"/>
                  </w14:solidFill>
                </w14:textFill>
              </w:rPr>
            </w:pPr>
          </w:p>
        </w:tc>
        <w:tc>
          <w:tcPr>
            <w:tcW w:w="1625" w:type="pct"/>
            <w:gridSpan w:val="2"/>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总功率</w:t>
            </w:r>
          </w:p>
        </w:tc>
        <w:tc>
          <w:tcPr>
            <w:tcW w:w="125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kW</w:t>
            </w:r>
          </w:p>
        </w:tc>
        <w:tc>
          <w:tcPr>
            <w:tcW w:w="124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18</w:t>
            </w:r>
          </w:p>
        </w:tc>
      </w:tr>
    </w:tbl>
    <w:p>
      <w:pPr>
        <w:pStyle w:val="333"/>
        <w:spacing w:before="120"/>
        <w:rPr>
          <w:rFonts w:cs="Times New Roman"/>
          <w:color w:val="000000" w:themeColor="text1"/>
          <w:kern w:val="0"/>
          <w:szCs w:val="21"/>
          <w14:textFill>
            <w14:solidFill>
              <w14:schemeClr w14:val="tx1"/>
            </w14:solidFill>
          </w14:textFill>
        </w:rPr>
      </w:pPr>
      <w:r>
        <w:rPr>
          <w:rFonts w:cs="Times New Roman"/>
          <w:color w:val="000000" w:themeColor="text1"/>
          <w14:textFill>
            <w14:solidFill>
              <w14:schemeClr w14:val="tx1"/>
            </w14:solidFill>
          </w14:textFill>
        </w:rPr>
        <w:t>表3.3-4 一体式喷淋尾气处理系统设备参数</w:t>
      </w:r>
      <w:r>
        <w:rPr>
          <w:rFonts w:cs="Times New Roman"/>
          <w:color w:val="000000" w:themeColor="text1"/>
          <w:kern w:val="0"/>
          <w:szCs w:val="21"/>
          <w14:textFill>
            <w14:solidFill>
              <w14:schemeClr w14:val="tx1"/>
            </w14:solidFill>
          </w14:textFill>
        </w:rPr>
        <w:t>一览表</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25"/>
        <w:gridCol w:w="45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2500"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YTJ-690一体喷淋式尾气处理系统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外形尺寸</w:t>
            </w:r>
          </w:p>
        </w:tc>
        <w:tc>
          <w:tcPr>
            <w:tcW w:w="2500"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W1080×L2150×H3650（mm）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处理风量</w:t>
            </w:r>
          </w:p>
        </w:tc>
        <w:tc>
          <w:tcPr>
            <w:tcW w:w="250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690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风压</w:t>
            </w:r>
          </w:p>
        </w:tc>
        <w:tc>
          <w:tcPr>
            <w:tcW w:w="250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1880 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风机功率</w:t>
            </w:r>
          </w:p>
        </w:tc>
        <w:tc>
          <w:tcPr>
            <w:tcW w:w="2500" w:type="pct"/>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370 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水泵功率</w:t>
            </w:r>
          </w:p>
        </w:tc>
        <w:tc>
          <w:tcPr>
            <w:tcW w:w="2500" w:type="pct"/>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370 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冷却面积</w:t>
            </w:r>
          </w:p>
        </w:tc>
        <w:tc>
          <w:tcPr>
            <w:tcW w:w="2500" w:type="pct"/>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大</w:t>
            </w:r>
            <w:r>
              <w:rPr>
                <w:color w:val="000000" w:themeColor="text1"/>
                <w14:textFill>
                  <w14:solidFill>
                    <w14:schemeClr w14:val="tx1"/>
                  </w14:solidFill>
                </w14:textFill>
              </w:rPr>
              <w:t>于23 m</w:t>
            </w:r>
            <w:r>
              <w:rPr>
                <w:color w:val="000000" w:themeColor="text1"/>
                <w:vertAlign w:val="superscript"/>
                <w14:textFill>
                  <w14:solidFill>
                    <w14:schemeClr w14:val="tx1"/>
                  </w14:solidFill>
                </w14:textFill>
              </w:rPr>
              <w:t>2</w:t>
            </w:r>
          </w:p>
        </w:tc>
      </w:tr>
    </w:tbl>
    <w:p>
      <w:pPr>
        <w:pStyle w:val="4"/>
        <w:rPr>
          <w:rFonts w:cs="Times New Roman"/>
          <w:color w:val="000000" w:themeColor="text1"/>
          <w14:textFill>
            <w14:solidFill>
              <w14:schemeClr w14:val="tx1"/>
            </w14:solidFill>
          </w14:textFill>
        </w:rPr>
      </w:pPr>
      <w:bookmarkStart w:id="376" w:name="_Toc91163880"/>
      <w:r>
        <w:rPr>
          <w:rFonts w:cs="Times New Roman"/>
          <w:color w:val="000000" w:themeColor="text1"/>
          <w14:textFill>
            <w14:solidFill>
              <w14:schemeClr w14:val="tx1"/>
            </w14:solidFill>
          </w14:textFill>
        </w:rPr>
        <w:t>3.3.7 消毒防疫</w:t>
      </w:r>
      <w:bookmarkEnd w:id="376"/>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1、卫生防疫</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设进出养殖场的车辆消毒池，设人员消毒室和喷雾消毒设施。</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常年保持猪舍及其周围环境的清洁卫生、整齐，每天要清扫猪舍粪便、污物及时清除出场，禁止在猪舍及其周围堆放垃圾和其他废弃物，每天进行干清粪。</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t>夏季做好防暑降温及消灭蚊蝇工作，每周灭蚊蝇一次。冬季做好防寒保温工作，如架设防风墙等。</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2、消毒措施</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环境消毒：猪舍周围定期用0.2%过氧乙酸消毒一次，采用喷雾消毒方式；场区周围、场内污水池、下水道等每月消毒一次。车辆进出场区时有车辆消毒通道，消毒采用0.2%过氧乙酸溶液使用喷雾器进行喷雾消毒，消毒时间为30s~1 min。</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人员消毒：人员进出大门时在大门的人员消毒通道消毒，消毒间采用0.2%过氧乙酸溶液使用喷雾器进行喷雾消毒，消毒时间为30s~1min；场区工作人员穿工作服进入养殖区内，工作服不能穿出场外。在紧急防疫期间，禁止外来人员进入养殖区参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饲养人员定期体检，人畜共患病者不得进入生产区，及时在场外就医治疗。洗手用0.2%过氧乙酸药液。</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t>用具消毒：饲喂用具、料槽、饲料床等定期消毒，用0.2%过氧乙酸喷雾消毒。</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cs="Times New Roman"/>
          <w:color w:val="000000" w:themeColor="text1"/>
          <w14:textFill>
            <w14:solidFill>
              <w14:schemeClr w14:val="tx1"/>
            </w14:solidFill>
          </w14:textFill>
        </w:rPr>
        <w:t>养殖区设施清洁与消毒：在各阶段猪转栏后，通过高压水枪喷淋0.2%过氧乙酸溶液对猪舍进行消毒处理。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本工程主要采用过氧乙酸消毒的方法，防止产生氯代有机物及其它的二次污染物，满足《畜禽养殖业污染防治技术规范》HJ/T81-2001要求。过氧乙酸外购，采用25 kg桶装，使用时需要加清水稀释，用量为180 桶/年。消毒过程无废水产生。</w:t>
      </w:r>
    </w:p>
    <w:p>
      <w:pPr>
        <w:pStyle w:val="3"/>
        <w:spacing w:before="120" w:after="120"/>
        <w:rPr>
          <w:rFonts w:cs="Times New Roman"/>
          <w:color w:val="000000" w:themeColor="text1"/>
          <w14:textFill>
            <w14:solidFill>
              <w14:schemeClr w14:val="tx1"/>
            </w14:solidFill>
          </w14:textFill>
        </w:rPr>
      </w:pPr>
      <w:bookmarkStart w:id="377" w:name="_Toc91163881"/>
      <w:r>
        <w:rPr>
          <w:rFonts w:cs="Times New Roman"/>
          <w:color w:val="000000" w:themeColor="text1"/>
          <w14:textFill>
            <w14:solidFill>
              <w14:schemeClr w14:val="tx1"/>
            </w14:solidFill>
          </w14:textFill>
        </w:rPr>
        <w:t>3.4  产污环节</w:t>
      </w:r>
      <w:bookmarkEnd w:id="377"/>
    </w:p>
    <w:p>
      <w:pPr>
        <w:pStyle w:val="4"/>
        <w:rPr>
          <w:rFonts w:cs="Times New Roman"/>
          <w:color w:val="000000" w:themeColor="text1"/>
          <w14:textFill>
            <w14:solidFill>
              <w14:schemeClr w14:val="tx1"/>
            </w14:solidFill>
          </w14:textFill>
        </w:rPr>
      </w:pPr>
      <w:bookmarkStart w:id="378" w:name="_Toc91163882"/>
      <w:r>
        <w:rPr>
          <w:rFonts w:cs="Times New Roman"/>
          <w:color w:val="000000" w:themeColor="text1"/>
          <w14:textFill>
            <w14:solidFill>
              <w14:schemeClr w14:val="tx1"/>
            </w14:solidFill>
          </w14:textFill>
        </w:rPr>
        <w:t>3.4.1 施工期</w:t>
      </w:r>
      <w:bookmarkEnd w:id="378"/>
    </w:p>
    <w:p>
      <w:pPr>
        <w:pStyle w:val="5"/>
        <w:rPr>
          <w:color w:val="000000" w:themeColor="text1"/>
          <w14:textFill>
            <w14:solidFill>
              <w14:schemeClr w14:val="tx1"/>
            </w14:solidFill>
          </w14:textFill>
        </w:rPr>
      </w:pPr>
      <w:r>
        <w:rPr>
          <w:color w:val="000000" w:themeColor="text1"/>
          <w14:textFill>
            <w14:solidFill>
              <w14:schemeClr w14:val="tx1"/>
            </w14:solidFill>
          </w14:textFill>
        </w:rPr>
        <w:t>3.4.1.1废气产生环节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在挖土、推土及砂石、水泥等的装卸、运输过程中有尘埃散逸，汽车运送建筑材料时引起道路扬尘；施工机械产生汽车尾气。</w:t>
      </w:r>
    </w:p>
    <w:p>
      <w:pPr>
        <w:pStyle w:val="5"/>
        <w:rPr>
          <w:color w:val="000000" w:themeColor="text1"/>
          <w14:textFill>
            <w14:solidFill>
              <w14:schemeClr w14:val="tx1"/>
            </w14:solidFill>
          </w14:textFill>
        </w:rPr>
      </w:pPr>
      <w:r>
        <w:rPr>
          <w:color w:val="000000" w:themeColor="text1"/>
          <w14:textFill>
            <w14:solidFill>
              <w14:schemeClr w14:val="tx1"/>
            </w14:solidFill>
          </w14:textFill>
        </w:rPr>
        <w:t>3.4.1.2废水产生环节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施工期废水产生环节主要为施工废水和施工人员产生的生活污水。</w:t>
      </w:r>
    </w:p>
    <w:p>
      <w:pPr>
        <w:pStyle w:val="5"/>
        <w:rPr>
          <w:color w:val="000000" w:themeColor="text1"/>
          <w14:textFill>
            <w14:solidFill>
              <w14:schemeClr w14:val="tx1"/>
            </w14:solidFill>
          </w14:textFill>
        </w:rPr>
      </w:pPr>
      <w:r>
        <w:rPr>
          <w:color w:val="000000" w:themeColor="text1"/>
          <w14:textFill>
            <w14:solidFill>
              <w14:schemeClr w14:val="tx1"/>
            </w14:solidFill>
          </w14:textFill>
        </w:rPr>
        <w:t>3.4.1.3固体废物产生环节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施工期固体废物为建筑垃圾和施工人员生活垃圾。</w:t>
      </w:r>
    </w:p>
    <w:p>
      <w:pPr>
        <w:pStyle w:val="5"/>
        <w:rPr>
          <w:color w:val="000000" w:themeColor="text1"/>
          <w14:textFill>
            <w14:solidFill>
              <w14:schemeClr w14:val="tx1"/>
            </w14:solidFill>
          </w14:textFill>
        </w:rPr>
      </w:pPr>
      <w:r>
        <w:rPr>
          <w:color w:val="000000" w:themeColor="text1"/>
          <w14:textFill>
            <w14:solidFill>
              <w14:schemeClr w14:val="tx1"/>
            </w14:solidFill>
          </w14:textFill>
        </w:rPr>
        <w:t>3.4.1.4噪声产生环节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施工期噪声产生环节主要为施工设备产生的噪声。</w:t>
      </w:r>
    </w:p>
    <w:p>
      <w:pPr>
        <w:pStyle w:val="4"/>
        <w:rPr>
          <w:rFonts w:cs="Times New Roman"/>
          <w:color w:val="000000" w:themeColor="text1"/>
          <w14:textFill>
            <w14:solidFill>
              <w14:schemeClr w14:val="tx1"/>
            </w14:solidFill>
          </w14:textFill>
        </w:rPr>
      </w:pPr>
      <w:bookmarkStart w:id="379" w:name="_Toc91163883"/>
      <w:r>
        <w:rPr>
          <w:rFonts w:cs="Times New Roman"/>
          <w:color w:val="000000" w:themeColor="text1"/>
          <w14:textFill>
            <w14:solidFill>
              <w14:schemeClr w14:val="tx1"/>
            </w14:solidFill>
          </w14:textFill>
        </w:rPr>
        <w:t>3.4.2 运营期</w:t>
      </w:r>
      <w:bookmarkEnd w:id="379"/>
    </w:p>
    <w:p>
      <w:pPr>
        <w:pStyle w:val="5"/>
        <w:rPr>
          <w:color w:val="000000" w:themeColor="text1"/>
          <w14:textFill>
            <w14:solidFill>
              <w14:schemeClr w14:val="tx1"/>
            </w14:solidFill>
          </w14:textFill>
        </w:rPr>
      </w:pPr>
      <w:r>
        <w:rPr>
          <w:color w:val="000000" w:themeColor="text1"/>
          <w14:textFill>
            <w14:solidFill>
              <w14:schemeClr w14:val="tx1"/>
            </w14:solidFill>
          </w14:textFill>
        </w:rPr>
        <w:t>3.4.2.1废气</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生产过程中产生废气的环节为养殖区恶臭、治污区恶臭和生活区食堂油烟，具体产污环节见表3.4-1。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表3.4-1 废气产生环节</w:t>
      </w:r>
    </w:p>
    <w:tbl>
      <w:tblPr>
        <w:tblStyle w:val="5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1566"/>
        <w:gridCol w:w="1020"/>
        <w:gridCol w:w="3789"/>
        <w:gridCol w:w="22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864"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污染源名称</w:t>
            </w:r>
          </w:p>
        </w:tc>
        <w:tc>
          <w:tcPr>
            <w:tcW w:w="563"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污染源编号</w:t>
            </w:r>
          </w:p>
        </w:tc>
        <w:tc>
          <w:tcPr>
            <w:tcW w:w="2091"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产污环节</w:t>
            </w:r>
          </w:p>
        </w:tc>
        <w:tc>
          <w:tcPr>
            <w:tcW w:w="1229"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主要污染物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86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563"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G1</w:t>
            </w:r>
          </w:p>
        </w:tc>
        <w:tc>
          <w:tcPr>
            <w:tcW w:w="2091" w:type="pct"/>
            <w:tcBorders>
              <w:top w:val="single" w:color="auto" w:sz="12" w:space="0"/>
            </w:tcBorders>
            <w:vAlign w:val="center"/>
          </w:tcPr>
          <w:p>
            <w:pPr>
              <w:pStyle w:val="332"/>
              <w:widowControl w:val="0"/>
              <w:rPr>
                <w:color w:val="000000" w:themeColor="text1"/>
                <w14:textFill>
                  <w14:solidFill>
                    <w14:schemeClr w14:val="tx1"/>
                  </w14:solidFill>
                </w14:textFill>
              </w:rPr>
            </w:pPr>
            <w:r>
              <w:rPr>
                <w:bCs/>
                <w:color w:val="000000" w:themeColor="text1"/>
                <w14:textFill>
                  <w14:solidFill>
                    <w14:schemeClr w14:val="tx1"/>
                  </w14:solidFill>
                </w14:textFill>
              </w:rPr>
              <w:t>养殖过程中猪舍产生的恶臭</w:t>
            </w:r>
          </w:p>
        </w:tc>
        <w:tc>
          <w:tcPr>
            <w:tcW w:w="1229"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8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污水处理单元</w:t>
            </w:r>
          </w:p>
        </w:tc>
        <w:tc>
          <w:tcPr>
            <w:tcW w:w="56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G2</w:t>
            </w:r>
          </w:p>
        </w:tc>
        <w:tc>
          <w:tcPr>
            <w:tcW w:w="2091" w:type="pct"/>
            <w:vAlign w:val="center"/>
          </w:tcPr>
          <w:p>
            <w:pPr>
              <w:pStyle w:val="332"/>
              <w:widowControl w:val="0"/>
              <w:rPr>
                <w:color w:val="000000" w:themeColor="text1"/>
                <w14:textFill>
                  <w14:solidFill>
                    <w14:schemeClr w14:val="tx1"/>
                  </w14:solidFill>
                </w14:textFill>
              </w:rPr>
            </w:pPr>
            <w:r>
              <w:rPr>
                <w:bCs/>
                <w:color w:val="000000" w:themeColor="text1"/>
                <w14:textFill>
                  <w14:solidFill>
                    <w14:schemeClr w14:val="tx1"/>
                  </w14:solidFill>
                </w14:textFill>
              </w:rPr>
              <w:t>污水处理过程产生的恶臭</w:t>
            </w:r>
          </w:p>
        </w:tc>
        <w:tc>
          <w:tcPr>
            <w:tcW w:w="122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8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固粪处理区</w:t>
            </w:r>
          </w:p>
        </w:tc>
        <w:tc>
          <w:tcPr>
            <w:tcW w:w="56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G3</w:t>
            </w:r>
          </w:p>
        </w:tc>
        <w:tc>
          <w:tcPr>
            <w:tcW w:w="2091" w:type="pct"/>
            <w:vAlign w:val="center"/>
          </w:tcPr>
          <w:p>
            <w:pPr>
              <w:pStyle w:val="332"/>
              <w:widowControl w:val="0"/>
              <w:rPr>
                <w:color w:val="000000" w:themeColor="text1"/>
                <w14:textFill>
                  <w14:solidFill>
                    <w14:schemeClr w14:val="tx1"/>
                  </w14:solidFill>
                </w14:textFill>
              </w:rPr>
            </w:pPr>
            <w:r>
              <w:rPr>
                <w:bCs/>
                <w:color w:val="000000" w:themeColor="text1"/>
                <w14:textFill>
                  <w14:solidFill>
                    <w14:schemeClr w14:val="tx1"/>
                  </w14:solidFill>
                </w14:textFill>
              </w:rPr>
              <w:t>有机肥生产过程中产生的恶臭</w:t>
            </w:r>
          </w:p>
        </w:tc>
        <w:tc>
          <w:tcPr>
            <w:tcW w:w="122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8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无害化处理</w:t>
            </w:r>
          </w:p>
        </w:tc>
        <w:tc>
          <w:tcPr>
            <w:tcW w:w="563" w:type="pct"/>
            <w:vAlign w:val="center"/>
          </w:tcPr>
          <w:p>
            <w:pPr>
              <w:pStyle w:val="332"/>
              <w:widowControl w:val="0"/>
              <w:rPr>
                <w:b/>
                <w:bCs/>
                <w:color w:val="000000" w:themeColor="text1"/>
                <w14:textFill>
                  <w14:solidFill>
                    <w14:schemeClr w14:val="tx1"/>
                  </w14:solidFill>
                </w14:textFill>
              </w:rPr>
            </w:pPr>
            <w:r>
              <w:rPr>
                <w:color w:val="000000" w:themeColor="text1"/>
                <w14:textFill>
                  <w14:solidFill>
                    <w14:schemeClr w14:val="tx1"/>
                  </w14:solidFill>
                </w14:textFill>
              </w:rPr>
              <w:t>G4</w:t>
            </w:r>
          </w:p>
        </w:tc>
        <w:tc>
          <w:tcPr>
            <w:tcW w:w="209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病死猪无害化处理产生的恶臭</w:t>
            </w:r>
          </w:p>
        </w:tc>
        <w:tc>
          <w:tcPr>
            <w:tcW w:w="122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8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沼气发电机</w:t>
            </w:r>
          </w:p>
        </w:tc>
        <w:tc>
          <w:tcPr>
            <w:tcW w:w="563" w:type="pct"/>
            <w:vAlign w:val="center"/>
          </w:tcPr>
          <w:p>
            <w:pPr>
              <w:pStyle w:val="332"/>
              <w:widowControl w:val="0"/>
              <w:rPr>
                <w:b/>
                <w:bCs/>
                <w:color w:val="000000" w:themeColor="text1"/>
                <w14:textFill>
                  <w14:solidFill>
                    <w14:schemeClr w14:val="tx1"/>
                  </w14:solidFill>
                </w14:textFill>
              </w:rPr>
            </w:pPr>
            <w:r>
              <w:rPr>
                <w:color w:val="000000" w:themeColor="text1"/>
                <w14:textFill>
                  <w14:solidFill>
                    <w14:schemeClr w14:val="tx1"/>
                  </w14:solidFill>
                </w14:textFill>
              </w:rPr>
              <w:t>G5</w:t>
            </w:r>
          </w:p>
        </w:tc>
        <w:tc>
          <w:tcPr>
            <w:tcW w:w="209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燃烧沼气发电过程产生的废气</w:t>
            </w:r>
          </w:p>
        </w:tc>
        <w:tc>
          <w:tcPr>
            <w:tcW w:w="122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、NOx、烟尘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w:t>
            </w:r>
          </w:p>
        </w:tc>
        <w:tc>
          <w:tcPr>
            <w:tcW w:w="8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食堂</w:t>
            </w:r>
          </w:p>
        </w:tc>
        <w:tc>
          <w:tcPr>
            <w:tcW w:w="56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G6</w:t>
            </w:r>
          </w:p>
        </w:tc>
        <w:tc>
          <w:tcPr>
            <w:tcW w:w="2091" w:type="pct"/>
            <w:vAlign w:val="center"/>
          </w:tcPr>
          <w:p>
            <w:pPr>
              <w:pStyle w:val="332"/>
              <w:widowControl w:val="0"/>
              <w:rPr>
                <w:color w:val="000000" w:themeColor="text1"/>
                <w14:textFill>
                  <w14:solidFill>
                    <w14:schemeClr w14:val="tx1"/>
                  </w14:solidFill>
                </w14:textFill>
              </w:rPr>
            </w:pPr>
            <w:r>
              <w:rPr>
                <w:bCs/>
                <w:color w:val="000000" w:themeColor="text1"/>
                <w14:textFill>
                  <w14:solidFill>
                    <w14:schemeClr w14:val="tx1"/>
                  </w14:solidFill>
                </w14:textFill>
              </w:rPr>
              <w:t>食堂油烟</w:t>
            </w:r>
          </w:p>
        </w:tc>
        <w:tc>
          <w:tcPr>
            <w:tcW w:w="122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油烟</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3.4.2.2废水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养殖过程中废水的产生环节为猪尿、猪舍冲洗废水、职工生活污水及洗浴废水。主要污染物为SS、COD、BOD</w:t>
      </w:r>
      <w:r>
        <w:rPr>
          <w:rFonts w:cs="Times New Roman"/>
          <w:color w:val="000000" w:themeColor="text1"/>
          <w:vertAlign w:val="subscript"/>
          <w14:textFill>
            <w14:solidFill>
              <w14:schemeClr w14:val="tx1"/>
            </w14:solidFill>
          </w14:textFill>
        </w:rPr>
        <w:t>5</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-N、粪大肠菌群等，具体产污环节及主要污染物见表3.4-2。</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3.4-2 废水产生环节</w:t>
      </w:r>
    </w:p>
    <w:tbl>
      <w:tblPr>
        <w:tblStyle w:val="5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2184"/>
        <w:gridCol w:w="1312"/>
        <w:gridCol w:w="4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4"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205"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污染源名称</w:t>
            </w:r>
          </w:p>
        </w:tc>
        <w:tc>
          <w:tcPr>
            <w:tcW w:w="724"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污染源编号</w:t>
            </w:r>
          </w:p>
        </w:tc>
        <w:tc>
          <w:tcPr>
            <w:tcW w:w="267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主要污染物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05"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猪尿</w:t>
            </w:r>
          </w:p>
        </w:tc>
        <w:tc>
          <w:tcPr>
            <w:tcW w:w="72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W1</w:t>
            </w:r>
          </w:p>
        </w:tc>
        <w:tc>
          <w:tcPr>
            <w:tcW w:w="2677"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SS、COD、BOD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-N、粪大肠菌群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205"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猪舍冲洗</w:t>
            </w:r>
          </w:p>
        </w:tc>
        <w:tc>
          <w:tcPr>
            <w:tcW w:w="72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W2</w:t>
            </w:r>
          </w:p>
        </w:tc>
        <w:tc>
          <w:tcPr>
            <w:tcW w:w="26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SS、COD、BOD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-N、粪大肠菌群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205"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分娩猪清洗</w:t>
            </w:r>
          </w:p>
        </w:tc>
        <w:tc>
          <w:tcPr>
            <w:tcW w:w="724" w:type="pct"/>
            <w:vAlign w:val="center"/>
          </w:tcPr>
          <w:p>
            <w:pPr>
              <w:pStyle w:val="332"/>
              <w:widowControl w:val="0"/>
              <w:rPr>
                <w:b/>
                <w:bCs/>
                <w:color w:val="000000" w:themeColor="text1"/>
                <w14:textFill>
                  <w14:solidFill>
                    <w14:schemeClr w14:val="tx1"/>
                  </w14:solidFill>
                </w14:textFill>
              </w:rPr>
            </w:pPr>
            <w:r>
              <w:rPr>
                <w:color w:val="000000" w:themeColor="text1"/>
                <w14:textFill>
                  <w14:solidFill>
                    <w14:schemeClr w14:val="tx1"/>
                  </w14:solidFill>
                </w14:textFill>
              </w:rPr>
              <w:t>W3</w:t>
            </w:r>
          </w:p>
        </w:tc>
        <w:tc>
          <w:tcPr>
            <w:tcW w:w="26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SS、COD、BOD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-N、粪大肠菌群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205" w:type="pct"/>
            <w:vAlign w:val="center"/>
          </w:tcPr>
          <w:p>
            <w:pPr>
              <w:pStyle w:val="332"/>
              <w:widowControl w:val="0"/>
              <w:rPr>
                <w:color w:val="000000" w:themeColor="text1"/>
                <w14:textFill>
                  <w14:solidFill>
                    <w14:schemeClr w14:val="tx1"/>
                  </w14:solidFill>
                </w14:textFill>
              </w:rPr>
            </w:pPr>
            <w:r>
              <w:rPr>
                <w:color w:val="000000" w:themeColor="text1"/>
                <w:kern w:val="0"/>
                <w14:textFill>
                  <w14:solidFill>
                    <w14:schemeClr w14:val="tx1"/>
                  </w14:solidFill>
                </w14:textFill>
              </w:rPr>
              <w:t>器具清洗</w:t>
            </w:r>
          </w:p>
        </w:tc>
        <w:tc>
          <w:tcPr>
            <w:tcW w:w="72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W4</w:t>
            </w:r>
          </w:p>
        </w:tc>
        <w:tc>
          <w:tcPr>
            <w:tcW w:w="26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1205"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无害化设备冷凝水</w:t>
            </w:r>
          </w:p>
        </w:tc>
        <w:tc>
          <w:tcPr>
            <w:tcW w:w="72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W5</w:t>
            </w:r>
          </w:p>
        </w:tc>
        <w:tc>
          <w:tcPr>
            <w:tcW w:w="26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SS、COD、BOD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-N、粪大肠菌群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w:t>
            </w:r>
          </w:p>
        </w:tc>
        <w:tc>
          <w:tcPr>
            <w:tcW w:w="1205" w:type="pct"/>
            <w:vAlign w:val="center"/>
          </w:tcPr>
          <w:p>
            <w:pPr>
              <w:pStyle w:val="332"/>
              <w:widowControl w:val="0"/>
              <w:rPr>
                <w:color w:val="000000" w:themeColor="text1"/>
                <w:lang w:bidi="en-US"/>
                <w14:textFill>
                  <w14:solidFill>
                    <w14:schemeClr w14:val="tx1"/>
                  </w14:solidFill>
                </w14:textFill>
              </w:rPr>
            </w:pPr>
            <w:r>
              <w:rPr>
                <w:color w:val="000000" w:themeColor="text1"/>
                <w:lang w:bidi="en-US"/>
                <w14:textFill>
                  <w14:solidFill>
                    <w14:schemeClr w14:val="tx1"/>
                  </w14:solidFill>
                </w14:textFill>
              </w:rPr>
              <w:t>堆肥发酵场滤液</w:t>
            </w:r>
          </w:p>
        </w:tc>
        <w:tc>
          <w:tcPr>
            <w:tcW w:w="72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W6</w:t>
            </w:r>
          </w:p>
        </w:tc>
        <w:tc>
          <w:tcPr>
            <w:tcW w:w="26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SS、COD、BOD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-N、粪大肠菌群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7</w:t>
            </w:r>
          </w:p>
        </w:tc>
        <w:tc>
          <w:tcPr>
            <w:tcW w:w="1205" w:type="pct"/>
            <w:vAlign w:val="center"/>
          </w:tcPr>
          <w:p>
            <w:pPr>
              <w:pStyle w:val="332"/>
              <w:widowControl w:val="0"/>
              <w:rPr>
                <w:color w:val="000000" w:themeColor="text1"/>
                <w:lang w:bidi="en-US"/>
                <w14:textFill>
                  <w14:solidFill>
                    <w14:schemeClr w14:val="tx1"/>
                  </w14:solidFill>
                </w14:textFill>
              </w:rPr>
            </w:pPr>
            <w:r>
              <w:rPr>
                <w:color w:val="000000" w:themeColor="text1"/>
                <w:lang w:bidi="en-US"/>
                <w14:textFill>
                  <w14:solidFill>
                    <w14:schemeClr w14:val="tx1"/>
                  </w14:solidFill>
                </w14:textFill>
              </w:rPr>
              <w:t>职工办公生活</w:t>
            </w:r>
          </w:p>
        </w:tc>
        <w:tc>
          <w:tcPr>
            <w:tcW w:w="72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W7</w:t>
            </w:r>
          </w:p>
        </w:tc>
        <w:tc>
          <w:tcPr>
            <w:tcW w:w="267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SS、COD、BOD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-N、动植物油</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3.4.2.3固体废物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生产运营过程中产生的固体废物主要有猪粪、粪便处理产生的沼渣、病死猪、母猪胎盘、医疗废物、生活垃圾、废脱硫剂，具体产污环节及主要污染物见表3.4-3。</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表3.4-3 固体废物产生环节</w:t>
      </w:r>
    </w:p>
    <w:tbl>
      <w:tblPr>
        <w:tblStyle w:val="5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894"/>
        <w:gridCol w:w="1457"/>
        <w:gridCol w:w="4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045"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污染源名称</w:t>
            </w:r>
          </w:p>
        </w:tc>
        <w:tc>
          <w:tcPr>
            <w:tcW w:w="804"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污染源编号</w:t>
            </w:r>
          </w:p>
        </w:tc>
        <w:tc>
          <w:tcPr>
            <w:tcW w:w="275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主要污染物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5"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80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S1</w:t>
            </w:r>
          </w:p>
        </w:tc>
        <w:tc>
          <w:tcPr>
            <w:tcW w:w="2757"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猪粪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80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S2</w:t>
            </w:r>
          </w:p>
        </w:tc>
        <w:tc>
          <w:tcPr>
            <w:tcW w:w="275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病死猪、母猪胎盘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80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S3</w:t>
            </w:r>
          </w:p>
        </w:tc>
        <w:tc>
          <w:tcPr>
            <w:tcW w:w="275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医疗垃圾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污粪处理系统</w:t>
            </w:r>
          </w:p>
        </w:tc>
        <w:tc>
          <w:tcPr>
            <w:tcW w:w="80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S4</w:t>
            </w:r>
          </w:p>
        </w:tc>
        <w:tc>
          <w:tcPr>
            <w:tcW w:w="275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沼渣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沼气脱硫</w:t>
            </w:r>
          </w:p>
        </w:tc>
        <w:tc>
          <w:tcPr>
            <w:tcW w:w="80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S5</w:t>
            </w:r>
          </w:p>
        </w:tc>
        <w:tc>
          <w:tcPr>
            <w:tcW w:w="275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废脱硫剂（主要成分氧化铁）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无害化处理</w:t>
            </w:r>
          </w:p>
        </w:tc>
        <w:tc>
          <w:tcPr>
            <w:tcW w:w="80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S6</w:t>
            </w:r>
          </w:p>
        </w:tc>
        <w:tc>
          <w:tcPr>
            <w:tcW w:w="275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固体残渣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7</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职工办公生活</w:t>
            </w:r>
          </w:p>
        </w:tc>
        <w:tc>
          <w:tcPr>
            <w:tcW w:w="80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S7</w:t>
            </w:r>
          </w:p>
        </w:tc>
        <w:tc>
          <w:tcPr>
            <w:tcW w:w="275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生活垃圾</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3.4.2.4噪声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生产运营过程中的主要噪声源有风机、粪便处理设施等，产生的噪声为机械性噪声，频谱特征大部分以中低频为主，声级约70~90 dB（A）。具体见表3.4-4。</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表3.4-4 噪声产生环节</w:t>
      </w:r>
    </w:p>
    <w:tbl>
      <w:tblPr>
        <w:tblStyle w:val="5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894"/>
        <w:gridCol w:w="1457"/>
        <w:gridCol w:w="4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4"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045"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污染源名称</w:t>
            </w:r>
          </w:p>
        </w:tc>
        <w:tc>
          <w:tcPr>
            <w:tcW w:w="804"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污染源编号</w:t>
            </w:r>
          </w:p>
        </w:tc>
        <w:tc>
          <w:tcPr>
            <w:tcW w:w="275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噪声级 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45"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猪叫</w:t>
            </w:r>
          </w:p>
        </w:tc>
        <w:tc>
          <w:tcPr>
            <w:tcW w:w="80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N1</w:t>
            </w:r>
          </w:p>
        </w:tc>
        <w:tc>
          <w:tcPr>
            <w:tcW w:w="2757"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风机</w:t>
            </w:r>
          </w:p>
        </w:tc>
        <w:tc>
          <w:tcPr>
            <w:tcW w:w="80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N2</w:t>
            </w:r>
          </w:p>
        </w:tc>
        <w:tc>
          <w:tcPr>
            <w:tcW w:w="275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水泵类</w:t>
            </w:r>
          </w:p>
        </w:tc>
        <w:tc>
          <w:tcPr>
            <w:tcW w:w="80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N3</w:t>
            </w:r>
          </w:p>
        </w:tc>
        <w:tc>
          <w:tcPr>
            <w:tcW w:w="275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沼气发电机</w:t>
            </w:r>
          </w:p>
        </w:tc>
        <w:tc>
          <w:tcPr>
            <w:tcW w:w="80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N4</w:t>
            </w:r>
          </w:p>
        </w:tc>
        <w:tc>
          <w:tcPr>
            <w:tcW w:w="275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104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无害化处理设备</w:t>
            </w:r>
          </w:p>
        </w:tc>
        <w:tc>
          <w:tcPr>
            <w:tcW w:w="80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N5</w:t>
            </w:r>
          </w:p>
        </w:tc>
        <w:tc>
          <w:tcPr>
            <w:tcW w:w="275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~70</w:t>
            </w:r>
          </w:p>
        </w:tc>
      </w:tr>
    </w:tbl>
    <w:p>
      <w:pPr>
        <w:ind w:firstLine="480"/>
        <w:rPr>
          <w:rFonts w:cs="Times New Roman"/>
          <w:color w:val="000000" w:themeColor="text1"/>
          <w14:textFill>
            <w14:solidFill>
              <w14:schemeClr w14:val="tx1"/>
            </w14:solidFill>
          </w14:textFill>
        </w:rPr>
        <w:sectPr>
          <w:pgSz w:w="11907" w:h="16840"/>
          <w:pgMar w:top="1418" w:right="1531" w:bottom="1418" w:left="1531" w:header="1021" w:footer="1134" w:gutter="0"/>
          <w:pgNumType w:fmt="numberInDash"/>
          <w:cols w:space="720" w:num="1"/>
          <w:docGrid w:linePitch="312" w:charSpace="0"/>
        </w:sectPr>
      </w:pPr>
      <w:r>
        <w:rPr>
          <w:rFonts w:cs="Times New Roman"/>
          <w:color w:val="000000" w:themeColor="text1"/>
          <w14:textFill>
            <w14:solidFill>
              <w14:schemeClr w14:val="tx1"/>
            </w14:solidFill>
          </w14:textFill>
        </w:rPr>
        <w:t>本项目生产工艺流程及产污环节图见图3.4-1。</w:t>
      </w:r>
    </w:p>
    <w:p>
      <w:pPr>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object>
          <v:shape id="_x0000_i1031" o:spt="75" type="#_x0000_t75" style="height:416.4pt;width:669.6pt;" o:ole="t" filled="f" o:preferrelative="t" stroked="f" coordsize="21600,21600">
            <v:path/>
            <v:fill on="f" focussize="0,0"/>
            <v:stroke on="f" joinstyle="miter"/>
            <v:imagedata r:id="rId41" o:title=""/>
            <o:lock v:ext="edit" aspectratio="t"/>
            <w10:wrap type="none"/>
            <w10:anchorlock/>
          </v:shape>
          <o:OLEObject Type="Embed" ProgID="Visio.Drawing.15" ShapeID="_x0000_i1031" DrawAspect="Content" ObjectID="_1468075731" r:id="rId40">
            <o:LockedField>false</o:LockedField>
          </o:OLEObject>
        </w:objec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图3.4-1项目生产工艺流程及产污环节图</w:t>
      </w:r>
    </w:p>
    <w:p>
      <w:pPr>
        <w:ind w:firstLine="480"/>
        <w:rPr>
          <w:rFonts w:cs="Times New Roman"/>
          <w:color w:val="000000" w:themeColor="text1"/>
          <w14:textFill>
            <w14:solidFill>
              <w14:schemeClr w14:val="tx1"/>
            </w14:solidFill>
          </w14:textFill>
        </w:rPr>
        <w:sectPr>
          <w:pgSz w:w="16840" w:h="11907" w:orient="landscape"/>
          <w:pgMar w:top="1531" w:right="1418" w:bottom="1531" w:left="1418" w:header="1021" w:footer="1134" w:gutter="0"/>
          <w:pgNumType w:fmt="numberInDash"/>
          <w:cols w:space="720" w:num="1"/>
          <w:docGrid w:linePitch="326" w:charSpace="0"/>
        </w:sectPr>
      </w:pPr>
    </w:p>
    <w:p>
      <w:pPr>
        <w:pStyle w:val="3"/>
        <w:spacing w:before="120" w:after="120"/>
        <w:rPr>
          <w:rFonts w:cs="Times New Roman"/>
          <w:color w:val="000000" w:themeColor="text1"/>
          <w14:textFill>
            <w14:solidFill>
              <w14:schemeClr w14:val="tx1"/>
            </w14:solidFill>
          </w14:textFill>
        </w:rPr>
      </w:pPr>
      <w:bookmarkStart w:id="380" w:name="_Toc91163884"/>
      <w:r>
        <w:rPr>
          <w:rFonts w:cs="Times New Roman"/>
          <w:color w:val="000000" w:themeColor="text1"/>
          <w14:textFill>
            <w14:solidFill>
              <w14:schemeClr w14:val="tx1"/>
            </w14:solidFill>
          </w14:textFill>
        </w:rPr>
        <w:t>3.5  污染因素分析及治理措施</w:t>
      </w:r>
      <w:bookmarkEnd w:id="380"/>
    </w:p>
    <w:p>
      <w:pPr>
        <w:pStyle w:val="4"/>
        <w:rPr>
          <w:rFonts w:cs="Times New Roman"/>
          <w:color w:val="000000" w:themeColor="text1"/>
          <w14:textFill>
            <w14:solidFill>
              <w14:schemeClr w14:val="tx1"/>
            </w14:solidFill>
          </w14:textFill>
        </w:rPr>
      </w:pPr>
      <w:bookmarkStart w:id="381" w:name="_Toc91163885"/>
      <w:r>
        <w:rPr>
          <w:rFonts w:cs="Times New Roman"/>
          <w:color w:val="000000" w:themeColor="text1"/>
          <w14:textFill>
            <w14:solidFill>
              <w14:schemeClr w14:val="tx1"/>
            </w14:solidFill>
          </w14:textFill>
        </w:rPr>
        <w:t>3.5.1 施工期环境影响分析及治理措施</w:t>
      </w:r>
      <w:bookmarkEnd w:id="381"/>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本项目施工时长6个月。</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程施工影响范围主要为场址、沼液施肥管线埋设区域及邻近区域，施工活动的影响主要为施工扬尘、废水、固体废物、噪声排放及场地挖填对场址所属区域自然、生态环境及居民生活的影响。其中以施工扬尘和施工噪声对环境的影响比较显著。</w:t>
      </w:r>
    </w:p>
    <w:p>
      <w:pPr>
        <w:pStyle w:val="5"/>
        <w:rPr>
          <w:color w:val="000000" w:themeColor="text1"/>
          <w14:textFill>
            <w14:solidFill>
              <w14:schemeClr w14:val="tx1"/>
            </w14:solidFill>
          </w14:textFill>
        </w:rPr>
      </w:pPr>
      <w:r>
        <w:rPr>
          <w:color w:val="000000" w:themeColor="text1"/>
          <w14:textFill>
            <w14:solidFill>
              <w14:schemeClr w14:val="tx1"/>
            </w14:solidFill>
          </w14:textFill>
        </w:rPr>
        <w:t>3.5.1.1废气</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间对环境空气影响最大的是施工扬尘，来源于各种无组织排放源，其中场地清理、土方挖掘填埋、建筑材料运输等工序的产生量较大，原材料堆存、建筑结构施工、设备安装等产生量较小。由于施工污染源为间歇性源并且扬尘点低，只会在近距离内形成局部污染。施工现场的污染物未经扩散稀释就进入地面呼吸地带，会给现场施工人员的生活和健康带来一定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根据《防治城市扬尘污染技术规范》HJ/T393-2007，晋环发[2010]136号“关于加强建筑施工扬尘排污费核定征收工作的通知”要求，施工期扬尘污染防治措施具体如下：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施工工地各种工业料堆及固体废弃物堆场由于堆积、装卸、传送以及风蚀作用等会造成一定的扬尘，故在施工过程中应及时清运，定期洒水，遮盖蓬布等措施进行抑尘，其抑尘效率可达75%，大大减少扬尘污染对大气环境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2）当施工过程中遇到干燥、易起尘的工程作业时，应洒水抑尘，尽量缩短起尘操作时间，遇到风力较大天气时应停止作业。</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3）进出工地的运输车辆应尽可能采用密闭车斗，保证物料不遗撒外漏；当车辆无密闭车斗时，装载高度不得超过车辆槽帮上沿，并用蓬布遮盖；运输车辆应严格按照规定的行车路线和时间进行物料的输送。</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4）施工期间的工地内及出口处铺设钢板、水泥混凝土、细石等，并配以洒水、道路清扫等措施保证路面清洁，减少车辆行驶过程的道路扬尘。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禁止施工现场搅拌混凝土，全部采用预拌商品混凝土。临时料场应分别布置在各期工程施工范围内，施工过程中划定固定区域，禁止随意堆放，使用过程中对料场进行及时覆盖，使用完成后对料场进行及时地清理和恢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6）施工出口处置清除车轮泥土的设备，确保车辆不带泥土驶出工地。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7）施工物料运输车辆必须按照交通部门核准的运输路线和时间运行，本项目建设单位有责任对运输车辆的线路进行监督，不得图便利自行选择其他线路。</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8）沼液输送管道采用大开挖方式，开挖深度约1.5 m，宽度约0.5 m，管沟开挖时应将挖出的土方堆放到焊接施工对面一侧的位置，堆土距沟边距不小于0.5 m。大风天气应将土方进行覆盖，减少扬尘产生。在耕作区开挖时，应将表层耕作土与下层土分别堆放，管线铺设完成后分层回填，表层土用做耕作土。施工结束后恢复原地形地貌。</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9）根据山西省人民政府办公厅晋政办发[2020]17 号《关于印发山西省打赢蓝天保卫战2020年决战计划的通知》中第五项综合管控面源污染中提出：坚决提升扬尘污染管控水平全面加强降尘整治。严格落实施工工地扬尘整治“六个百分之百”要求。推行“阳光施工”“阳光运输”，减少夜间施工和运输。依法严查渣土运输车辆未按规定时间和路线行驶、沿途抛洒、随意倾倒等行为。</w:t>
      </w:r>
    </w:p>
    <w:p>
      <w:pPr>
        <w:pStyle w:val="5"/>
        <w:rPr>
          <w:color w:val="000000" w:themeColor="text1"/>
          <w14:textFill>
            <w14:solidFill>
              <w14:schemeClr w14:val="tx1"/>
            </w14:solidFill>
          </w14:textFill>
        </w:rPr>
      </w:pPr>
      <w:r>
        <w:rPr>
          <w:color w:val="000000" w:themeColor="text1"/>
          <w14:textFill>
            <w14:solidFill>
              <w14:schemeClr w14:val="tx1"/>
            </w14:solidFill>
          </w14:textFill>
        </w:rPr>
        <w:t>3.5.1.2废水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间的生产用水主要为砂浆配制过程用水及机械、车辆冲洗用水，施工期生产废水的排放主要由设备冲洗及施工中的跑、冒、滴、漏、溢流产生，仅含有少量混砂，不含其它杂质，这类废水在施工现场设一临时沉淀池收集后回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施工期另一水污染源是施工人员的生活污水。项目施工人员100人，生活废水最高日排水量约3.2 t，主要污染物为COD，BOD，SS等，其浓度分别约为300 mg/L，150 mg/L，260 mg/L。环评要求将施工人员生活污水集中收集，经絮凝沉淀后，用于施工期降尘洒水。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沼液输送管线不穿越河流等，不会对地表水体产生影响。</w:t>
      </w:r>
    </w:p>
    <w:p>
      <w:pPr>
        <w:pStyle w:val="5"/>
        <w:rPr>
          <w:color w:val="000000" w:themeColor="text1"/>
          <w14:textFill>
            <w14:solidFill>
              <w14:schemeClr w14:val="tx1"/>
            </w14:solidFill>
          </w14:textFill>
        </w:rPr>
      </w:pPr>
      <w:r>
        <w:rPr>
          <w:color w:val="000000" w:themeColor="text1"/>
          <w14:textFill>
            <w14:solidFill>
              <w14:schemeClr w14:val="tx1"/>
            </w14:solidFill>
          </w14:textFill>
        </w:rPr>
        <w:t>3.5.1.3噪声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从噪声污染角度出发可以把工程施工期分为土方阶段、基础施工阶段、结构制作阶段及设备安装阶段，各阶段具有其独自的噪声特性。第一阶段的噪声源主要有推土机、挖掘机、装载机及各种车辆等，这些声源大部分属于移动声源，没有明显的指向性；第二阶段的噪声源主要有各种打桩机等，属于脉冲噪声，基本上是固定声源；第三阶段的主要产噪设备有振捣棒、电锯等，其中包括一些撞击噪声；第四阶段的主要产噪设备有吊车、升降机等。这些噪声源均为间歇性源，施工过程各声源设备源强类比调查结果见表3.5-1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表3.5-1 施工期主要噪声源一览表   单位：dB（A）</w:t>
      </w:r>
    </w:p>
    <w:p>
      <w:pPr>
        <w:kinsoku w:val="0"/>
        <w:overflowPunct w:val="0"/>
        <w:autoSpaceDE w:val="0"/>
        <w:autoSpaceDN w:val="0"/>
        <w:adjustRightInd w:val="0"/>
        <w:spacing w:before="3" w:line="240" w:lineRule="auto"/>
        <w:ind w:firstLine="0" w:firstLineChars="0"/>
        <w:jc w:val="left"/>
        <w:rPr>
          <w:rFonts w:cs="Times New Roman"/>
          <w:color w:val="000000" w:themeColor="text1"/>
          <w:kern w:val="0"/>
          <w:sz w:val="5"/>
          <w:szCs w:val="5"/>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2064"/>
        <w:gridCol w:w="2295"/>
        <w:gridCol w:w="2293"/>
        <w:gridCol w:w="2223"/>
      </w:tblGrid>
      <w:tr>
        <w:tblPrEx>
          <w:tblCellMar>
            <w:top w:w="0" w:type="dxa"/>
            <w:left w:w="0" w:type="dxa"/>
            <w:bottom w:w="0" w:type="dxa"/>
            <w:right w:w="0" w:type="dxa"/>
          </w:tblCellMar>
        </w:tblPrEx>
        <w:trPr>
          <w:trHeight w:val="397" w:hRule="atLeast"/>
        </w:trPr>
        <w:tc>
          <w:tcPr>
            <w:tcW w:w="1163" w:type="pct"/>
            <w:tcBorders>
              <w:top w:val="single" w:color="auto" w:sz="12" w:space="0"/>
              <w:left w:val="single" w:color="auto"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施工阶段</w:t>
            </w:r>
          </w:p>
        </w:tc>
        <w:tc>
          <w:tcPr>
            <w:tcW w:w="1293"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施工机械</w:t>
            </w:r>
          </w:p>
        </w:tc>
        <w:tc>
          <w:tcPr>
            <w:tcW w:w="1292"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设备的声压级</w:t>
            </w:r>
          </w:p>
        </w:tc>
        <w:tc>
          <w:tcPr>
            <w:tcW w:w="1252" w:type="pct"/>
            <w:tcBorders>
              <w:top w:val="single" w:color="auto" w:sz="12" w:space="0"/>
              <w:left w:val="single" w:color="000000" w:sz="6"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声源性质</w:t>
            </w:r>
          </w:p>
        </w:tc>
      </w:tr>
      <w:tr>
        <w:tblPrEx>
          <w:tblCellMar>
            <w:top w:w="0" w:type="dxa"/>
            <w:left w:w="0" w:type="dxa"/>
            <w:bottom w:w="0" w:type="dxa"/>
            <w:right w:w="0" w:type="dxa"/>
          </w:tblCellMar>
        </w:tblPrEx>
        <w:trPr>
          <w:trHeight w:val="397" w:hRule="atLeast"/>
        </w:trPr>
        <w:tc>
          <w:tcPr>
            <w:tcW w:w="1163" w:type="pct"/>
            <w:vMerge w:val="restart"/>
            <w:tcBorders>
              <w:top w:val="single" w:color="auto" w:sz="12"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土方阶段</w:t>
            </w:r>
          </w:p>
        </w:tc>
        <w:tc>
          <w:tcPr>
            <w:tcW w:w="1293" w:type="pct"/>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推土机</w:t>
            </w:r>
          </w:p>
        </w:tc>
        <w:tc>
          <w:tcPr>
            <w:tcW w:w="1292" w:type="pct"/>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w:t>
            </w:r>
          </w:p>
        </w:tc>
        <w:tc>
          <w:tcPr>
            <w:tcW w:w="1252" w:type="pct"/>
            <w:tcBorders>
              <w:top w:val="single" w:color="auto" w:sz="12"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63" w:type="pct"/>
            <w:vMerge w:val="continue"/>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p>
        </w:tc>
        <w:tc>
          <w:tcPr>
            <w:tcW w:w="129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挖掘机</w:t>
            </w:r>
          </w:p>
        </w:tc>
        <w:tc>
          <w:tcPr>
            <w:tcW w:w="1292"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96</w:t>
            </w:r>
          </w:p>
        </w:tc>
        <w:tc>
          <w:tcPr>
            <w:tcW w:w="1252"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63" w:type="pct"/>
            <w:vMerge w:val="continue"/>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p>
        </w:tc>
        <w:tc>
          <w:tcPr>
            <w:tcW w:w="129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装载机</w:t>
            </w:r>
          </w:p>
        </w:tc>
        <w:tc>
          <w:tcPr>
            <w:tcW w:w="1292"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88</w:t>
            </w:r>
          </w:p>
        </w:tc>
        <w:tc>
          <w:tcPr>
            <w:tcW w:w="1252"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63" w:type="pct"/>
            <w:vMerge w:val="continue"/>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p>
        </w:tc>
        <w:tc>
          <w:tcPr>
            <w:tcW w:w="129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各种车辆</w:t>
            </w:r>
          </w:p>
        </w:tc>
        <w:tc>
          <w:tcPr>
            <w:tcW w:w="1292"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252"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63" w:type="pct"/>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基础施工阶段</w:t>
            </w:r>
          </w:p>
        </w:tc>
        <w:tc>
          <w:tcPr>
            <w:tcW w:w="129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冲击打夯机</w:t>
            </w:r>
          </w:p>
        </w:tc>
        <w:tc>
          <w:tcPr>
            <w:tcW w:w="1292"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105</w:t>
            </w:r>
          </w:p>
        </w:tc>
        <w:tc>
          <w:tcPr>
            <w:tcW w:w="1252"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63" w:type="pct"/>
            <w:vMerge w:val="restart"/>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结构制作阶段</w:t>
            </w:r>
          </w:p>
        </w:tc>
        <w:tc>
          <w:tcPr>
            <w:tcW w:w="129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振捣棒</w:t>
            </w:r>
          </w:p>
        </w:tc>
        <w:tc>
          <w:tcPr>
            <w:tcW w:w="1292"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105</w:t>
            </w:r>
          </w:p>
        </w:tc>
        <w:tc>
          <w:tcPr>
            <w:tcW w:w="1252"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63" w:type="pct"/>
            <w:vMerge w:val="continue"/>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p>
        </w:tc>
        <w:tc>
          <w:tcPr>
            <w:tcW w:w="129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电锯</w:t>
            </w:r>
          </w:p>
        </w:tc>
        <w:tc>
          <w:tcPr>
            <w:tcW w:w="1292"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110</w:t>
            </w:r>
          </w:p>
        </w:tc>
        <w:tc>
          <w:tcPr>
            <w:tcW w:w="1252"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63" w:type="pct"/>
            <w:vMerge w:val="restart"/>
            <w:tcBorders>
              <w:top w:val="single" w:color="000000" w:sz="4" w:space="0"/>
              <w:left w:val="single" w:color="auto" w:sz="12" w:space="0"/>
              <w:bottom w:val="single" w:color="000000" w:sz="10"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设备安装阶段</w:t>
            </w:r>
          </w:p>
        </w:tc>
        <w:tc>
          <w:tcPr>
            <w:tcW w:w="129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吊车</w:t>
            </w:r>
          </w:p>
        </w:tc>
        <w:tc>
          <w:tcPr>
            <w:tcW w:w="1292"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252"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63" w:type="pct"/>
            <w:vMerge w:val="continue"/>
            <w:tcBorders>
              <w:top w:val="single" w:color="000000" w:sz="4" w:space="0"/>
              <w:left w:val="single" w:color="auto"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p>
        </w:tc>
        <w:tc>
          <w:tcPr>
            <w:tcW w:w="1293" w:type="pct"/>
            <w:tcBorders>
              <w:top w:val="single" w:color="000000" w:sz="4"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升降机</w:t>
            </w:r>
          </w:p>
        </w:tc>
        <w:tc>
          <w:tcPr>
            <w:tcW w:w="1292" w:type="pct"/>
            <w:tcBorders>
              <w:top w:val="single" w:color="000000" w:sz="4"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252" w:type="pct"/>
            <w:tcBorders>
              <w:top w:val="single" w:color="000000" w:sz="4" w:space="0"/>
              <w:left w:val="single" w:color="000000" w:sz="6"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在各施工阶段中，第一阶段即土方阶段的挖掘机对声环境的影响最大，采取的防治措施如下：</w:t>
      </w:r>
    </w:p>
    <w:p>
      <w:pPr>
        <w:ind w:firstLine="480"/>
        <w:rPr>
          <w:rFonts w:cs="Times New Roman"/>
          <w:color w:val="000000" w:themeColor="text1"/>
          <w14:textFill>
            <w14:solidFill>
              <w14:schemeClr w14:val="tx1"/>
            </w14:solidFill>
          </w14:textFill>
        </w:rPr>
      </w:pPr>
      <w:r>
        <w:rPr>
          <w:rFonts w:eastAsia="TimesNewRomanPSMT"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）制定严格合理的施工计划，集中安排高噪声施工阶段，便于合理控制；</w:t>
      </w:r>
    </w:p>
    <w:p>
      <w:pPr>
        <w:ind w:firstLine="480"/>
        <w:rPr>
          <w:rFonts w:cs="Times New Roman"/>
          <w:color w:val="000000" w:themeColor="text1"/>
          <w14:textFill>
            <w14:solidFill>
              <w14:schemeClr w14:val="tx1"/>
            </w14:solidFill>
          </w14:textFill>
        </w:rPr>
      </w:pPr>
      <w:r>
        <w:rPr>
          <w:rFonts w:eastAsia="TimesNewRomanPSMT"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）事先公告施工状况，以征得周围居民的谅解；</w:t>
      </w:r>
    </w:p>
    <w:p>
      <w:pPr>
        <w:ind w:firstLine="480"/>
        <w:rPr>
          <w:rFonts w:cs="Times New Roman"/>
          <w:color w:val="000000" w:themeColor="text1"/>
          <w14:textFill>
            <w14:solidFill>
              <w14:schemeClr w14:val="tx1"/>
            </w14:solidFill>
          </w14:textFill>
        </w:rPr>
      </w:pPr>
      <w:r>
        <w:rPr>
          <w:rFonts w:eastAsia="TimesNewRomanPSMT" w:cs="Times New Roman"/>
          <w:color w:val="000000" w:themeColor="text1"/>
          <w14:textFill>
            <w14:solidFill>
              <w14:schemeClr w14:val="tx1"/>
            </w14:solidFill>
          </w14:textFill>
        </w:rPr>
        <w:t>3</w:t>
      </w:r>
      <w:r>
        <w:rPr>
          <w:rFonts w:cs="Times New Roman"/>
          <w:color w:val="000000" w:themeColor="text1"/>
          <w14:textFill>
            <w14:solidFill>
              <w14:schemeClr w14:val="tx1"/>
            </w14:solidFill>
          </w14:textFill>
        </w:rPr>
        <w:t>）施工区应实施严格的隔离措施，降低施工噪声影响；</w:t>
      </w:r>
    </w:p>
    <w:p>
      <w:pPr>
        <w:ind w:firstLine="480"/>
        <w:rPr>
          <w:rFonts w:cs="Times New Roman"/>
          <w:color w:val="000000" w:themeColor="text1"/>
          <w14:textFill>
            <w14:solidFill>
              <w14:schemeClr w14:val="tx1"/>
            </w14:solidFill>
          </w14:textFill>
        </w:rPr>
      </w:pPr>
      <w:r>
        <w:rPr>
          <w:rFonts w:eastAsia="TimesNewRomanPSMT" w:cs="Times New Roman"/>
          <w:color w:val="000000" w:themeColor="text1"/>
          <w14:textFill>
            <w14:solidFill>
              <w14:schemeClr w14:val="tx1"/>
            </w14:solidFill>
          </w14:textFill>
        </w:rPr>
        <w:t>4</w:t>
      </w:r>
      <w:r>
        <w:rPr>
          <w:rFonts w:cs="Times New Roman"/>
          <w:color w:val="000000" w:themeColor="text1"/>
          <w14:textFill>
            <w14:solidFill>
              <w14:schemeClr w14:val="tx1"/>
            </w14:solidFill>
          </w14:textFill>
        </w:rPr>
        <w:t>）在施工阶段采用商品砼，不仅可减少扬尘，而且还避免搅拌机噪声污染。</w:t>
      </w:r>
    </w:p>
    <w:p>
      <w:pPr>
        <w:ind w:firstLine="480"/>
        <w:rPr>
          <w:rFonts w:cs="Times New Roman"/>
          <w:color w:val="000000" w:themeColor="text1"/>
          <w14:textFill>
            <w14:solidFill>
              <w14:schemeClr w14:val="tx1"/>
            </w14:solidFill>
          </w14:textFill>
        </w:rPr>
      </w:pPr>
      <w:r>
        <w:rPr>
          <w:rFonts w:eastAsia="TimesNewRomanPSMT"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）所有高产噪设备的施工时间如打桩机等应安排在日间非休息时段，夜间禁止施工；</w:t>
      </w:r>
    </w:p>
    <w:p>
      <w:pPr>
        <w:ind w:firstLine="480"/>
        <w:rPr>
          <w:rFonts w:cs="Times New Roman"/>
          <w:color w:val="000000" w:themeColor="text1"/>
          <w14:textFill>
            <w14:solidFill>
              <w14:schemeClr w14:val="tx1"/>
            </w14:solidFill>
          </w14:textFill>
        </w:rPr>
      </w:pPr>
      <w:r>
        <w:rPr>
          <w:rFonts w:eastAsia="TimesNewRomanPSMT" w:cs="Times New Roman"/>
          <w:color w:val="000000" w:themeColor="text1"/>
          <w14:textFill>
            <w14:solidFill>
              <w14:schemeClr w14:val="tx1"/>
            </w14:solidFill>
          </w14:textFill>
        </w:rPr>
        <w:t>6</w:t>
      </w:r>
      <w:r>
        <w:rPr>
          <w:rFonts w:cs="Times New Roman"/>
          <w:color w:val="000000" w:themeColor="text1"/>
          <w14:textFill>
            <w14:solidFill>
              <w14:schemeClr w14:val="tx1"/>
            </w14:solidFill>
          </w14:textFill>
        </w:rPr>
        <w:t>）尽可能利用噪声距离衰减措施，在不影响施工的条件下，将强噪声设备尽量移至距场界较远的地方，保证施工场界达标。尽量将强噪声设备分散安排，同时相对固定的机械设备尽量入棚操作，最大限度减少施工噪声对周围居民的影响。</w:t>
      </w:r>
    </w:p>
    <w:p>
      <w:pPr>
        <w:ind w:firstLine="480"/>
        <w:rPr>
          <w:rFonts w:cs="Times New Roman"/>
          <w:color w:val="000000" w:themeColor="text1"/>
          <w14:textFill>
            <w14:solidFill>
              <w14:schemeClr w14:val="tx1"/>
            </w14:solidFill>
          </w14:textFill>
        </w:rPr>
      </w:pPr>
      <w:r>
        <w:rPr>
          <w:rFonts w:eastAsia="TimesNewRomanPSMT" w:cs="Times New Roman"/>
          <w:color w:val="000000" w:themeColor="text1"/>
          <w14:textFill>
            <w14:solidFill>
              <w14:schemeClr w14:val="tx1"/>
            </w14:solidFill>
          </w14:textFill>
        </w:rPr>
        <w:t>7</w:t>
      </w:r>
      <w:r>
        <w:rPr>
          <w:rFonts w:cs="Times New Roman"/>
          <w:color w:val="000000" w:themeColor="text1"/>
          <w14:textFill>
            <w14:solidFill>
              <w14:schemeClr w14:val="tx1"/>
            </w14:solidFill>
          </w14:textFill>
        </w:rPr>
        <w:t>）避免在同一地点安排大量动力机械设备，以避免局部声级过高；施工设备选型上应尽量采用低噪声设备，如振捣器采用变频振捣器等；对动力机械设备进行定期的维修、养护，因设备常因松动部件的震动或消声器破坏而加大其工作时的声级；尽量少用哨子、喇叭等指挥作业，减少人为噪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8）对位置相对固定的产噪机械设备，能设在棚内操作的应尽量进入操作间，不能入棚的也应适当建立围隔声障；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9）建设施工期，工程业主和有关管理部门应设立举报途径，并应加强日常监督管理，发现违规行为应及时纠正，以确保工程施工阶段的声环境要求。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本项目距离周围村庄距离都在500 m以上，因此，施工期扬尘及噪声等对其产生影响很小。</w:t>
      </w:r>
    </w:p>
    <w:p>
      <w:pPr>
        <w:pStyle w:val="5"/>
        <w:rPr>
          <w:color w:val="000000" w:themeColor="text1"/>
          <w14:textFill>
            <w14:solidFill>
              <w14:schemeClr w14:val="tx1"/>
            </w14:solidFill>
          </w14:textFill>
        </w:rPr>
      </w:pPr>
      <w:r>
        <w:rPr>
          <w:color w:val="000000" w:themeColor="text1"/>
          <w14:textFill>
            <w14:solidFill>
              <w14:schemeClr w14:val="tx1"/>
            </w14:solidFill>
          </w14:textFill>
        </w:rPr>
        <w:t>3.5.1.4固体废物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施工期产生的固体废物主要为开挖土方、建筑垃圾和施工人员的少量生活垃圾。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w:t>
      </w:r>
      <w:r>
        <w:rPr>
          <w:rFonts w:cs="Times New Roman"/>
          <w:bCs/>
          <w:color w:val="000000" w:themeColor="text1"/>
          <w:kern w:val="24"/>
          <w:szCs w:val="20"/>
          <w14:textFill>
            <w14:solidFill>
              <w14:schemeClr w14:val="tx1"/>
            </w14:solidFill>
          </w14:textFill>
        </w:rPr>
        <w:t>占地面积53019.51m</w:t>
      </w:r>
      <w:r>
        <w:rPr>
          <w:rFonts w:cs="Times New Roman"/>
          <w:bCs/>
          <w:color w:val="000000" w:themeColor="text1"/>
          <w:kern w:val="24"/>
          <w:szCs w:val="20"/>
          <w:vertAlign w:val="superscript"/>
          <w14:textFill>
            <w14:solidFill>
              <w14:schemeClr w14:val="tx1"/>
            </w14:solidFill>
          </w14:textFill>
        </w:rPr>
        <w:t>2</w:t>
      </w:r>
      <w:r>
        <w:rPr>
          <w:rFonts w:cs="Times New Roman"/>
          <w:bCs/>
          <w:color w:val="000000" w:themeColor="text1"/>
          <w:kern w:val="24"/>
          <w:szCs w:val="20"/>
          <w14:textFill>
            <w14:solidFill>
              <w14:schemeClr w14:val="tx1"/>
            </w14:solidFill>
          </w14:textFill>
        </w:rPr>
        <w:t>，约79.53亩</w:t>
      </w:r>
      <w:r>
        <w:rPr>
          <w:rFonts w:cs="Times New Roman"/>
          <w:color w:val="000000" w:themeColor="text1"/>
          <w14:textFill>
            <w14:solidFill>
              <w14:schemeClr w14:val="tx1"/>
            </w14:solidFill>
          </w14:textFill>
        </w:rPr>
        <w:t>，施工期间挖方主要为建筑物的地基开挖，总挖方量约为5万m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，全部回填，主要用于地基的回填、场地垫平、铺路和场地绿化，不产生废弃土方。</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施工期产生的建筑垃圾约60 t，主要是碎砖块、灰浆、废材料等，由施工队妥善处理，及时清运。沼液输送管线占地约5250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，全部为临时占地，开挖土方量为0.9万m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，施工完成后全部周边平整消化。</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项目施工人员100人，生活垃圾产生量为0.05 t/d，生活垃圾应定点堆放，收集后与附近村庄生活垃圾一起处理。</w:t>
      </w:r>
    </w:p>
    <w:p>
      <w:pPr>
        <w:pStyle w:val="5"/>
        <w:rPr>
          <w:color w:val="000000" w:themeColor="text1"/>
          <w14:textFill>
            <w14:solidFill>
              <w14:schemeClr w14:val="tx1"/>
            </w14:solidFill>
          </w14:textFill>
        </w:rPr>
      </w:pPr>
      <w:r>
        <w:rPr>
          <w:color w:val="000000" w:themeColor="text1"/>
          <w14:textFill>
            <w14:solidFill>
              <w14:schemeClr w14:val="tx1"/>
            </w14:solidFill>
          </w14:textFill>
        </w:rPr>
        <w:t>3.5.1.5生态</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项目规划用地现状为耕地，施工会改变原有土地性质，施工工程中可能会对周围的植被产生影响。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评建议施工与绿化同步，围挡布置尽量与周围景观环境相协调，并要求建筑施工工地必须严格按照项目环境影响评价确定的施工全过程污染防治实施方案要求，组织落实各项污染防治措施，有效控制建设项目施工期间对生态环境造成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上述施工过程中产生的污染都是暂时的、局部的，且随着施工过程的结束，该污染也将消失。</w:t>
      </w:r>
    </w:p>
    <w:p>
      <w:pPr>
        <w:pStyle w:val="5"/>
        <w:rPr>
          <w:color w:val="000000" w:themeColor="text1"/>
          <w14:textFill>
            <w14:solidFill>
              <w14:schemeClr w14:val="tx1"/>
            </w14:solidFill>
          </w14:textFill>
        </w:rPr>
      </w:pPr>
      <w:r>
        <w:rPr>
          <w:color w:val="000000" w:themeColor="text1"/>
          <w14:textFill>
            <w14:solidFill>
              <w14:schemeClr w14:val="tx1"/>
            </w14:solidFill>
          </w14:textFill>
        </w:rPr>
        <w:t>3.5.1.6水土流失</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本次工程施工期为半年，在此期间进行基础施工及局部场地平整将会造成一定程度的水土流失，必须采取一定的水土保持措施，以保证项目建设不会引起大量的水土流失。</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1）施工期可能发生水土流失</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（1）裸露地表：该项目在施工过程中，将进行较大面积的开挖，使地表土壤裸露，造成水土流失。如果再配合长时间的降雨天气，造成的水土流失量将会加重。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（2）施工过程中的挖填方临时土堆：项目施工会产生开挖与填方，中间过程会产生土方的临时堆存，弃土堆的斜坡坡面因种种原因通常不进行碾压处理，土质疏松，容易造成水土流失。</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在项目建设期间，地表裸露、挖填方、机械碾轧等都会加大水土流失量。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2）水土保持措施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针对本项目的实际情况，要求采取以下水土流失保持措施：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排水导流系统：及时做好排水导流工作，减轻水流对裸露地表的冲刷，应设置拦砂坝，排水沟应分段设置沉淀池，以减轻场地最终出口沉沙池的负荷，在施工中应实施排水工程，以预防地面径流直接冲刷施工浮土，导致水土流失加剧。</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（2）施工时间选择：在建设施工期间，有大面积的裸露地表，容易形成水土流失面。项目应合理安排施工，尽量将土石方开挖期避开雨季和暴雨季节，并尽量缩短挖方时间。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（3）施工期间料堆和土堆临时覆盖：将料堆和挖出来的土石方堆放在不容易受到地面径流冲刷的地方，或将容易冲刷的料堆临时覆盖起来。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施工过程中产生的各类污染都是暂时的，随着施工过程的结束，这些污染也将消失。</w:t>
      </w:r>
    </w:p>
    <w:p>
      <w:pPr>
        <w:pStyle w:val="4"/>
        <w:rPr>
          <w:rFonts w:cs="Times New Roman"/>
          <w:color w:val="000000" w:themeColor="text1"/>
          <w14:textFill>
            <w14:solidFill>
              <w14:schemeClr w14:val="tx1"/>
            </w14:solidFill>
          </w14:textFill>
        </w:rPr>
      </w:pPr>
      <w:bookmarkStart w:id="382" w:name="_Toc91163886"/>
      <w:r>
        <w:rPr>
          <w:rFonts w:cs="Times New Roman"/>
          <w:color w:val="000000" w:themeColor="text1"/>
          <w14:textFill>
            <w14:solidFill>
              <w14:schemeClr w14:val="tx1"/>
            </w14:solidFill>
          </w14:textFill>
        </w:rPr>
        <w:t>3.5.2 运营期环境影响分析及治理措施</w:t>
      </w:r>
      <w:bookmarkEnd w:id="382"/>
    </w:p>
    <w:p>
      <w:pPr>
        <w:pStyle w:val="5"/>
        <w:rPr>
          <w:color w:val="000000" w:themeColor="text1"/>
          <w14:textFill>
            <w14:solidFill>
              <w14:schemeClr w14:val="tx1"/>
            </w14:solidFill>
          </w14:textFill>
        </w:rPr>
      </w:pPr>
      <w:r>
        <w:rPr>
          <w:color w:val="000000" w:themeColor="text1"/>
          <w14:textFill>
            <w14:solidFill>
              <w14:schemeClr w14:val="tx1"/>
            </w14:solidFill>
          </w14:textFill>
        </w:rPr>
        <w:t>3.5.2.1废气</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项目运行过程中产生的大气污染物主要为养殖过程、治污区产生的恶臭气体、食堂油烟及沼气发电机产生的废气。</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1、养殖过程中产生的恶臭</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为了有效核定出猪舍产生臭气中NH</w:t>
      </w:r>
      <w:r>
        <w:rPr>
          <w:rFonts w:cs="Times New Roman"/>
          <w:color w:val="000000" w:themeColor="text1"/>
          <w:vertAlign w:val="subscript"/>
          <w:lang w:bidi="en-US"/>
          <w14:textFill>
            <w14:solidFill>
              <w14:schemeClr w14:val="tx1"/>
            </w14:solidFill>
          </w14:textFill>
        </w:rPr>
        <w:t>3</w:t>
      </w:r>
      <w:r>
        <w:rPr>
          <w:rFonts w:cs="Times New Roman"/>
          <w:color w:val="000000" w:themeColor="text1"/>
          <w:lang w:bidi="en-US"/>
          <w14:textFill>
            <w14:solidFill>
              <w14:schemeClr w14:val="tx1"/>
            </w14:solidFill>
          </w14:textFill>
        </w:rPr>
        <w:t>、H</w:t>
      </w:r>
      <w:r>
        <w:rPr>
          <w:rFonts w:cs="Times New Roman"/>
          <w:color w:val="000000" w:themeColor="text1"/>
          <w:vertAlign w:val="subscript"/>
          <w:lang w:bidi="en-US"/>
          <w14:textFill>
            <w14:solidFill>
              <w14:schemeClr w14:val="tx1"/>
            </w14:solidFill>
          </w14:textFill>
        </w:rPr>
        <w:t>2</w:t>
      </w:r>
      <w:r>
        <w:rPr>
          <w:rFonts w:cs="Times New Roman"/>
          <w:color w:val="000000" w:themeColor="text1"/>
          <w:lang w:bidi="en-US"/>
          <w14:textFill>
            <w14:solidFill>
              <w14:schemeClr w14:val="tx1"/>
            </w14:solidFill>
          </w14:textFill>
        </w:rPr>
        <w:t>S产生情况，本次评价采用美国EPA对养猪场污染物产生情况的研究，NH</w:t>
      </w:r>
      <w:r>
        <w:rPr>
          <w:rFonts w:cs="Times New Roman"/>
          <w:color w:val="000000" w:themeColor="text1"/>
          <w:vertAlign w:val="subscript"/>
          <w:lang w:bidi="en-US"/>
          <w14:textFill>
            <w14:solidFill>
              <w14:schemeClr w14:val="tx1"/>
            </w14:solidFill>
          </w14:textFill>
        </w:rPr>
        <w:t>3</w:t>
      </w:r>
      <w:r>
        <w:rPr>
          <w:rFonts w:cs="Times New Roman"/>
          <w:color w:val="000000" w:themeColor="text1"/>
          <w:lang w:bidi="en-US"/>
          <w14:textFill>
            <w14:solidFill>
              <w14:schemeClr w14:val="tx1"/>
            </w14:solidFill>
          </w14:textFill>
        </w:rPr>
        <w:t>产生源强为0.2 g/头•d，H</w:t>
      </w:r>
      <w:r>
        <w:rPr>
          <w:rFonts w:cs="Times New Roman"/>
          <w:color w:val="000000" w:themeColor="text1"/>
          <w:vertAlign w:val="subscript"/>
          <w:lang w:bidi="en-US"/>
          <w14:textFill>
            <w14:solidFill>
              <w14:schemeClr w14:val="tx1"/>
            </w14:solidFill>
          </w14:textFill>
        </w:rPr>
        <w:t>2</w:t>
      </w:r>
      <w:r>
        <w:rPr>
          <w:rFonts w:cs="Times New Roman"/>
          <w:color w:val="000000" w:themeColor="text1"/>
          <w:lang w:bidi="en-US"/>
          <w14:textFill>
            <w14:solidFill>
              <w14:schemeClr w14:val="tx1"/>
            </w14:solidFill>
          </w14:textFill>
        </w:rPr>
        <w:t>S产生源强为0.012 g/头•d。项目通过类比并结合美国EPA对养猪场污染物产生情况的研究情况，确定本项目猪舍废气污染物排放情况见表3.5-2。</w:t>
      </w:r>
      <w:r>
        <w:rPr>
          <w:rFonts w:cs="Times New Roman"/>
          <w:color w:val="000000" w:themeColor="text1"/>
          <w:lang w:bidi="en-US"/>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lang w:bidi="en-US"/>
          <w14:textFill>
            <w14:solidFill>
              <w14:schemeClr w14:val="tx1"/>
            </w14:solidFill>
          </w14:textFill>
        </w:rPr>
        <w:t>3.5-2</w:t>
      </w:r>
      <w:r>
        <w:rPr>
          <w:rFonts w:cs="Times New Roman"/>
          <w:color w:val="000000" w:themeColor="text1"/>
          <w14:textFill>
            <w14:solidFill>
              <w14:schemeClr w14:val="tx1"/>
            </w14:solidFill>
          </w14:textFill>
        </w:rPr>
        <w:t xml:space="preserve"> 项目养殖过程中猪舍恶臭气体产生量一览表</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6"/>
        <w:gridCol w:w="1006"/>
        <w:gridCol w:w="2028"/>
        <w:gridCol w:w="1091"/>
        <w:gridCol w:w="1060"/>
        <w:gridCol w:w="1060"/>
        <w:gridCol w:w="1060"/>
        <w:gridCol w:w="10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069" w:type="pct"/>
            <w:gridSpan w:val="3"/>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602"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常年存栏量（头）</w:t>
            </w:r>
          </w:p>
        </w:tc>
        <w:tc>
          <w:tcPr>
            <w:tcW w:w="1170" w:type="pct"/>
            <w:gridSpan w:val="2"/>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产污系数</w:t>
            </w:r>
          </w:p>
        </w:tc>
        <w:tc>
          <w:tcPr>
            <w:tcW w:w="1160" w:type="pct"/>
            <w:gridSpan w:val="2"/>
            <w:tcBorders>
              <w:top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069" w:type="pct"/>
            <w:gridSpan w:val="3"/>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602"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585"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p>
            <w:pPr>
              <w:pStyle w:val="332"/>
              <w:rPr>
                <w:color w:val="000000" w:themeColor="text1"/>
                <w14:textFill>
                  <w14:solidFill>
                    <w14:schemeClr w14:val="tx1"/>
                  </w14:solidFill>
                </w14:textFill>
              </w:rPr>
            </w:pPr>
            <w:r>
              <w:rPr>
                <w:color w:val="000000" w:themeColor="text1"/>
                <w14:textFill>
                  <w14:solidFill>
                    <w14:schemeClr w14:val="tx1"/>
                  </w14:solidFill>
                </w14:textFill>
              </w:rPr>
              <w:t>g/头·d</w:t>
            </w:r>
          </w:p>
        </w:tc>
        <w:tc>
          <w:tcPr>
            <w:tcW w:w="585"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p>
            <w:pPr>
              <w:pStyle w:val="332"/>
              <w:rPr>
                <w:color w:val="000000" w:themeColor="text1"/>
                <w14:textFill>
                  <w14:solidFill>
                    <w14:schemeClr w14:val="tx1"/>
                  </w14:solidFill>
                </w14:textFill>
              </w:rPr>
            </w:pPr>
            <w:r>
              <w:rPr>
                <w:color w:val="000000" w:themeColor="text1"/>
                <w14:textFill>
                  <w14:solidFill>
                    <w14:schemeClr w14:val="tx1"/>
                  </w14:solidFill>
                </w14:textFill>
              </w:rPr>
              <w:t>g/头·d</w:t>
            </w:r>
          </w:p>
        </w:tc>
        <w:tc>
          <w:tcPr>
            <w:tcW w:w="585" w:type="pct"/>
            <w:tcBorders>
              <w:bottom w:val="single" w:color="auto" w:sz="12" w:space="0"/>
            </w:tcBorders>
            <w:vAlign w:val="center"/>
          </w:tcPr>
          <w:p>
            <w:pPr>
              <w:pStyle w:val="332"/>
              <w:rPr>
                <w:color w:val="000000" w:themeColor="text1"/>
                <w:vertAlign w:val="subscript"/>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p>
            <w:pPr>
              <w:pStyle w:val="332"/>
              <w:rPr>
                <w:color w:val="000000" w:themeColor="text1"/>
                <w14:textFill>
                  <w14:solidFill>
                    <w14:schemeClr w14:val="tx1"/>
                  </w14:solidFill>
                </w14:textFill>
              </w:rPr>
            </w:pPr>
            <w:r>
              <w:rPr>
                <w:color w:val="000000" w:themeColor="text1"/>
                <w14:textFill>
                  <w14:solidFill>
                    <w14:schemeClr w14:val="tx1"/>
                  </w14:solidFill>
                </w14:textFill>
              </w:rPr>
              <w:t>kg/a</w:t>
            </w:r>
          </w:p>
        </w:tc>
        <w:tc>
          <w:tcPr>
            <w:tcW w:w="575" w:type="pct"/>
            <w:tcBorders>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p>
            <w:pPr>
              <w:pStyle w:val="332"/>
              <w:rPr>
                <w:color w:val="000000" w:themeColor="text1"/>
                <w14:textFill>
                  <w14:solidFill>
                    <w14:schemeClr w14:val="tx1"/>
                  </w14:solidFill>
                </w14:textFill>
              </w:rPr>
            </w:pPr>
            <w:r>
              <w:rPr>
                <w:color w:val="000000" w:themeColor="text1"/>
                <w14:textFill>
                  <w14:solidFill>
                    <w14:schemeClr w14:val="tx1"/>
                  </w14:solidFill>
                </w14:textFill>
              </w:rPr>
              <w:t>kg/a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 w:type="pct"/>
            <w:vMerge w:val="restart"/>
            <w:tcBorders>
              <w:top w:val="single" w:color="auto"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养殖一区</w:t>
            </w:r>
          </w:p>
        </w:tc>
        <w:tc>
          <w:tcPr>
            <w:tcW w:w="555" w:type="pct"/>
            <w:tcBorders>
              <w:top w:val="single" w:color="auto"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妊娠舍</w:t>
            </w:r>
          </w:p>
        </w:tc>
        <w:tc>
          <w:tcPr>
            <w:tcW w:w="1119" w:type="pct"/>
            <w:tcBorders>
              <w:top w:val="single" w:color="auto"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怀孕母猪</w:t>
            </w:r>
          </w:p>
        </w:tc>
        <w:tc>
          <w:tcPr>
            <w:tcW w:w="602" w:type="pct"/>
            <w:tcBorders>
              <w:top w:val="single" w:color="auto"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475</w:t>
            </w:r>
          </w:p>
        </w:tc>
        <w:tc>
          <w:tcPr>
            <w:tcW w:w="585" w:type="pct"/>
            <w:tcBorders>
              <w:top w:val="single" w:color="auto"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0.24</w:t>
            </w:r>
          </w:p>
        </w:tc>
        <w:tc>
          <w:tcPr>
            <w:tcW w:w="585" w:type="pct"/>
            <w:tcBorders>
              <w:top w:val="single" w:color="auto"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0.0204</w:t>
            </w:r>
          </w:p>
        </w:tc>
        <w:tc>
          <w:tcPr>
            <w:tcW w:w="585" w:type="pct"/>
            <w:tcBorders>
              <w:top w:val="single" w:color="auto" w:sz="6" w:space="0"/>
            </w:tcBorders>
            <w:vAlign w:val="center"/>
          </w:tcPr>
          <w:p>
            <w:pPr>
              <w:pStyle w:val="332"/>
              <w:rPr>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41.61</w:t>
            </w:r>
          </w:p>
        </w:tc>
        <w:tc>
          <w:tcPr>
            <w:tcW w:w="575" w:type="pct"/>
            <w:tcBorders>
              <w:top w:val="single" w:color="auto" w:sz="6" w:space="0"/>
              <w:right w:val="single" w:color="auto" w:sz="12" w:space="0"/>
            </w:tcBorders>
            <w:vAlign w:val="center"/>
          </w:tcPr>
          <w:p>
            <w:pPr>
              <w:pStyle w:val="332"/>
              <w:rPr>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3.54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 w:type="pct"/>
            <w:vMerge w:val="continue"/>
            <w:vAlign w:val="center"/>
          </w:tcPr>
          <w:p>
            <w:pPr>
              <w:pStyle w:val="332"/>
              <w:rPr>
                <w:color w:val="000000" w:themeColor="text1"/>
                <w14:textFill>
                  <w14:solidFill>
                    <w14:schemeClr w14:val="tx1"/>
                  </w14:solidFill>
                </w14:textFill>
              </w:rPr>
            </w:pPr>
          </w:p>
        </w:tc>
        <w:tc>
          <w:tcPr>
            <w:tcW w:w="55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分娩舍</w:t>
            </w:r>
          </w:p>
        </w:tc>
        <w:tc>
          <w:tcPr>
            <w:tcW w:w="11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哺乳母猪</w:t>
            </w:r>
          </w:p>
        </w:tc>
        <w:tc>
          <w:tcPr>
            <w:tcW w:w="6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5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0.4</w:t>
            </w:r>
          </w:p>
        </w:tc>
        <w:tc>
          <w:tcPr>
            <w:tcW w:w="5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0.034</w:t>
            </w:r>
          </w:p>
        </w:tc>
        <w:tc>
          <w:tcPr>
            <w:tcW w:w="585" w:type="pct"/>
            <w:vAlign w:val="center"/>
          </w:tcPr>
          <w:p>
            <w:pPr>
              <w:pStyle w:val="332"/>
              <w:rPr>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14.60</w:t>
            </w:r>
          </w:p>
        </w:tc>
        <w:tc>
          <w:tcPr>
            <w:tcW w:w="575" w:type="pct"/>
            <w:tcBorders>
              <w:right w:val="single" w:color="auto" w:sz="12" w:space="0"/>
            </w:tcBorders>
            <w:vAlign w:val="center"/>
          </w:tcPr>
          <w:p>
            <w:pPr>
              <w:pStyle w:val="332"/>
              <w:rPr>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 w:type="pct"/>
            <w:vMerge w:val="continue"/>
            <w:vAlign w:val="center"/>
          </w:tcPr>
          <w:p>
            <w:pPr>
              <w:pStyle w:val="332"/>
              <w:rPr>
                <w:color w:val="000000" w:themeColor="text1"/>
                <w14:textFill>
                  <w14:solidFill>
                    <w14:schemeClr w14:val="tx1"/>
                  </w14:solidFill>
                </w14:textFill>
              </w:rPr>
            </w:pPr>
          </w:p>
        </w:tc>
        <w:tc>
          <w:tcPr>
            <w:tcW w:w="55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保育舍</w:t>
            </w:r>
          </w:p>
        </w:tc>
        <w:tc>
          <w:tcPr>
            <w:tcW w:w="11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保育猪</w:t>
            </w:r>
          </w:p>
        </w:tc>
        <w:tc>
          <w:tcPr>
            <w:tcW w:w="6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1404</w:t>
            </w:r>
          </w:p>
        </w:tc>
        <w:tc>
          <w:tcPr>
            <w:tcW w:w="5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5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0.012</w:t>
            </w:r>
          </w:p>
        </w:tc>
        <w:tc>
          <w:tcPr>
            <w:tcW w:w="585" w:type="pct"/>
            <w:vAlign w:val="center"/>
          </w:tcPr>
          <w:p>
            <w:pPr>
              <w:pStyle w:val="332"/>
              <w:rPr>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20.50</w:t>
            </w:r>
          </w:p>
        </w:tc>
        <w:tc>
          <w:tcPr>
            <w:tcW w:w="575" w:type="pct"/>
            <w:tcBorders>
              <w:right w:val="single" w:color="auto" w:sz="12" w:space="0"/>
            </w:tcBorders>
            <w:vAlign w:val="center"/>
          </w:tcPr>
          <w:p>
            <w:pPr>
              <w:pStyle w:val="332"/>
              <w:rPr>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6.15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 w:type="pct"/>
            <w:vMerge w:val="continue"/>
            <w:vAlign w:val="center"/>
          </w:tcPr>
          <w:p>
            <w:pPr>
              <w:pStyle w:val="332"/>
              <w:rPr>
                <w:color w:val="000000" w:themeColor="text1"/>
                <w14:textFill>
                  <w14:solidFill>
                    <w14:schemeClr w14:val="tx1"/>
                  </w14:solidFill>
                </w14:textFill>
              </w:rPr>
            </w:pPr>
          </w:p>
        </w:tc>
        <w:tc>
          <w:tcPr>
            <w:tcW w:w="1674"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小计</w:t>
            </w:r>
          </w:p>
        </w:tc>
        <w:tc>
          <w:tcPr>
            <w:tcW w:w="6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5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5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5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76.71</w:t>
            </w:r>
          </w:p>
        </w:tc>
        <w:tc>
          <w:tcPr>
            <w:tcW w:w="575" w:type="pct"/>
            <w:tcBorders>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养殖二区</w:t>
            </w:r>
          </w:p>
        </w:tc>
        <w:tc>
          <w:tcPr>
            <w:tcW w:w="55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中大</w:t>
            </w:r>
          </w:p>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11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育肥猪、空怀母猪、公猪及后备猪</w:t>
            </w:r>
          </w:p>
        </w:tc>
        <w:tc>
          <w:tcPr>
            <w:tcW w:w="6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4417</w:t>
            </w:r>
          </w:p>
        </w:tc>
        <w:tc>
          <w:tcPr>
            <w:tcW w:w="5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0.2</w:t>
            </w:r>
          </w:p>
        </w:tc>
        <w:tc>
          <w:tcPr>
            <w:tcW w:w="5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0.017</w:t>
            </w:r>
          </w:p>
        </w:tc>
        <w:tc>
          <w:tcPr>
            <w:tcW w:w="585" w:type="pct"/>
            <w:vAlign w:val="center"/>
          </w:tcPr>
          <w:p>
            <w:pPr>
              <w:pStyle w:val="332"/>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322.44</w:t>
            </w:r>
          </w:p>
        </w:tc>
        <w:tc>
          <w:tcPr>
            <w:tcW w:w="575" w:type="pct"/>
            <w:tcBorders>
              <w:right w:val="single" w:color="auto" w:sz="12" w:space="0"/>
            </w:tcBorders>
            <w:vAlign w:val="center"/>
          </w:tcPr>
          <w:p>
            <w:pPr>
              <w:pStyle w:val="332"/>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27.41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0" w:type="pct"/>
            <w:gridSpan w:val="2"/>
            <w:tcBorders>
              <w:left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119"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02"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585"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585"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585" w:type="pct"/>
            <w:tcBorders>
              <w:bottom w:val="single" w:color="auto" w:sz="12" w:space="0"/>
            </w:tcBorders>
            <w:vAlign w:val="center"/>
          </w:tcPr>
          <w:p>
            <w:pPr>
              <w:pStyle w:val="332"/>
              <w:rPr>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399.44</w:t>
            </w:r>
          </w:p>
        </w:tc>
        <w:tc>
          <w:tcPr>
            <w:tcW w:w="575" w:type="pct"/>
            <w:tcBorders>
              <w:bottom w:val="single" w:color="auto" w:sz="12" w:space="0"/>
              <w:right w:val="single" w:color="auto" w:sz="12" w:space="0"/>
            </w:tcBorders>
            <w:vAlign w:val="center"/>
          </w:tcPr>
          <w:p>
            <w:pPr>
              <w:pStyle w:val="332"/>
              <w:rPr>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38.33</w:t>
            </w:r>
          </w:p>
        </w:tc>
      </w:tr>
    </w:tbl>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根据《畜禽养殖业污染治理工程技术规范》（HJ 497－2009），本评价主要提出如下措施减降恶臭污染物的产生：</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（1）源头控制</w:t>
      </w:r>
    </w:p>
    <w:p>
      <w:pPr>
        <w:ind w:firstLine="480"/>
        <w:rPr>
          <w:rFonts w:cs="Times New Roman"/>
          <w:color w:val="000000" w:themeColor="text1"/>
          <w:lang w:bidi="en-US"/>
          <w14:textFill>
            <w14:solidFill>
              <w14:schemeClr w14:val="tx1"/>
            </w14:solidFill>
          </w14:textFill>
        </w:rPr>
      </w:pPr>
      <w:r>
        <w:rPr>
          <w:rFonts w:hint="eastAsia" w:ascii="宋体" w:hAnsi="宋体" w:cs="宋体"/>
          <w:color w:val="000000" w:themeColor="text1"/>
          <w:lang w:bidi="en-US"/>
          <w14:textFill>
            <w14:solidFill>
              <w14:schemeClr w14:val="tx1"/>
            </w14:solidFill>
          </w14:textFill>
        </w:rPr>
        <w:t>①</w:t>
      </w:r>
      <w:r>
        <w:rPr>
          <w:rFonts w:cs="Times New Roman"/>
          <w:color w:val="000000" w:themeColor="text1"/>
          <w:lang w:bidi="en-US"/>
          <w14:textFill>
            <w14:solidFill>
              <w14:schemeClr w14:val="tx1"/>
            </w14:solidFill>
          </w14:textFill>
        </w:rPr>
        <w:t>通过控制饲养密度，搞好场区环境卫生，采用节水型饮水器；</w:t>
      </w:r>
    </w:p>
    <w:p>
      <w:pPr>
        <w:ind w:firstLine="480"/>
        <w:rPr>
          <w:rFonts w:cs="Times New Roman"/>
          <w:color w:val="000000" w:themeColor="text1"/>
          <w:lang w:bidi="en-US"/>
          <w14:textFill>
            <w14:solidFill>
              <w14:schemeClr w14:val="tx1"/>
            </w14:solidFill>
          </w14:textFill>
        </w:rPr>
      </w:pPr>
      <w:r>
        <w:rPr>
          <w:rFonts w:hint="eastAsia" w:ascii="宋体" w:hAnsi="宋体" w:cs="宋体"/>
          <w:color w:val="000000" w:themeColor="text1"/>
          <w:lang w:bidi="en-US"/>
          <w14:textFill>
            <w14:solidFill>
              <w14:schemeClr w14:val="tx1"/>
            </w14:solidFill>
          </w14:textFill>
        </w:rPr>
        <w:t>②</w:t>
      </w:r>
      <w:r>
        <w:rPr>
          <w:rFonts w:cs="Times New Roman"/>
          <w:color w:val="000000" w:themeColor="text1"/>
          <w:lang w:bidi="en-US"/>
          <w14:textFill>
            <w14:solidFill>
              <w14:schemeClr w14:val="tx1"/>
            </w14:solidFill>
          </w14:textFill>
        </w:rPr>
        <w:t>及时清理猪舍内及猪舍下方粪便储存池内的粪便，在猪舍内加强通风，加速粪便干燥，可减少猪粪因高温发酵导致臭气严重；</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（2）过程整治</w:t>
      </w:r>
    </w:p>
    <w:p>
      <w:pPr>
        <w:ind w:firstLine="480"/>
        <w:rPr>
          <w:rFonts w:cs="Times New Roman"/>
          <w:color w:val="000000" w:themeColor="text1"/>
          <w:lang w:bidi="en-US"/>
          <w14:textFill>
            <w14:solidFill>
              <w14:schemeClr w14:val="tx1"/>
            </w14:solidFill>
          </w14:textFill>
        </w:rPr>
      </w:pPr>
      <w:r>
        <w:rPr>
          <w:rFonts w:hint="eastAsia" w:ascii="宋体" w:hAnsi="宋体" w:cs="宋体"/>
          <w:color w:val="000000" w:themeColor="text1"/>
          <w:lang w:bidi="en-US"/>
          <w14:textFill>
            <w14:solidFill>
              <w14:schemeClr w14:val="tx1"/>
            </w14:solidFill>
          </w14:textFill>
        </w:rPr>
        <w:t>①</w:t>
      </w:r>
      <w:r>
        <w:rPr>
          <w:rFonts w:cs="Times New Roman"/>
          <w:color w:val="000000" w:themeColor="text1"/>
          <w:lang w:bidi="en-US"/>
          <w14:textFill>
            <w14:solidFill>
              <w14:schemeClr w14:val="tx1"/>
            </w14:solidFill>
          </w14:textFill>
        </w:rPr>
        <w:t>项目采用墙体隔热板和猪舍内热交换器相结合的方式进行猪舍内部温度控制。猪转栏时利用高压水枪冲圈消毒，夏季加强猪舍通风，每栋猪舍出风口安装吸附过滤除臭装置，将猪舍产生的恶臭气体H</w:t>
      </w:r>
      <w:r>
        <w:rPr>
          <w:rFonts w:cs="Times New Roman"/>
          <w:color w:val="000000" w:themeColor="text1"/>
          <w:vertAlign w:val="subscript"/>
          <w:lang w:bidi="en-US"/>
          <w14:textFill>
            <w14:solidFill>
              <w14:schemeClr w14:val="tx1"/>
            </w14:solidFill>
          </w14:textFill>
        </w:rPr>
        <w:t>2</w:t>
      </w:r>
      <w:r>
        <w:rPr>
          <w:rFonts w:cs="Times New Roman"/>
          <w:color w:val="000000" w:themeColor="text1"/>
          <w:lang w:bidi="en-US"/>
          <w14:textFill>
            <w14:solidFill>
              <w14:schemeClr w14:val="tx1"/>
            </w14:solidFill>
          </w14:textFill>
        </w:rPr>
        <w:t>S和NH</w:t>
      </w:r>
      <w:r>
        <w:rPr>
          <w:rFonts w:cs="Times New Roman"/>
          <w:color w:val="000000" w:themeColor="text1"/>
          <w:vertAlign w:val="subscript"/>
          <w:lang w:bidi="en-US"/>
          <w14:textFill>
            <w14:solidFill>
              <w14:schemeClr w14:val="tx1"/>
            </w14:solidFill>
          </w14:textFill>
        </w:rPr>
        <w:t>3</w:t>
      </w:r>
      <w:r>
        <w:rPr>
          <w:rFonts w:cs="Times New Roman"/>
          <w:color w:val="000000" w:themeColor="text1"/>
          <w:lang w:bidi="en-US"/>
          <w14:textFill>
            <w14:solidFill>
              <w14:schemeClr w14:val="tx1"/>
            </w14:solidFill>
          </w14:textFill>
        </w:rPr>
        <w:t>微负压集中收集后经吸附过滤除臭装置处理，处理效率不小于85%，降低舍内有害气体浓度，产生的粪渣等固废及时运至贮存或处理场所，以减少污染。</w:t>
      </w:r>
    </w:p>
    <w:p>
      <w:pPr>
        <w:ind w:firstLine="480"/>
        <w:rPr>
          <w:rFonts w:cs="Times New Roman"/>
          <w:color w:val="000000" w:themeColor="text1"/>
          <w:lang w:bidi="en-US"/>
          <w14:textFill>
            <w14:solidFill>
              <w14:schemeClr w14:val="tx1"/>
            </w14:solidFill>
          </w14:textFill>
        </w:rPr>
      </w:pPr>
      <w:r>
        <w:rPr>
          <w:rFonts w:hint="eastAsia" w:ascii="宋体" w:hAnsi="宋体" w:cs="宋体"/>
          <w:color w:val="000000" w:themeColor="text1"/>
          <w:lang w:bidi="en-US"/>
          <w14:textFill>
            <w14:solidFill>
              <w14:schemeClr w14:val="tx1"/>
            </w14:solidFill>
          </w14:textFill>
        </w:rPr>
        <w:t>②</w:t>
      </w:r>
      <w:r>
        <w:rPr>
          <w:rFonts w:cs="Times New Roman"/>
          <w:color w:val="000000" w:themeColor="text1"/>
          <w:lang w:bidi="en-US"/>
          <w14:textFill>
            <w14:solidFill>
              <w14:schemeClr w14:val="tx1"/>
            </w14:solidFill>
          </w14:textFill>
        </w:rPr>
        <w:t>定期使用养殖场专用植物性除臭剂对猪舍进行除臭。</w:t>
      </w:r>
    </w:p>
    <w:p>
      <w:pPr>
        <w:ind w:firstLine="480"/>
        <w:rPr>
          <w:rFonts w:cs="Times New Roman"/>
          <w:color w:val="000000" w:themeColor="text1"/>
          <w:lang w:bidi="en-US"/>
          <w14:textFill>
            <w14:solidFill>
              <w14:schemeClr w14:val="tx1"/>
            </w14:solidFill>
          </w14:textFill>
        </w:rPr>
      </w:pPr>
      <w:r>
        <w:rPr>
          <w:rFonts w:hint="eastAsia" w:ascii="宋体" w:hAnsi="宋体" w:cs="宋体"/>
          <w:color w:val="000000" w:themeColor="text1"/>
          <w:lang w:bidi="en-US"/>
          <w14:textFill>
            <w14:solidFill>
              <w14:schemeClr w14:val="tx1"/>
            </w14:solidFill>
          </w14:textFill>
        </w:rPr>
        <w:t>③</w:t>
      </w:r>
      <w:r>
        <w:rPr>
          <w:rFonts w:cs="Times New Roman"/>
          <w:color w:val="000000" w:themeColor="text1"/>
          <w:lang w:bidi="en-US"/>
          <w14:textFill>
            <w14:solidFill>
              <w14:schemeClr w14:val="tx1"/>
            </w14:solidFill>
          </w14:textFill>
        </w:rPr>
        <w:t>加强养殖场生产管理，并对工作人员强化知识培训，提高饲养人员操作技能；</w:t>
      </w:r>
    </w:p>
    <w:p>
      <w:pPr>
        <w:ind w:firstLine="480"/>
        <w:rPr>
          <w:rFonts w:cs="Times New Roman"/>
          <w:color w:val="000000" w:themeColor="text1"/>
          <w:lang w:bidi="en-US"/>
          <w14:textFill>
            <w14:solidFill>
              <w14:schemeClr w14:val="tx1"/>
            </w14:solidFill>
          </w14:textFill>
        </w:rPr>
      </w:pPr>
      <w:r>
        <w:rPr>
          <w:rFonts w:hint="eastAsia" w:ascii="宋体" w:hAnsi="宋体" w:cs="宋体"/>
          <w:color w:val="000000" w:themeColor="text1"/>
          <w:lang w:bidi="en-US"/>
          <w14:textFill>
            <w14:solidFill>
              <w14:schemeClr w14:val="tx1"/>
            </w14:solidFill>
          </w14:textFill>
        </w:rPr>
        <w:t>④</w:t>
      </w:r>
      <w:r>
        <w:rPr>
          <w:rFonts w:cs="Times New Roman"/>
          <w:color w:val="000000" w:themeColor="text1"/>
          <w:lang w:bidi="en-US"/>
          <w14:textFill>
            <w14:solidFill>
              <w14:schemeClr w14:val="tx1"/>
            </w14:solidFill>
          </w14:textFill>
        </w:rPr>
        <w:t>场区布置按功能区进行相应划分，各构筑物之间设绿化隔离带，特别是沼液储存池和猪舍四周应加强绿化，利用绿色植物的吸收作用，以减少恶臭气体的逸散，减轻恶臭等对周围环境的影响。</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（3）终端处理</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夏季高温天气在治污区及其附近喷洒除臭剂进行处理。</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本项目使用养殖场专用植物性除臭剂，该种除臭剂主要成分为活性醛基芳香香料、樟树、桉树、柏木、香茅等天然植物提取物，无毒、无刺激、无腐蚀性，杀菌功能强。植物性除臭剂通过4种物理化学作用力将臭气分子捕捉：范德华力、耦合力、化学反应力、吸附力，植物型除臭剂可以有效去除硫化氢、氨气、二氧化硫、甲硫醇、胺等多种常见的恶臭气体，也可以用于去除工业领域产生的特种恶臭气味。除臭剂中的活性基（-CHO）具有很高的活性，利用它的活性同挥发性含S（如硫化氢、硫醇、疏基化合物）、含N（如氨、有机胺）等易挥发物质反应，产生新的低气味且无毒的新物质，不能参与活性基（-CHO）反应的一些挥发性物质则采用气味补偿办法解决，这种补偿也不是筒单的气味掩盖作用，而是利用植物提取液中的活性成分与不能和活性基（-CHO）反应的成分进行再次作用，使其失去原来的气味，藉此实现对发挥性恶臭物质的有效削减和消除。</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采取以上措施后，恶臭可减少85%。猪舍恶臭排放情况见表3.5-3。</w:t>
      </w:r>
    </w:p>
    <w:p>
      <w:pPr>
        <w:pStyle w:val="333"/>
        <w:spacing w:before="120"/>
        <w:rPr>
          <w:rFonts w:cs="Times New Roman"/>
          <w:color w:val="000000" w:themeColor="text1"/>
          <w14:textFill>
            <w14:solidFill>
              <w14:schemeClr w14:val="tx1"/>
            </w14:solidFill>
          </w14:textFill>
        </w:rPr>
      </w:pPr>
      <w:r>
        <w:rPr>
          <w:rFonts w:cs="Times New Roman"/>
          <w:color w:val="000000" w:themeColor="text1"/>
          <w:lang w:bidi="en-US"/>
          <w14:textFill>
            <w14:solidFill>
              <w14:schemeClr w14:val="tx1"/>
            </w14:solidFill>
          </w14:textFill>
        </w:rPr>
        <w:t xml:space="preserve">表3.5-3 </w:t>
      </w:r>
      <w:r>
        <w:rPr>
          <w:rFonts w:cs="Times New Roman"/>
          <w:color w:val="000000" w:themeColor="text1"/>
          <w14:textFill>
            <w14:solidFill>
              <w14:schemeClr w14:val="tx1"/>
            </w14:solidFill>
          </w14:textFill>
        </w:rPr>
        <w:t>项目养殖过程中猪舍恶臭气体排放情况一览表</w:t>
      </w:r>
    </w:p>
    <w:p>
      <w:pPr>
        <w:kinsoku w:val="0"/>
        <w:overflowPunct w:val="0"/>
        <w:autoSpaceDE w:val="0"/>
        <w:autoSpaceDN w:val="0"/>
        <w:adjustRightInd w:val="0"/>
        <w:spacing w:before="5" w:line="240" w:lineRule="auto"/>
        <w:ind w:firstLine="0" w:firstLineChars="0"/>
        <w:jc w:val="left"/>
        <w:rPr>
          <w:rFonts w:cs="Times New Roman"/>
          <w:color w:val="000000" w:themeColor="text1"/>
          <w:kern w:val="0"/>
          <w:sz w:val="4"/>
          <w:szCs w:val="4"/>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557"/>
        <w:gridCol w:w="1141"/>
        <w:gridCol w:w="857"/>
        <w:gridCol w:w="1568"/>
        <w:gridCol w:w="1098"/>
        <w:gridCol w:w="1217"/>
        <w:gridCol w:w="1217"/>
        <w:gridCol w:w="1216"/>
      </w:tblGrid>
      <w:tr>
        <w:tblPrEx>
          <w:tblCellMar>
            <w:top w:w="0" w:type="dxa"/>
            <w:left w:w="0" w:type="dxa"/>
            <w:bottom w:w="0" w:type="dxa"/>
            <w:right w:w="0" w:type="dxa"/>
          </w:tblCellMar>
        </w:tblPrEx>
        <w:trPr>
          <w:trHeight w:val="397" w:hRule="atLeast"/>
        </w:trPr>
        <w:tc>
          <w:tcPr>
            <w:tcW w:w="956" w:type="pct"/>
            <w:gridSpan w:val="2"/>
            <w:vMerge w:val="restart"/>
            <w:tcBorders>
              <w:top w:val="single" w:color="000000" w:sz="10" w:space="0"/>
              <w:left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483" w:type="pct"/>
            <w:vMerge w:val="restart"/>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存栏量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（头）</w:t>
            </w:r>
          </w:p>
        </w:tc>
        <w:tc>
          <w:tcPr>
            <w:tcW w:w="884" w:type="pct"/>
            <w:vMerge w:val="restart"/>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拟处理措施</w:t>
            </w:r>
          </w:p>
        </w:tc>
        <w:tc>
          <w:tcPr>
            <w:tcW w:w="1305" w:type="pct"/>
            <w:gridSpan w:val="2"/>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position w:val="2"/>
                <w14:textFill>
                  <w14:solidFill>
                    <w14:schemeClr w14:val="tx1"/>
                  </w14:solidFill>
                </w14:textFill>
              </w:rPr>
              <w:t>NH</w:t>
            </w:r>
            <w:r>
              <w:rPr>
                <w:color w:val="000000" w:themeColor="text1"/>
                <w:sz w:val="13"/>
                <w:szCs w:val="13"/>
                <w14:textFill>
                  <w14:solidFill>
                    <w14:schemeClr w14:val="tx1"/>
                  </w14:solidFill>
                </w14:textFill>
              </w:rPr>
              <w:t>3</w:t>
            </w:r>
          </w:p>
        </w:tc>
        <w:tc>
          <w:tcPr>
            <w:tcW w:w="1371" w:type="pct"/>
            <w:gridSpan w:val="2"/>
            <w:tcBorders>
              <w:top w:val="single" w:color="000000" w:sz="10"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position w:val="2"/>
                <w14:textFill>
                  <w14:solidFill>
                    <w14:schemeClr w14:val="tx1"/>
                  </w14:solidFill>
                </w14:textFill>
              </w:rPr>
              <w:t>H</w:t>
            </w:r>
            <w:r>
              <w:rPr>
                <w:color w:val="000000" w:themeColor="text1"/>
                <w:sz w:val="13"/>
                <w:szCs w:val="13"/>
                <w14:textFill>
                  <w14:solidFill>
                    <w14:schemeClr w14:val="tx1"/>
                  </w14:solidFill>
                </w14:textFill>
              </w:rPr>
              <w:t>2</w:t>
            </w:r>
            <w:r>
              <w:rPr>
                <w:color w:val="000000" w:themeColor="text1"/>
                <w:position w:val="2"/>
                <w14:textFill>
                  <w14:solidFill>
                    <w14:schemeClr w14:val="tx1"/>
                  </w14:solidFill>
                </w14:textFill>
              </w:rPr>
              <w:t>S</w:t>
            </w:r>
          </w:p>
        </w:tc>
      </w:tr>
      <w:tr>
        <w:tblPrEx>
          <w:tblCellMar>
            <w:top w:w="0" w:type="dxa"/>
            <w:left w:w="0" w:type="dxa"/>
            <w:bottom w:w="0" w:type="dxa"/>
            <w:right w:w="0" w:type="dxa"/>
          </w:tblCellMar>
        </w:tblPrEx>
        <w:trPr>
          <w:trHeight w:val="397" w:hRule="atLeast"/>
        </w:trPr>
        <w:tc>
          <w:tcPr>
            <w:tcW w:w="956" w:type="pct"/>
            <w:gridSpan w:val="2"/>
            <w:vMerge w:val="continue"/>
            <w:tcBorders>
              <w:left w:val="single" w:color="000000" w:sz="10"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483"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884"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619"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排放速率</w:t>
            </w:r>
          </w:p>
          <w:p>
            <w:pPr>
              <w:pStyle w:val="332"/>
              <w:rPr>
                <w:color w:val="000000" w:themeColor="text1"/>
                <w14:textFill>
                  <w14:solidFill>
                    <w14:schemeClr w14:val="tx1"/>
                  </w14:solidFill>
                </w14:textFill>
              </w:rPr>
            </w:pPr>
            <w:r>
              <w:rPr>
                <w:color w:val="000000" w:themeColor="text1"/>
                <w14:textFill>
                  <w14:solidFill>
                    <w14:schemeClr w14:val="tx1"/>
                  </w14:solidFill>
                </w14:textFill>
              </w:rPr>
              <w:t>（kg/h）</w:t>
            </w:r>
          </w:p>
        </w:tc>
        <w:tc>
          <w:tcPr>
            <w:tcW w:w="686"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（t/a）</w:t>
            </w:r>
          </w:p>
        </w:tc>
        <w:tc>
          <w:tcPr>
            <w:tcW w:w="686"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排放速率</w:t>
            </w:r>
          </w:p>
          <w:p>
            <w:pPr>
              <w:pStyle w:val="332"/>
              <w:rPr>
                <w:color w:val="000000" w:themeColor="text1"/>
                <w14:textFill>
                  <w14:solidFill>
                    <w14:schemeClr w14:val="tx1"/>
                  </w14:solidFill>
                </w14:textFill>
              </w:rPr>
            </w:pPr>
            <w:r>
              <w:rPr>
                <w:color w:val="000000" w:themeColor="text1"/>
                <w14:textFill>
                  <w14:solidFill>
                    <w14:schemeClr w14:val="tx1"/>
                  </w14:solidFill>
                </w14:textFill>
              </w:rPr>
              <w:t>（kg/h）</w:t>
            </w:r>
          </w:p>
        </w:tc>
        <w:tc>
          <w:tcPr>
            <w:tcW w:w="685" w:type="pct"/>
            <w:tcBorders>
              <w:top w:val="single" w:color="000000" w:sz="4" w:space="0"/>
              <w:left w:val="single" w:color="000000" w:sz="4" w:space="0"/>
              <w:bottom w:val="single" w:color="auto" w:sz="12"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（t/a）</w:t>
            </w:r>
          </w:p>
        </w:tc>
      </w:tr>
      <w:tr>
        <w:tblPrEx>
          <w:tblCellMar>
            <w:top w:w="0" w:type="dxa"/>
            <w:left w:w="0" w:type="dxa"/>
            <w:bottom w:w="0" w:type="dxa"/>
            <w:right w:w="0" w:type="dxa"/>
          </w:tblCellMar>
        </w:tblPrEx>
        <w:trPr>
          <w:trHeight w:val="397" w:hRule="atLeast"/>
        </w:trPr>
        <w:tc>
          <w:tcPr>
            <w:tcW w:w="314" w:type="pct"/>
            <w:vMerge w:val="restart"/>
            <w:tcBorders>
              <w:top w:val="single" w:color="auto" w:sz="12" w:space="0"/>
              <w:left w:val="single" w:color="000000"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养殖一区</w:t>
            </w:r>
          </w:p>
        </w:tc>
        <w:tc>
          <w:tcPr>
            <w:tcW w:w="643"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妊娠舍</w:t>
            </w:r>
          </w:p>
        </w:tc>
        <w:tc>
          <w:tcPr>
            <w:tcW w:w="483"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475</w:t>
            </w:r>
          </w:p>
        </w:tc>
        <w:tc>
          <w:tcPr>
            <w:tcW w:w="884" w:type="pct"/>
            <w:vMerge w:val="restart"/>
            <w:tcBorders>
              <w:top w:val="single" w:color="auto" w:sz="12" w:space="0"/>
              <w:left w:val="single" w:color="000000" w:sz="4" w:space="0"/>
              <w:bottom w:val="single" w:color="000000" w:sz="10" w:space="0"/>
              <w:right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控制饲养密度，全漏缝地板并及时清粪，喷洒除臭剂，饲料添加EM，加强通风，出风口处设置喷淋除臭网，可消减85%</w:t>
            </w:r>
          </w:p>
        </w:tc>
        <w:tc>
          <w:tcPr>
            <w:tcW w:w="619"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0.00071</w:t>
            </w:r>
          </w:p>
        </w:tc>
        <w:tc>
          <w:tcPr>
            <w:tcW w:w="686"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0.0062</w:t>
            </w:r>
          </w:p>
        </w:tc>
        <w:tc>
          <w:tcPr>
            <w:tcW w:w="686"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6.1×10</w:t>
            </w:r>
            <w:r>
              <w:rPr>
                <w:color w:val="000000" w:themeColor="text1"/>
                <w:vertAlign w:val="superscript"/>
                <w14:textFill>
                  <w14:solidFill>
                    <w14:schemeClr w14:val="tx1"/>
                  </w14:solidFill>
                </w14:textFill>
              </w:rPr>
              <w:t>-5</w:t>
            </w:r>
          </w:p>
        </w:tc>
        <w:tc>
          <w:tcPr>
            <w:tcW w:w="685" w:type="pct"/>
            <w:tcBorders>
              <w:top w:val="single" w:color="auto" w:sz="12" w:space="0"/>
              <w:left w:val="single" w:color="000000" w:sz="4" w:space="0"/>
              <w:bottom w:val="single" w:color="000000" w:sz="4" w:space="0"/>
              <w:right w:val="single" w:color="000000"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0.00053</w:t>
            </w:r>
          </w:p>
        </w:tc>
      </w:tr>
      <w:tr>
        <w:tblPrEx>
          <w:tblCellMar>
            <w:top w:w="0" w:type="dxa"/>
            <w:left w:w="0" w:type="dxa"/>
            <w:bottom w:w="0" w:type="dxa"/>
            <w:right w:w="0" w:type="dxa"/>
          </w:tblCellMar>
        </w:tblPrEx>
        <w:trPr>
          <w:trHeight w:val="397" w:hRule="atLeast"/>
        </w:trPr>
        <w:tc>
          <w:tcPr>
            <w:tcW w:w="314" w:type="pct"/>
            <w:vMerge w:val="continue"/>
            <w:tcBorders>
              <w:left w:val="single" w:color="000000" w:sz="12" w:space="0"/>
              <w:right w:val="single" w:color="000000" w:sz="4" w:space="0"/>
            </w:tcBorders>
            <w:vAlign w:val="center"/>
          </w:tcPr>
          <w:p>
            <w:pPr>
              <w:pStyle w:val="332"/>
              <w:rPr>
                <w:color w:val="000000" w:themeColor="text1"/>
                <w14:textFill>
                  <w14:solidFill>
                    <w14:schemeClr w14:val="tx1"/>
                  </w14:solidFill>
                </w14:textFill>
              </w:rPr>
            </w:pPr>
          </w:p>
        </w:tc>
        <w:tc>
          <w:tcPr>
            <w:tcW w:w="64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分娩舍</w:t>
            </w:r>
          </w:p>
        </w:tc>
        <w:tc>
          <w:tcPr>
            <w:tcW w:w="48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884" w:type="pct"/>
            <w:vMerge w:val="continue"/>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0.00025</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0.0022</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2.1×10</w:t>
            </w:r>
            <w:r>
              <w:rPr>
                <w:color w:val="000000" w:themeColor="text1"/>
                <w:vertAlign w:val="superscript"/>
                <w14:textFill>
                  <w14:solidFill>
                    <w14:schemeClr w14:val="tx1"/>
                  </w14:solidFill>
                </w14:textFill>
              </w:rPr>
              <w:t>-5</w:t>
            </w:r>
          </w:p>
        </w:tc>
        <w:tc>
          <w:tcPr>
            <w:tcW w:w="685"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0.00019</w:t>
            </w:r>
          </w:p>
        </w:tc>
      </w:tr>
      <w:tr>
        <w:tblPrEx>
          <w:tblCellMar>
            <w:top w:w="0" w:type="dxa"/>
            <w:left w:w="0" w:type="dxa"/>
            <w:bottom w:w="0" w:type="dxa"/>
            <w:right w:w="0" w:type="dxa"/>
          </w:tblCellMar>
        </w:tblPrEx>
        <w:trPr>
          <w:trHeight w:val="397" w:hRule="atLeast"/>
        </w:trPr>
        <w:tc>
          <w:tcPr>
            <w:tcW w:w="314" w:type="pct"/>
            <w:vMerge w:val="continue"/>
            <w:tcBorders>
              <w:left w:val="single" w:color="000000" w:sz="12" w:space="0"/>
              <w:right w:val="single" w:color="000000" w:sz="4" w:space="0"/>
            </w:tcBorders>
            <w:vAlign w:val="center"/>
          </w:tcPr>
          <w:p>
            <w:pPr>
              <w:pStyle w:val="332"/>
              <w:rPr>
                <w:color w:val="000000" w:themeColor="text1"/>
                <w14:textFill>
                  <w14:solidFill>
                    <w14:schemeClr w14:val="tx1"/>
                  </w14:solidFill>
                </w14:textFill>
              </w:rPr>
            </w:pPr>
          </w:p>
        </w:tc>
        <w:tc>
          <w:tcPr>
            <w:tcW w:w="64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保育舍</w:t>
            </w:r>
          </w:p>
        </w:tc>
        <w:tc>
          <w:tcPr>
            <w:tcW w:w="48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1404</w:t>
            </w:r>
          </w:p>
        </w:tc>
        <w:tc>
          <w:tcPr>
            <w:tcW w:w="884" w:type="pct"/>
            <w:vMerge w:val="continue"/>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0.00035</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0.0031</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1.1×10</w:t>
            </w:r>
            <w:r>
              <w:rPr>
                <w:color w:val="000000" w:themeColor="text1"/>
                <w:vertAlign w:val="superscript"/>
                <w14:textFill>
                  <w14:solidFill>
                    <w14:schemeClr w14:val="tx1"/>
                  </w14:solidFill>
                </w14:textFill>
              </w:rPr>
              <w:t>-4</w:t>
            </w:r>
          </w:p>
        </w:tc>
        <w:tc>
          <w:tcPr>
            <w:tcW w:w="685"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0.00092</w:t>
            </w:r>
          </w:p>
        </w:tc>
      </w:tr>
      <w:tr>
        <w:tblPrEx>
          <w:tblCellMar>
            <w:top w:w="0" w:type="dxa"/>
            <w:left w:w="0" w:type="dxa"/>
            <w:bottom w:w="0" w:type="dxa"/>
            <w:right w:w="0" w:type="dxa"/>
          </w:tblCellMar>
        </w:tblPrEx>
        <w:trPr>
          <w:trHeight w:val="397" w:hRule="atLeast"/>
        </w:trPr>
        <w:tc>
          <w:tcPr>
            <w:tcW w:w="314" w:type="pct"/>
            <w:vMerge w:val="continue"/>
            <w:tcBorders>
              <w:left w:val="single" w:color="000000"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1126" w:type="pct"/>
            <w:gridSpan w:val="2"/>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小计</w:t>
            </w:r>
          </w:p>
        </w:tc>
        <w:tc>
          <w:tcPr>
            <w:tcW w:w="884" w:type="pct"/>
            <w:vMerge w:val="continue"/>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0.00131</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0.0115</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1.9×10</w:t>
            </w:r>
            <w:r>
              <w:rPr>
                <w:color w:val="000000" w:themeColor="text1"/>
                <w:vertAlign w:val="superscript"/>
                <w14:textFill>
                  <w14:solidFill>
                    <w14:schemeClr w14:val="tx1"/>
                  </w14:solidFill>
                </w14:textFill>
              </w:rPr>
              <w:t>-4</w:t>
            </w:r>
          </w:p>
        </w:tc>
        <w:tc>
          <w:tcPr>
            <w:tcW w:w="685" w:type="pct"/>
            <w:tcBorders>
              <w:top w:val="single" w:color="000000" w:sz="4" w:space="0"/>
              <w:left w:val="single" w:color="000000" w:sz="4" w:space="0"/>
              <w:bottom w:val="single" w:color="000000" w:sz="4" w:space="0"/>
              <w:right w:val="single" w:color="000000" w:sz="10" w:space="0"/>
            </w:tcBorders>
            <w:vAlign w:val="center"/>
          </w:tcPr>
          <w:p>
            <w:pPr>
              <w:widowControl/>
              <w:spacing w:line="240" w:lineRule="auto"/>
              <w:ind w:firstLine="0" w:firstLineChars="0"/>
              <w:jc w:val="center"/>
              <w:rPr>
                <w:rFonts w:eastAsia="等线" w:cs="Times New Roman"/>
                <w:color w:val="000000" w:themeColor="text1"/>
                <w:kern w:val="0"/>
                <w:sz w:val="22"/>
                <w14:textFill>
                  <w14:solidFill>
                    <w14:schemeClr w14:val="tx1"/>
                  </w14:solidFill>
                </w14:textFill>
              </w:rPr>
            </w:pPr>
            <w:r>
              <w:rPr>
                <w:rStyle w:val="335"/>
                <w:rFonts w:cs="Times New Roman"/>
                <w:color w:val="000000" w:themeColor="text1"/>
                <w14:textFill>
                  <w14:solidFill>
                    <w14:schemeClr w14:val="tx1"/>
                  </w14:solidFill>
                </w14:textFill>
              </w:rPr>
              <w:t>0.00164</w:t>
            </w:r>
          </w:p>
        </w:tc>
      </w:tr>
      <w:tr>
        <w:tblPrEx>
          <w:tblCellMar>
            <w:top w:w="0" w:type="dxa"/>
            <w:left w:w="0" w:type="dxa"/>
            <w:bottom w:w="0" w:type="dxa"/>
            <w:right w:w="0" w:type="dxa"/>
          </w:tblCellMar>
        </w:tblPrEx>
        <w:trPr>
          <w:trHeight w:val="397" w:hRule="atLeast"/>
        </w:trPr>
        <w:tc>
          <w:tcPr>
            <w:tcW w:w="314"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w w:val="99"/>
                <w14:textFill>
                  <w14:solidFill>
                    <w14:schemeClr w14:val="tx1"/>
                  </w14:solidFill>
                </w14:textFill>
              </w:rPr>
            </w:pPr>
            <w:r>
              <w:rPr>
                <w:color w:val="000000" w:themeColor="text1"/>
                <w14:textFill>
                  <w14:solidFill>
                    <w14:schemeClr w14:val="tx1"/>
                  </w14:solidFill>
                </w14:textFill>
              </w:rPr>
              <w:t>养殖二区</w:t>
            </w:r>
          </w:p>
        </w:tc>
        <w:tc>
          <w:tcPr>
            <w:tcW w:w="64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中大猪舍</w:t>
            </w:r>
          </w:p>
        </w:tc>
        <w:tc>
          <w:tcPr>
            <w:tcW w:w="48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4417</w:t>
            </w:r>
          </w:p>
        </w:tc>
        <w:tc>
          <w:tcPr>
            <w:tcW w:w="884" w:type="pct"/>
            <w:vMerge w:val="continue"/>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p>
        </w:tc>
        <w:tc>
          <w:tcPr>
            <w:tcW w:w="619"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0.00552</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0.0484</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4.7×10</w:t>
            </w:r>
            <w:r>
              <w:rPr>
                <w:color w:val="000000" w:themeColor="text1"/>
                <w:vertAlign w:val="superscript"/>
                <w14:textFill>
                  <w14:solidFill>
                    <w14:schemeClr w14:val="tx1"/>
                  </w14:solidFill>
                </w14:textFill>
              </w:rPr>
              <w:t>-4</w:t>
            </w:r>
          </w:p>
        </w:tc>
        <w:tc>
          <w:tcPr>
            <w:tcW w:w="685"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0.00411</w:t>
            </w:r>
          </w:p>
        </w:tc>
      </w:tr>
      <w:tr>
        <w:tblPrEx>
          <w:tblCellMar>
            <w:top w:w="0" w:type="dxa"/>
            <w:left w:w="0" w:type="dxa"/>
            <w:bottom w:w="0" w:type="dxa"/>
            <w:right w:w="0" w:type="dxa"/>
          </w:tblCellMar>
        </w:tblPrEx>
        <w:trPr>
          <w:trHeight w:val="397" w:hRule="atLeast"/>
        </w:trPr>
        <w:tc>
          <w:tcPr>
            <w:tcW w:w="1439" w:type="pct"/>
            <w:gridSpan w:val="3"/>
            <w:tcBorders>
              <w:top w:val="single" w:color="000000" w:sz="4"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spacing w:val="-5"/>
                <w14:textFill>
                  <w14:solidFill>
                    <w14:schemeClr w14:val="tx1"/>
                  </w14:solidFill>
                </w14:textFill>
              </w:rPr>
              <w:t>合计</w:t>
            </w:r>
          </w:p>
        </w:tc>
        <w:tc>
          <w:tcPr>
            <w:tcW w:w="884" w:type="pct"/>
            <w:vMerge w:val="continue"/>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p>
        </w:tc>
        <w:tc>
          <w:tcPr>
            <w:tcW w:w="619"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0.00683</w:t>
            </w:r>
          </w:p>
        </w:tc>
        <w:tc>
          <w:tcPr>
            <w:tcW w:w="686"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0.060</w:t>
            </w:r>
          </w:p>
        </w:tc>
        <w:tc>
          <w:tcPr>
            <w:tcW w:w="686"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6.6×10</w:t>
            </w:r>
            <w:r>
              <w:rPr>
                <w:color w:val="000000" w:themeColor="text1"/>
                <w:vertAlign w:val="superscript"/>
                <w14:textFill>
                  <w14:solidFill>
                    <w14:schemeClr w14:val="tx1"/>
                  </w14:solidFill>
                </w14:textFill>
              </w:rPr>
              <w:t>-4</w:t>
            </w:r>
          </w:p>
        </w:tc>
        <w:tc>
          <w:tcPr>
            <w:tcW w:w="685" w:type="pct"/>
            <w:tcBorders>
              <w:top w:val="single" w:color="000000" w:sz="4" w:space="0"/>
              <w:left w:val="single" w:color="000000" w:sz="4" w:space="0"/>
              <w:bottom w:val="single" w:color="000000" w:sz="10" w:space="0"/>
              <w:right w:val="single" w:color="000000" w:sz="10" w:space="0"/>
            </w:tcBorders>
            <w:vAlign w:val="center"/>
          </w:tcPr>
          <w:p>
            <w:pPr>
              <w:pStyle w:val="332"/>
              <w:rPr>
                <w:color w:val="000000" w:themeColor="text1"/>
                <w:kern w:val="0"/>
                <w14:textFill>
                  <w14:solidFill>
                    <w14:schemeClr w14:val="tx1"/>
                  </w14:solidFill>
                </w14:textFill>
              </w:rPr>
            </w:pPr>
            <w:r>
              <w:rPr>
                <w:color w:val="000000" w:themeColor="text1"/>
                <w14:textFill>
                  <w14:solidFill>
                    <w14:schemeClr w14:val="tx1"/>
                  </w14:solidFill>
                </w14:textFill>
              </w:rPr>
              <w:t>0.0058</w:t>
            </w: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2、污水处理过程产生的恶臭</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fldChar w:fldCharType="begin"/>
      </w:r>
      <w:r>
        <w:rPr>
          <w:rFonts w:cs="Times New Roman"/>
          <w:color w:val="000000" w:themeColor="text1"/>
          <w:lang w:bidi="en-US"/>
          <w14:textFill>
            <w14:solidFill>
              <w14:schemeClr w14:val="tx1"/>
            </w14:solidFill>
          </w14:textFill>
        </w:rPr>
        <w:instrText xml:space="preserve"> = 1 \* GB3 </w:instrText>
      </w:r>
      <w:r>
        <w:rPr>
          <w:rFonts w:cs="Times New Roman"/>
          <w:color w:val="000000" w:themeColor="text1"/>
          <w:lang w:bidi="en-US"/>
          <w14:textFill>
            <w14:solidFill>
              <w14:schemeClr w14:val="tx1"/>
            </w14:solidFill>
          </w14:textFill>
        </w:rPr>
        <w:fldChar w:fldCharType="separate"/>
      </w:r>
      <w:r>
        <w:rPr>
          <w:rFonts w:hint="eastAsia" w:ascii="宋体" w:hAnsi="宋体" w:cs="宋体"/>
          <w:color w:val="000000" w:themeColor="text1"/>
          <w:lang w:bidi="en-US"/>
          <w14:textFill>
            <w14:solidFill>
              <w14:schemeClr w14:val="tx1"/>
            </w14:solidFill>
          </w14:textFill>
        </w:rPr>
        <w:t>①</w:t>
      </w:r>
      <w:r>
        <w:rPr>
          <w:rFonts w:cs="Times New Roman"/>
          <w:color w:val="000000" w:themeColor="text1"/>
          <w:lang w:bidi="en-US"/>
          <w14:textFill>
            <w14:solidFill>
              <w14:schemeClr w14:val="tx1"/>
            </w14:solidFill>
          </w14:textFill>
        </w:rPr>
        <w:fldChar w:fldCharType="end"/>
      </w:r>
      <w:r>
        <w:rPr>
          <w:rFonts w:cs="Times New Roman"/>
          <w:color w:val="000000" w:themeColor="text1"/>
          <w:lang w:bidi="en-US"/>
          <w14:textFill>
            <w14:solidFill>
              <w14:schemeClr w14:val="tx1"/>
            </w14:solidFill>
          </w14:textFill>
        </w:rPr>
        <w:t>黑膜沼气池厌氧发酵过程</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本项目拟采用黑膜沼气池处理运营过程中的粪污，为了有效核定出臭气中NH</w:t>
      </w:r>
      <w:r>
        <w:rPr>
          <w:rFonts w:cs="Times New Roman"/>
          <w:color w:val="000000" w:themeColor="text1"/>
          <w:vertAlign w:val="subscript"/>
          <w:lang w:bidi="en-US"/>
          <w14:textFill>
            <w14:solidFill>
              <w14:schemeClr w14:val="tx1"/>
            </w14:solidFill>
          </w14:textFill>
        </w:rPr>
        <w:t>3</w:t>
      </w:r>
      <w:r>
        <w:rPr>
          <w:rFonts w:cs="Times New Roman"/>
          <w:color w:val="000000" w:themeColor="text1"/>
          <w:lang w:bidi="en-US"/>
          <w14:textFill>
            <w14:solidFill>
              <w14:schemeClr w14:val="tx1"/>
            </w14:solidFill>
          </w14:textFill>
        </w:rPr>
        <w:t>、H</w:t>
      </w:r>
      <w:r>
        <w:rPr>
          <w:rFonts w:cs="Times New Roman"/>
          <w:color w:val="000000" w:themeColor="text1"/>
          <w:vertAlign w:val="subscript"/>
          <w:lang w:bidi="en-US"/>
          <w14:textFill>
            <w14:solidFill>
              <w14:schemeClr w14:val="tx1"/>
            </w14:solidFill>
          </w14:textFill>
        </w:rPr>
        <w:t>2</w:t>
      </w:r>
      <w:r>
        <w:rPr>
          <w:rFonts w:cs="Times New Roman"/>
          <w:color w:val="000000" w:themeColor="text1"/>
          <w:lang w:bidi="en-US"/>
          <w14:textFill>
            <w14:solidFill>
              <w14:schemeClr w14:val="tx1"/>
            </w14:solidFill>
          </w14:textFill>
        </w:rPr>
        <w:t>S产生情况，采用经验系数，即每处理1 gBOD</w:t>
      </w:r>
      <w:r>
        <w:rPr>
          <w:rFonts w:cs="Times New Roman"/>
          <w:color w:val="000000" w:themeColor="text1"/>
          <w:vertAlign w:val="subscript"/>
          <w:lang w:bidi="en-US"/>
          <w14:textFill>
            <w14:solidFill>
              <w14:schemeClr w14:val="tx1"/>
            </w14:solidFill>
          </w14:textFill>
        </w:rPr>
        <w:t>5</w:t>
      </w:r>
      <w:r>
        <w:rPr>
          <w:rFonts w:cs="Times New Roman"/>
          <w:color w:val="000000" w:themeColor="text1"/>
          <w:lang w:bidi="en-US"/>
          <w14:textFill>
            <w14:solidFill>
              <w14:schemeClr w14:val="tx1"/>
            </w14:solidFill>
          </w14:textFill>
        </w:rPr>
        <w:t>可产生0.002 gNH</w:t>
      </w:r>
      <w:r>
        <w:rPr>
          <w:rFonts w:cs="Times New Roman"/>
          <w:color w:val="000000" w:themeColor="text1"/>
          <w:vertAlign w:val="subscript"/>
          <w:lang w:bidi="en-US"/>
          <w14:textFill>
            <w14:solidFill>
              <w14:schemeClr w14:val="tx1"/>
            </w14:solidFill>
          </w14:textFill>
        </w:rPr>
        <w:t>3</w:t>
      </w:r>
      <w:r>
        <w:rPr>
          <w:rFonts w:cs="Times New Roman"/>
          <w:color w:val="000000" w:themeColor="text1"/>
          <w:lang w:bidi="en-US"/>
          <w14:textFill>
            <w14:solidFill>
              <w14:schemeClr w14:val="tx1"/>
            </w14:solidFill>
          </w14:textFill>
        </w:rPr>
        <w:t>和0.000005 gH</w:t>
      </w:r>
      <w:r>
        <w:rPr>
          <w:rFonts w:cs="Times New Roman"/>
          <w:color w:val="000000" w:themeColor="text1"/>
          <w:vertAlign w:val="subscript"/>
          <w:lang w:bidi="en-US"/>
          <w14:textFill>
            <w14:solidFill>
              <w14:schemeClr w14:val="tx1"/>
            </w14:solidFill>
          </w14:textFill>
        </w:rPr>
        <w:t>2</w:t>
      </w:r>
      <w:r>
        <w:rPr>
          <w:rFonts w:cs="Times New Roman"/>
          <w:color w:val="000000" w:themeColor="text1"/>
          <w:lang w:bidi="en-US"/>
          <w14:textFill>
            <w14:solidFill>
              <w14:schemeClr w14:val="tx1"/>
            </w14:solidFill>
          </w14:textFill>
        </w:rPr>
        <w:t>S。</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表3.5-4 项目黑膜沼气池发酵系统恶臭气体产生情况一览表</w:t>
      </w:r>
    </w:p>
    <w:p>
      <w:pPr>
        <w:kinsoku w:val="0"/>
        <w:overflowPunct w:val="0"/>
        <w:autoSpaceDE w:val="0"/>
        <w:autoSpaceDN w:val="0"/>
        <w:adjustRightInd w:val="0"/>
        <w:spacing w:before="5" w:line="240" w:lineRule="auto"/>
        <w:ind w:firstLine="0" w:firstLineChars="0"/>
        <w:jc w:val="left"/>
        <w:rPr>
          <w:rFonts w:cs="Times New Roman"/>
          <w:color w:val="000000" w:themeColor="text1"/>
          <w:kern w:val="0"/>
          <w:sz w:val="4"/>
          <w:szCs w:val="4"/>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1258"/>
        <w:gridCol w:w="3298"/>
        <w:gridCol w:w="1076"/>
        <w:gridCol w:w="1159"/>
        <w:gridCol w:w="1154"/>
        <w:gridCol w:w="930"/>
      </w:tblGrid>
      <w:tr>
        <w:tblPrEx>
          <w:tblCellMar>
            <w:top w:w="0" w:type="dxa"/>
            <w:left w:w="0" w:type="dxa"/>
            <w:bottom w:w="0" w:type="dxa"/>
            <w:right w:w="0" w:type="dxa"/>
          </w:tblCellMar>
        </w:tblPrEx>
        <w:trPr>
          <w:trHeight w:val="397" w:hRule="atLeast"/>
        </w:trPr>
        <w:tc>
          <w:tcPr>
            <w:tcW w:w="709" w:type="pct"/>
            <w:vMerge w:val="restart"/>
            <w:tcBorders>
              <w:top w:val="single" w:color="auto" w:sz="12"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1858" w:type="pct"/>
            <w:vMerge w:val="restar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去除量（t/a）</w:t>
            </w:r>
          </w:p>
        </w:tc>
        <w:tc>
          <w:tcPr>
            <w:tcW w:w="1259" w:type="pct"/>
            <w:gridSpan w:val="2"/>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1174" w:type="pct"/>
            <w:gridSpan w:val="2"/>
            <w:tcBorders>
              <w:top w:val="single" w:color="auto" w:sz="12"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r>
      <w:tr>
        <w:tblPrEx>
          <w:tblCellMar>
            <w:top w:w="0" w:type="dxa"/>
            <w:left w:w="0" w:type="dxa"/>
            <w:bottom w:w="0" w:type="dxa"/>
            <w:right w:w="0" w:type="dxa"/>
          </w:tblCellMar>
        </w:tblPrEx>
        <w:trPr>
          <w:trHeight w:val="397" w:hRule="atLeast"/>
        </w:trPr>
        <w:tc>
          <w:tcPr>
            <w:tcW w:w="709" w:type="pct"/>
            <w:vMerge w:val="continue"/>
            <w:tcBorders>
              <w:top w:val="single" w:color="000000" w:sz="10"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1858"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606"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产生速率</w:t>
            </w:r>
          </w:p>
          <w:p>
            <w:pPr>
              <w:pStyle w:val="332"/>
              <w:rPr>
                <w:color w:val="000000" w:themeColor="text1"/>
                <w14:textFill>
                  <w14:solidFill>
                    <w14:schemeClr w14:val="tx1"/>
                  </w14:solidFill>
                </w14:textFill>
              </w:rPr>
            </w:pPr>
            <w:r>
              <w:rPr>
                <w:color w:val="000000" w:themeColor="text1"/>
                <w14:textFill>
                  <w14:solidFill>
                    <w14:schemeClr w14:val="tx1"/>
                  </w14:solidFill>
                </w14:textFill>
              </w:rPr>
              <w:t>（kg/h）</w:t>
            </w:r>
          </w:p>
        </w:tc>
        <w:tc>
          <w:tcPr>
            <w:tcW w:w="653"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（t/a）</w:t>
            </w:r>
          </w:p>
        </w:tc>
        <w:tc>
          <w:tcPr>
            <w:tcW w:w="650"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产生速率</w:t>
            </w:r>
          </w:p>
          <w:p>
            <w:pPr>
              <w:pStyle w:val="332"/>
              <w:rPr>
                <w:color w:val="000000" w:themeColor="text1"/>
                <w14:textFill>
                  <w14:solidFill>
                    <w14:schemeClr w14:val="tx1"/>
                  </w14:solidFill>
                </w14:textFill>
              </w:rPr>
            </w:pPr>
            <w:r>
              <w:rPr>
                <w:color w:val="000000" w:themeColor="text1"/>
                <w14:textFill>
                  <w14:solidFill>
                    <w14:schemeClr w14:val="tx1"/>
                  </w14:solidFill>
                </w14:textFill>
              </w:rPr>
              <w:t>（kg/h）</w:t>
            </w:r>
          </w:p>
        </w:tc>
        <w:tc>
          <w:tcPr>
            <w:tcW w:w="523" w:type="pct"/>
            <w:tcBorders>
              <w:top w:val="single" w:color="000000" w:sz="4"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（t/a）</w:t>
            </w:r>
          </w:p>
        </w:tc>
      </w:tr>
      <w:tr>
        <w:tblPrEx>
          <w:tblCellMar>
            <w:top w:w="0" w:type="dxa"/>
            <w:left w:w="0" w:type="dxa"/>
            <w:bottom w:w="0" w:type="dxa"/>
            <w:right w:w="0" w:type="dxa"/>
          </w:tblCellMar>
        </w:tblPrEx>
        <w:trPr>
          <w:trHeight w:val="397" w:hRule="atLeast"/>
        </w:trPr>
        <w:tc>
          <w:tcPr>
            <w:tcW w:w="709" w:type="pct"/>
            <w:tcBorders>
              <w:top w:val="single" w:color="auto" w:sz="12"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黑膜沼气池</w:t>
            </w:r>
          </w:p>
        </w:tc>
        <w:tc>
          <w:tcPr>
            <w:tcW w:w="1858"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152.64=12719.9×(6000-14000)×10</w:t>
            </w:r>
            <w:r>
              <w:rPr>
                <w:color w:val="000000" w:themeColor="text1"/>
                <w:vertAlign w:val="superscript"/>
                <w14:textFill>
                  <w14:solidFill>
                    <w14:schemeClr w14:val="tx1"/>
                  </w14:solidFill>
                </w14:textFill>
              </w:rPr>
              <w:t>-6</w:t>
            </w:r>
          </w:p>
        </w:tc>
        <w:tc>
          <w:tcPr>
            <w:tcW w:w="606"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0.035</w:t>
            </w:r>
          </w:p>
        </w:tc>
        <w:tc>
          <w:tcPr>
            <w:tcW w:w="653"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0.31</w:t>
            </w:r>
          </w:p>
        </w:tc>
        <w:tc>
          <w:tcPr>
            <w:tcW w:w="650"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0.000087</w:t>
            </w:r>
          </w:p>
        </w:tc>
        <w:tc>
          <w:tcPr>
            <w:tcW w:w="523" w:type="pct"/>
            <w:tcBorders>
              <w:top w:val="single" w:color="auto" w:sz="12"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0.00076</w:t>
            </w:r>
          </w:p>
        </w:tc>
      </w:tr>
    </w:tbl>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由于本项目清粪率高，污水含固率小，废水产生的恶臭气体的量也相对较小，因此这部分恶臭气体以无组织的形式逸散至空气中。为了减小项目污水处理过程恶臭气体对周边环境的影响，在治污区附近定期喷洒除臭剂，并加强治污区周围绿化。</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采取以上措施后，恶臭可减少90%。粪便处理区恶臭产生及排放情况见表3.5-5。</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表3.5-5 项目黑膜沼气池发酵系统恶臭气体排放量一览表</w:t>
      </w:r>
    </w:p>
    <w:tbl>
      <w:tblPr>
        <w:tblStyle w:val="53"/>
        <w:tblW w:w="5000" w:type="pct"/>
        <w:tblInd w:w="0" w:type="dxa"/>
        <w:tblLayout w:type="autofit"/>
        <w:tblCellMar>
          <w:top w:w="0" w:type="dxa"/>
          <w:left w:w="0" w:type="dxa"/>
          <w:bottom w:w="0" w:type="dxa"/>
          <w:right w:w="0" w:type="dxa"/>
        </w:tblCellMar>
      </w:tblPr>
      <w:tblGrid>
        <w:gridCol w:w="1257"/>
        <w:gridCol w:w="868"/>
        <w:gridCol w:w="1687"/>
        <w:gridCol w:w="1688"/>
        <w:gridCol w:w="1688"/>
        <w:gridCol w:w="1687"/>
      </w:tblGrid>
      <w:tr>
        <w:tblPrEx>
          <w:tblCellMar>
            <w:top w:w="0" w:type="dxa"/>
            <w:left w:w="0" w:type="dxa"/>
            <w:bottom w:w="0" w:type="dxa"/>
            <w:right w:w="0" w:type="dxa"/>
          </w:tblCellMar>
        </w:tblPrEx>
        <w:trPr>
          <w:trHeight w:val="397" w:hRule="atLeast"/>
        </w:trPr>
        <w:tc>
          <w:tcPr>
            <w:tcW w:w="708" w:type="pct"/>
            <w:vMerge w:val="restart"/>
            <w:tcBorders>
              <w:top w:val="single" w:color="auto" w:sz="12"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489" w:type="pct"/>
            <w:vMerge w:val="restar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去除率</w:t>
            </w:r>
          </w:p>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901" w:type="pct"/>
            <w:gridSpan w:val="2"/>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1901" w:type="pct"/>
            <w:gridSpan w:val="2"/>
            <w:tcBorders>
              <w:top w:val="single" w:color="auto" w:sz="12"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r>
      <w:tr>
        <w:tblPrEx>
          <w:tblCellMar>
            <w:top w:w="0" w:type="dxa"/>
            <w:left w:w="0" w:type="dxa"/>
            <w:bottom w:w="0" w:type="dxa"/>
            <w:right w:w="0" w:type="dxa"/>
          </w:tblCellMar>
        </w:tblPrEx>
        <w:trPr>
          <w:trHeight w:val="397" w:hRule="atLeast"/>
        </w:trPr>
        <w:tc>
          <w:tcPr>
            <w:tcW w:w="708" w:type="pct"/>
            <w:vMerge w:val="continue"/>
            <w:tcBorders>
              <w:top w:val="single" w:color="000000" w:sz="10"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489"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950"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排放速率（kg/h）</w:t>
            </w:r>
          </w:p>
        </w:tc>
        <w:tc>
          <w:tcPr>
            <w:tcW w:w="951"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排放量（t/a）</w:t>
            </w:r>
          </w:p>
        </w:tc>
        <w:tc>
          <w:tcPr>
            <w:tcW w:w="951"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排放速率（kg/h）</w:t>
            </w:r>
          </w:p>
        </w:tc>
        <w:tc>
          <w:tcPr>
            <w:tcW w:w="950" w:type="pct"/>
            <w:tcBorders>
              <w:top w:val="single" w:color="000000" w:sz="4"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排放量（t/a）</w:t>
            </w:r>
          </w:p>
        </w:tc>
      </w:tr>
      <w:tr>
        <w:tblPrEx>
          <w:tblCellMar>
            <w:top w:w="0" w:type="dxa"/>
            <w:left w:w="0" w:type="dxa"/>
            <w:bottom w:w="0" w:type="dxa"/>
            <w:right w:w="0" w:type="dxa"/>
          </w:tblCellMar>
        </w:tblPrEx>
        <w:trPr>
          <w:trHeight w:val="397" w:hRule="atLeast"/>
        </w:trPr>
        <w:tc>
          <w:tcPr>
            <w:tcW w:w="708" w:type="pct"/>
            <w:tcBorders>
              <w:top w:val="single" w:color="auto" w:sz="12"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黑膜沼气池</w:t>
            </w:r>
          </w:p>
        </w:tc>
        <w:tc>
          <w:tcPr>
            <w:tcW w:w="489"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90</w:t>
            </w:r>
          </w:p>
        </w:tc>
        <w:tc>
          <w:tcPr>
            <w:tcW w:w="950"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0.0035</w:t>
            </w:r>
          </w:p>
        </w:tc>
        <w:tc>
          <w:tcPr>
            <w:tcW w:w="951"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0.031</w:t>
            </w:r>
          </w:p>
        </w:tc>
        <w:tc>
          <w:tcPr>
            <w:tcW w:w="951"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0.0000087</w:t>
            </w:r>
          </w:p>
        </w:tc>
        <w:tc>
          <w:tcPr>
            <w:tcW w:w="950" w:type="pct"/>
            <w:tcBorders>
              <w:top w:val="single" w:color="auto" w:sz="12"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0.000076</w:t>
            </w:r>
          </w:p>
        </w:tc>
      </w:tr>
    </w:tbl>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fldChar w:fldCharType="begin"/>
      </w:r>
      <w:r>
        <w:rPr>
          <w:rFonts w:cs="Times New Roman"/>
          <w:color w:val="000000" w:themeColor="text1"/>
          <w:lang w:bidi="en-US"/>
          <w14:textFill>
            <w14:solidFill>
              <w14:schemeClr w14:val="tx1"/>
            </w14:solidFill>
          </w14:textFill>
        </w:rPr>
        <w:instrText xml:space="preserve"> = 2 \* GB3 </w:instrText>
      </w:r>
      <w:r>
        <w:rPr>
          <w:rFonts w:cs="Times New Roman"/>
          <w:color w:val="000000" w:themeColor="text1"/>
          <w:lang w:bidi="en-US"/>
          <w14:textFill>
            <w14:solidFill>
              <w14:schemeClr w14:val="tx1"/>
            </w14:solidFill>
          </w14:textFill>
        </w:rPr>
        <w:fldChar w:fldCharType="separate"/>
      </w:r>
      <w:r>
        <w:rPr>
          <w:rFonts w:hint="eastAsia" w:ascii="宋体" w:hAnsi="宋体" w:cs="宋体"/>
          <w:color w:val="000000" w:themeColor="text1"/>
          <w:lang w:bidi="en-US"/>
          <w14:textFill>
            <w14:solidFill>
              <w14:schemeClr w14:val="tx1"/>
            </w14:solidFill>
          </w14:textFill>
        </w:rPr>
        <w:t>②</w:t>
      </w:r>
      <w:r>
        <w:rPr>
          <w:rFonts w:cs="Times New Roman"/>
          <w:color w:val="000000" w:themeColor="text1"/>
          <w:lang w:bidi="en-US"/>
          <w14:textFill>
            <w14:solidFill>
              <w14:schemeClr w14:val="tx1"/>
            </w14:solidFill>
          </w14:textFill>
        </w:rPr>
        <w:fldChar w:fldCharType="end"/>
      </w:r>
      <w:r>
        <w:rPr>
          <w:rFonts w:cs="Times New Roman"/>
          <w:color w:val="000000" w:themeColor="text1"/>
          <w:lang w:bidi="en-US"/>
          <w14:textFill>
            <w14:solidFill>
              <w14:schemeClr w14:val="tx1"/>
            </w14:solidFill>
          </w14:textFill>
        </w:rPr>
        <w:t>沼液储存池</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沼液在黑膜沼气池里厌氧发酵45天后，送至沼液储存池暂存时，恶臭气体产生量相对较小，根据类比，每平米沼液池产生NH</w:t>
      </w:r>
      <w:r>
        <w:rPr>
          <w:rFonts w:cs="Times New Roman"/>
          <w:color w:val="000000" w:themeColor="text1"/>
          <w:vertAlign w:val="subscript"/>
          <w:lang w:bidi="en-US"/>
          <w14:textFill>
            <w14:solidFill>
              <w14:schemeClr w14:val="tx1"/>
            </w14:solidFill>
          </w14:textFill>
        </w:rPr>
        <w:t>3</w:t>
      </w:r>
      <w:r>
        <w:rPr>
          <w:rFonts w:cs="Times New Roman"/>
          <w:color w:val="000000" w:themeColor="text1"/>
          <w:lang w:bidi="en-US"/>
          <w14:textFill>
            <w14:solidFill>
              <w14:schemeClr w14:val="tx1"/>
            </w14:solidFill>
          </w14:textFill>
        </w:rPr>
        <w:t>：0.14 g/d和H</w:t>
      </w:r>
      <w:r>
        <w:rPr>
          <w:rFonts w:cs="Times New Roman"/>
          <w:color w:val="000000" w:themeColor="text1"/>
          <w:vertAlign w:val="subscript"/>
          <w:lang w:bidi="en-US"/>
          <w14:textFill>
            <w14:solidFill>
              <w14:schemeClr w14:val="tx1"/>
            </w14:solidFill>
          </w14:textFill>
        </w:rPr>
        <w:t>2</w:t>
      </w:r>
      <w:r>
        <w:rPr>
          <w:rFonts w:cs="Times New Roman"/>
          <w:color w:val="000000" w:themeColor="text1"/>
          <w:lang w:bidi="en-US"/>
          <w14:textFill>
            <w14:solidFill>
              <w14:schemeClr w14:val="tx1"/>
            </w14:solidFill>
          </w14:textFill>
        </w:rPr>
        <w:t>S：0.02 g/d。</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表3.5-6 项目沼液储存池恶臭气体产生情况一览表</w:t>
      </w:r>
    </w:p>
    <w:tbl>
      <w:tblPr>
        <w:tblStyle w:val="53"/>
        <w:tblW w:w="5000" w:type="pct"/>
        <w:tblInd w:w="0" w:type="dxa"/>
        <w:tblLayout w:type="autofit"/>
        <w:tblCellMar>
          <w:top w:w="0" w:type="dxa"/>
          <w:left w:w="0" w:type="dxa"/>
          <w:bottom w:w="0" w:type="dxa"/>
          <w:right w:w="0" w:type="dxa"/>
        </w:tblCellMar>
      </w:tblPr>
      <w:tblGrid>
        <w:gridCol w:w="1258"/>
        <w:gridCol w:w="868"/>
        <w:gridCol w:w="1686"/>
        <w:gridCol w:w="1688"/>
        <w:gridCol w:w="1688"/>
        <w:gridCol w:w="1687"/>
      </w:tblGrid>
      <w:tr>
        <w:tblPrEx>
          <w:tblCellMar>
            <w:top w:w="0" w:type="dxa"/>
            <w:left w:w="0" w:type="dxa"/>
            <w:bottom w:w="0" w:type="dxa"/>
            <w:right w:w="0" w:type="dxa"/>
          </w:tblCellMar>
        </w:tblPrEx>
        <w:trPr>
          <w:trHeight w:val="397" w:hRule="atLeast"/>
        </w:trPr>
        <w:tc>
          <w:tcPr>
            <w:tcW w:w="709" w:type="pct"/>
            <w:vMerge w:val="restart"/>
            <w:tcBorders>
              <w:top w:val="single" w:color="auto" w:sz="12"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489" w:type="pct"/>
            <w:vMerge w:val="restar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沼液池面积 m</w:t>
            </w:r>
            <w:r>
              <w:rPr>
                <w:color w:val="000000" w:themeColor="text1"/>
                <w:vertAlign w:val="superscript"/>
                <w14:textFill>
                  <w14:solidFill>
                    <w14:schemeClr w14:val="tx1"/>
                  </w14:solidFill>
                </w14:textFill>
              </w:rPr>
              <w:t>2</w:t>
            </w:r>
          </w:p>
        </w:tc>
        <w:tc>
          <w:tcPr>
            <w:tcW w:w="1901" w:type="pct"/>
            <w:gridSpan w:val="2"/>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1901" w:type="pct"/>
            <w:gridSpan w:val="2"/>
            <w:tcBorders>
              <w:top w:val="single" w:color="auto" w:sz="12"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r>
      <w:tr>
        <w:tblPrEx>
          <w:tblCellMar>
            <w:top w:w="0" w:type="dxa"/>
            <w:left w:w="0" w:type="dxa"/>
            <w:bottom w:w="0" w:type="dxa"/>
            <w:right w:w="0" w:type="dxa"/>
          </w:tblCellMar>
        </w:tblPrEx>
        <w:trPr>
          <w:trHeight w:val="397" w:hRule="atLeast"/>
        </w:trPr>
        <w:tc>
          <w:tcPr>
            <w:tcW w:w="709" w:type="pct"/>
            <w:vMerge w:val="continue"/>
            <w:tcBorders>
              <w:top w:val="single" w:color="000000" w:sz="10"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489"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950"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产生速率（kg/h）</w:t>
            </w:r>
          </w:p>
        </w:tc>
        <w:tc>
          <w:tcPr>
            <w:tcW w:w="951"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产生量（t/a）</w:t>
            </w:r>
          </w:p>
        </w:tc>
        <w:tc>
          <w:tcPr>
            <w:tcW w:w="951"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产生速率（kg/h）</w:t>
            </w:r>
          </w:p>
        </w:tc>
        <w:tc>
          <w:tcPr>
            <w:tcW w:w="951" w:type="pct"/>
            <w:tcBorders>
              <w:top w:val="single" w:color="000000" w:sz="4"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产生量（t/a）</w:t>
            </w:r>
          </w:p>
        </w:tc>
      </w:tr>
      <w:tr>
        <w:tblPrEx>
          <w:tblCellMar>
            <w:top w:w="0" w:type="dxa"/>
            <w:left w:w="0" w:type="dxa"/>
            <w:bottom w:w="0" w:type="dxa"/>
            <w:right w:w="0" w:type="dxa"/>
          </w:tblCellMar>
        </w:tblPrEx>
        <w:trPr>
          <w:trHeight w:val="397" w:hRule="atLeast"/>
        </w:trPr>
        <w:tc>
          <w:tcPr>
            <w:tcW w:w="709" w:type="pct"/>
            <w:tcBorders>
              <w:top w:val="single" w:color="auto" w:sz="12" w:space="0"/>
              <w:left w:val="single" w:color="auto" w:sz="12" w:space="0"/>
              <w:bottom w:val="single" w:color="auto" w:sz="12" w:space="0"/>
              <w:right w:val="single" w:color="000000" w:sz="4"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沼液存储池</w:t>
            </w:r>
          </w:p>
        </w:tc>
        <w:tc>
          <w:tcPr>
            <w:tcW w:w="489"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1800</w:t>
            </w:r>
          </w:p>
        </w:tc>
        <w:tc>
          <w:tcPr>
            <w:tcW w:w="950"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0.011</w:t>
            </w:r>
          </w:p>
        </w:tc>
        <w:tc>
          <w:tcPr>
            <w:tcW w:w="951"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0.092</w:t>
            </w:r>
          </w:p>
        </w:tc>
        <w:tc>
          <w:tcPr>
            <w:tcW w:w="951"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0.0015</w:t>
            </w:r>
          </w:p>
        </w:tc>
        <w:tc>
          <w:tcPr>
            <w:tcW w:w="951" w:type="pct"/>
            <w:tcBorders>
              <w:top w:val="single" w:color="auto" w:sz="12"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0.013</w:t>
            </w:r>
          </w:p>
        </w:tc>
      </w:tr>
    </w:tbl>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沼液储存池顶部覆盖HDPE膜进行封闭，采用喷洒除臭剂的方式进一步降低恶臭影响，并在此基础上在沼液池周围加强绿化。</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采取以上措施后，恶臭可减少90%。沼液储存池恶臭产生及排放情况见表3.5-7。</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表3.5-7 项目沼液储存池恶臭气体排放量一览表</w:t>
      </w:r>
    </w:p>
    <w:tbl>
      <w:tblPr>
        <w:tblStyle w:val="53"/>
        <w:tblW w:w="5000" w:type="pct"/>
        <w:tblInd w:w="0" w:type="dxa"/>
        <w:tblLayout w:type="autofit"/>
        <w:tblCellMar>
          <w:top w:w="0" w:type="dxa"/>
          <w:left w:w="0" w:type="dxa"/>
          <w:bottom w:w="0" w:type="dxa"/>
          <w:right w:w="0" w:type="dxa"/>
        </w:tblCellMar>
      </w:tblPr>
      <w:tblGrid>
        <w:gridCol w:w="1257"/>
        <w:gridCol w:w="868"/>
        <w:gridCol w:w="1687"/>
        <w:gridCol w:w="1688"/>
        <w:gridCol w:w="1688"/>
        <w:gridCol w:w="1687"/>
      </w:tblGrid>
      <w:tr>
        <w:tblPrEx>
          <w:tblCellMar>
            <w:top w:w="0" w:type="dxa"/>
            <w:left w:w="0" w:type="dxa"/>
            <w:bottom w:w="0" w:type="dxa"/>
            <w:right w:w="0" w:type="dxa"/>
          </w:tblCellMar>
        </w:tblPrEx>
        <w:trPr>
          <w:trHeight w:val="397" w:hRule="atLeast"/>
        </w:trPr>
        <w:tc>
          <w:tcPr>
            <w:tcW w:w="708" w:type="pct"/>
            <w:vMerge w:val="restart"/>
            <w:tcBorders>
              <w:top w:val="single" w:color="auto" w:sz="12"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489" w:type="pct"/>
            <w:vMerge w:val="restar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去除率</w:t>
            </w:r>
          </w:p>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901" w:type="pct"/>
            <w:gridSpan w:val="2"/>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1901" w:type="pct"/>
            <w:gridSpan w:val="2"/>
            <w:tcBorders>
              <w:top w:val="single" w:color="auto" w:sz="12"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r>
      <w:tr>
        <w:tblPrEx>
          <w:tblCellMar>
            <w:top w:w="0" w:type="dxa"/>
            <w:left w:w="0" w:type="dxa"/>
            <w:bottom w:w="0" w:type="dxa"/>
            <w:right w:w="0" w:type="dxa"/>
          </w:tblCellMar>
        </w:tblPrEx>
        <w:trPr>
          <w:trHeight w:val="397" w:hRule="atLeast"/>
        </w:trPr>
        <w:tc>
          <w:tcPr>
            <w:tcW w:w="708" w:type="pct"/>
            <w:vMerge w:val="continue"/>
            <w:tcBorders>
              <w:top w:val="single" w:color="000000" w:sz="10"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489"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950"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排放速率（kg/h）</w:t>
            </w:r>
          </w:p>
        </w:tc>
        <w:tc>
          <w:tcPr>
            <w:tcW w:w="951"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排放量（t/a）</w:t>
            </w:r>
          </w:p>
        </w:tc>
        <w:tc>
          <w:tcPr>
            <w:tcW w:w="951"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排放速率（kg/h）</w:t>
            </w:r>
          </w:p>
        </w:tc>
        <w:tc>
          <w:tcPr>
            <w:tcW w:w="950" w:type="pct"/>
            <w:tcBorders>
              <w:top w:val="single" w:color="000000" w:sz="4"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排放量（t/a）</w:t>
            </w:r>
          </w:p>
        </w:tc>
      </w:tr>
      <w:tr>
        <w:tblPrEx>
          <w:tblCellMar>
            <w:top w:w="0" w:type="dxa"/>
            <w:left w:w="0" w:type="dxa"/>
            <w:bottom w:w="0" w:type="dxa"/>
            <w:right w:w="0" w:type="dxa"/>
          </w:tblCellMar>
        </w:tblPrEx>
        <w:trPr>
          <w:trHeight w:val="397" w:hRule="atLeast"/>
        </w:trPr>
        <w:tc>
          <w:tcPr>
            <w:tcW w:w="708" w:type="pct"/>
            <w:tcBorders>
              <w:top w:val="single" w:color="auto" w:sz="12"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沼液存储池</w:t>
            </w:r>
          </w:p>
        </w:tc>
        <w:tc>
          <w:tcPr>
            <w:tcW w:w="489"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90</w:t>
            </w:r>
          </w:p>
        </w:tc>
        <w:tc>
          <w:tcPr>
            <w:tcW w:w="950"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951"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0.009</w:t>
            </w:r>
          </w:p>
        </w:tc>
        <w:tc>
          <w:tcPr>
            <w:tcW w:w="951"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950" w:type="pct"/>
            <w:tcBorders>
              <w:top w:val="single" w:color="auto" w:sz="12"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w:t>
            </w: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3、固粪处理区产生的恶臭</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项目猪粪和污水处理产生的污泥等收集后运至固粪处理区进行暂存和发酵处理。</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黑膜沼气池长边设置排泥管，通过池内液位压力，沼渣泵入固液分离机进行固液分离，经固液分离机分离出的废水由管道进入黑膜沼气池，排出的沼渣经沼固液分离后与粪便一起进行堆肥，堆肥后外售。</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根据类比同类项目，NH</w:t>
      </w:r>
      <w:r>
        <w:rPr>
          <w:rFonts w:cs="Times New Roman"/>
          <w:color w:val="000000" w:themeColor="text1"/>
          <w:vertAlign w:val="subscript"/>
          <w:lang w:bidi="en-US"/>
          <w14:textFill>
            <w14:solidFill>
              <w14:schemeClr w14:val="tx1"/>
            </w14:solidFill>
          </w14:textFill>
        </w:rPr>
        <w:t>3</w:t>
      </w:r>
      <w:r>
        <w:rPr>
          <w:rFonts w:cs="Times New Roman"/>
          <w:color w:val="000000" w:themeColor="text1"/>
          <w:lang w:bidi="en-US"/>
          <w14:textFill>
            <w14:solidFill>
              <w14:schemeClr w14:val="tx1"/>
            </w14:solidFill>
          </w14:textFill>
        </w:rPr>
        <w:t>的产生速率为0.034 kg/t-原料、</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w:t>
      </w:r>
      <w:r>
        <w:rPr>
          <w:rFonts w:cs="Times New Roman"/>
          <w:color w:val="000000" w:themeColor="text1"/>
          <w:lang w:bidi="en-US"/>
          <w14:textFill>
            <w14:solidFill>
              <w14:schemeClr w14:val="tx1"/>
            </w14:solidFill>
          </w14:textFill>
        </w:rPr>
        <w:t>的产生速率为0.0015kg/t-原料。</w:t>
      </w:r>
    </w:p>
    <w:p>
      <w:pPr>
        <w:pStyle w:val="333"/>
        <w:spacing w:before="120"/>
        <w:rPr>
          <w:rFonts w:cs="Times New Roman"/>
          <w:color w:val="000000" w:themeColor="text1"/>
          <w14:textFill>
            <w14:solidFill>
              <w14:schemeClr w14:val="tx1"/>
            </w14:solidFill>
          </w14:textFill>
        </w:rPr>
      </w:pPr>
      <w:r>
        <w:rPr>
          <w:rFonts w:cs="Times New Roman"/>
          <w:color w:val="000000" w:themeColor="text1"/>
          <w:lang w:bidi="en-US"/>
          <w14:textFill>
            <w14:solidFill>
              <w14:schemeClr w14:val="tx1"/>
            </w14:solidFill>
          </w14:textFill>
        </w:rPr>
        <w:t xml:space="preserve">表3.3-8 </w:t>
      </w:r>
      <w:r>
        <w:rPr>
          <w:rFonts w:cs="Times New Roman"/>
          <w:color w:val="000000" w:themeColor="text1"/>
          <w14:textFill>
            <w14:solidFill>
              <w14:schemeClr w14:val="tx1"/>
            </w14:solidFill>
          </w14:textFill>
        </w:rPr>
        <w:t>项目固粪处理区恶臭气体产生量一览表</w:t>
      </w:r>
    </w:p>
    <w:tbl>
      <w:tblPr>
        <w:tblStyle w:val="53"/>
        <w:tblW w:w="5000" w:type="pct"/>
        <w:tblInd w:w="0" w:type="dxa"/>
        <w:tblLayout w:type="autofit"/>
        <w:tblCellMar>
          <w:top w:w="0" w:type="dxa"/>
          <w:left w:w="0" w:type="dxa"/>
          <w:bottom w:w="0" w:type="dxa"/>
          <w:right w:w="0" w:type="dxa"/>
        </w:tblCellMar>
      </w:tblPr>
      <w:tblGrid>
        <w:gridCol w:w="1257"/>
        <w:gridCol w:w="868"/>
        <w:gridCol w:w="1687"/>
        <w:gridCol w:w="1688"/>
        <w:gridCol w:w="1688"/>
        <w:gridCol w:w="1687"/>
      </w:tblGrid>
      <w:tr>
        <w:tblPrEx>
          <w:tblCellMar>
            <w:top w:w="0" w:type="dxa"/>
            <w:left w:w="0" w:type="dxa"/>
            <w:bottom w:w="0" w:type="dxa"/>
            <w:right w:w="0" w:type="dxa"/>
          </w:tblCellMar>
        </w:tblPrEx>
        <w:trPr>
          <w:trHeight w:val="397" w:hRule="atLeast"/>
        </w:trPr>
        <w:tc>
          <w:tcPr>
            <w:tcW w:w="708" w:type="pct"/>
            <w:vMerge w:val="restart"/>
            <w:tcBorders>
              <w:top w:val="single" w:color="auto" w:sz="12"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489" w:type="pct"/>
            <w:vMerge w:val="restar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处理量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901" w:type="pct"/>
            <w:gridSpan w:val="2"/>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1901" w:type="pct"/>
            <w:gridSpan w:val="2"/>
            <w:tcBorders>
              <w:top w:val="single" w:color="auto" w:sz="12"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r>
      <w:tr>
        <w:tblPrEx>
          <w:tblCellMar>
            <w:top w:w="0" w:type="dxa"/>
            <w:left w:w="0" w:type="dxa"/>
            <w:bottom w:w="0" w:type="dxa"/>
            <w:right w:w="0" w:type="dxa"/>
          </w:tblCellMar>
        </w:tblPrEx>
        <w:trPr>
          <w:trHeight w:val="397" w:hRule="atLeast"/>
        </w:trPr>
        <w:tc>
          <w:tcPr>
            <w:tcW w:w="708" w:type="pct"/>
            <w:vMerge w:val="continue"/>
            <w:tcBorders>
              <w:top w:val="single" w:color="000000" w:sz="10"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489"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950"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产生速率（kg/h）</w:t>
            </w:r>
          </w:p>
        </w:tc>
        <w:tc>
          <w:tcPr>
            <w:tcW w:w="951"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产生量（t/a）</w:t>
            </w:r>
          </w:p>
        </w:tc>
        <w:tc>
          <w:tcPr>
            <w:tcW w:w="951"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产生速率（kg/h）</w:t>
            </w:r>
          </w:p>
        </w:tc>
        <w:tc>
          <w:tcPr>
            <w:tcW w:w="950" w:type="pct"/>
            <w:tcBorders>
              <w:top w:val="single" w:color="000000" w:sz="4"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产生量（t/a）</w:t>
            </w:r>
          </w:p>
        </w:tc>
      </w:tr>
      <w:tr>
        <w:tblPrEx>
          <w:tblCellMar>
            <w:top w:w="0" w:type="dxa"/>
            <w:left w:w="0" w:type="dxa"/>
            <w:bottom w:w="0" w:type="dxa"/>
            <w:right w:w="0" w:type="dxa"/>
          </w:tblCellMar>
        </w:tblPrEx>
        <w:trPr>
          <w:trHeight w:val="397" w:hRule="atLeast"/>
        </w:trPr>
        <w:tc>
          <w:tcPr>
            <w:tcW w:w="708" w:type="pct"/>
            <w:tcBorders>
              <w:top w:val="single" w:color="auto" w:sz="12"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固粪处理区</w:t>
            </w:r>
          </w:p>
        </w:tc>
        <w:tc>
          <w:tcPr>
            <w:tcW w:w="489"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2104</w:t>
            </w:r>
          </w:p>
        </w:tc>
        <w:tc>
          <w:tcPr>
            <w:tcW w:w="950"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0.0082</w:t>
            </w:r>
          </w:p>
        </w:tc>
        <w:tc>
          <w:tcPr>
            <w:tcW w:w="951"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0.072</w:t>
            </w:r>
          </w:p>
        </w:tc>
        <w:tc>
          <w:tcPr>
            <w:tcW w:w="951"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0.00036</w:t>
            </w:r>
          </w:p>
        </w:tc>
        <w:tc>
          <w:tcPr>
            <w:tcW w:w="950" w:type="pct"/>
            <w:tcBorders>
              <w:top w:val="single" w:color="auto" w:sz="12"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0.0032</w:t>
            </w:r>
          </w:p>
        </w:tc>
      </w:tr>
    </w:tbl>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环评要求建设单位必须采取除臭措施，措施如下：</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（1）定期对固粪处理区喷洒植物型除臭剂。</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（2）加强固粪处理区周围绿化。</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（3）固粪处理区设置为封闭阳光房，产生的恶臭气体经风机引入固粪处理区外部除臭器（过滤吸附除臭装置）进行处理。</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采取以上措施后除臭率为90%，固粪处理区恶臭产生及排放情况见表3.5-9。</w:t>
      </w:r>
    </w:p>
    <w:p>
      <w:pPr>
        <w:pStyle w:val="333"/>
        <w:spacing w:before="12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 xml:space="preserve">表3.5-9 </w:t>
      </w:r>
      <w:r>
        <w:rPr>
          <w:rFonts w:cs="Times New Roman"/>
          <w:color w:val="000000" w:themeColor="text1"/>
          <w14:textFill>
            <w14:solidFill>
              <w14:schemeClr w14:val="tx1"/>
            </w14:solidFill>
          </w14:textFill>
        </w:rPr>
        <w:t>项目固粪处理区恶臭气体排放量一览表</w:t>
      </w:r>
    </w:p>
    <w:tbl>
      <w:tblPr>
        <w:tblStyle w:val="53"/>
        <w:tblW w:w="5000" w:type="pct"/>
        <w:tblInd w:w="0" w:type="dxa"/>
        <w:tblLayout w:type="autofit"/>
        <w:tblCellMar>
          <w:top w:w="0" w:type="dxa"/>
          <w:left w:w="0" w:type="dxa"/>
          <w:bottom w:w="0" w:type="dxa"/>
          <w:right w:w="0" w:type="dxa"/>
        </w:tblCellMar>
      </w:tblPr>
      <w:tblGrid>
        <w:gridCol w:w="1257"/>
        <w:gridCol w:w="868"/>
        <w:gridCol w:w="1686"/>
        <w:gridCol w:w="1690"/>
        <w:gridCol w:w="1688"/>
        <w:gridCol w:w="1686"/>
      </w:tblGrid>
      <w:tr>
        <w:tblPrEx>
          <w:tblCellMar>
            <w:top w:w="0" w:type="dxa"/>
            <w:left w:w="0" w:type="dxa"/>
            <w:bottom w:w="0" w:type="dxa"/>
            <w:right w:w="0" w:type="dxa"/>
          </w:tblCellMar>
        </w:tblPrEx>
        <w:trPr>
          <w:trHeight w:val="397" w:hRule="atLeast"/>
        </w:trPr>
        <w:tc>
          <w:tcPr>
            <w:tcW w:w="708" w:type="pct"/>
            <w:vMerge w:val="restart"/>
            <w:tcBorders>
              <w:top w:val="single" w:color="auto" w:sz="12"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489" w:type="pct"/>
            <w:vMerge w:val="restart"/>
            <w:tcBorders>
              <w:top w:val="single" w:color="auto" w:sz="12" w:space="0"/>
              <w:left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去除率</w:t>
            </w:r>
          </w:p>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902" w:type="pct"/>
            <w:gridSpan w:val="2"/>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1901" w:type="pct"/>
            <w:gridSpan w:val="2"/>
            <w:tcBorders>
              <w:top w:val="single" w:color="auto" w:sz="12"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r>
      <w:tr>
        <w:tblPrEx>
          <w:tblCellMar>
            <w:top w:w="0" w:type="dxa"/>
            <w:left w:w="0" w:type="dxa"/>
            <w:bottom w:w="0" w:type="dxa"/>
            <w:right w:w="0" w:type="dxa"/>
          </w:tblCellMar>
        </w:tblPrEx>
        <w:trPr>
          <w:trHeight w:val="397" w:hRule="atLeast"/>
        </w:trPr>
        <w:tc>
          <w:tcPr>
            <w:tcW w:w="708" w:type="pct"/>
            <w:vMerge w:val="continue"/>
            <w:tcBorders>
              <w:top w:val="single" w:color="000000" w:sz="10"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489" w:type="pct"/>
            <w:vMerge w:val="continue"/>
            <w:tcBorders>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950"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排放速率（kg/h）</w:t>
            </w:r>
          </w:p>
        </w:tc>
        <w:tc>
          <w:tcPr>
            <w:tcW w:w="952"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排放量（t/a）</w:t>
            </w:r>
          </w:p>
        </w:tc>
        <w:tc>
          <w:tcPr>
            <w:tcW w:w="951"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排放速率（kg/h）</w:t>
            </w:r>
          </w:p>
        </w:tc>
        <w:tc>
          <w:tcPr>
            <w:tcW w:w="950" w:type="pct"/>
            <w:tcBorders>
              <w:top w:val="single" w:color="000000" w:sz="4"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排放量（t/a）</w:t>
            </w:r>
          </w:p>
        </w:tc>
      </w:tr>
      <w:tr>
        <w:tblPrEx>
          <w:tblCellMar>
            <w:top w:w="0" w:type="dxa"/>
            <w:left w:w="0" w:type="dxa"/>
            <w:bottom w:w="0" w:type="dxa"/>
            <w:right w:w="0" w:type="dxa"/>
          </w:tblCellMar>
        </w:tblPrEx>
        <w:trPr>
          <w:trHeight w:val="397" w:hRule="atLeast"/>
        </w:trPr>
        <w:tc>
          <w:tcPr>
            <w:tcW w:w="708" w:type="pct"/>
            <w:tcBorders>
              <w:top w:val="single" w:color="auto" w:sz="12"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固粪处理区</w:t>
            </w:r>
          </w:p>
        </w:tc>
        <w:tc>
          <w:tcPr>
            <w:tcW w:w="489"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90</w:t>
            </w:r>
          </w:p>
        </w:tc>
        <w:tc>
          <w:tcPr>
            <w:tcW w:w="950"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0.0008</w:t>
            </w:r>
          </w:p>
        </w:tc>
        <w:tc>
          <w:tcPr>
            <w:tcW w:w="952"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0.007</w:t>
            </w:r>
          </w:p>
        </w:tc>
        <w:tc>
          <w:tcPr>
            <w:tcW w:w="951"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0.00004</w:t>
            </w:r>
          </w:p>
        </w:tc>
        <w:tc>
          <w:tcPr>
            <w:tcW w:w="950" w:type="pct"/>
            <w:tcBorders>
              <w:top w:val="single" w:color="auto" w:sz="12"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0.0003</w:t>
            </w: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4、无害化处理过程产生的恶臭</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采用动物尸体无害化处理一体化设备处理病死猪，分切、绞碎、发酵、杀菌、干燥等工序均在处理机罐体内密闭进行，全程自动化控制，动物尸体在处理过程中，细菌会分解猪体内的有机成分，将氮和硫氧化成恶臭气体，由于加热会产生含恶臭气体的水蒸气。</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病死猪在无害化处理过程中产生的少量恶臭气体主要成分为NH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和H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通过抽风机将处理箱体内的水蒸气抽出，通过冷凝器、冷却水塔降温，最后通过洗涤塔杀菌并喷淋石灰水除臭，通过阻力球增加气体在洗涤塔内的通道长度和停留时间，喷淋的除臭液与冷却后的尾气反应最终实现达标排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福建省沙县环境监测站于2012年11月28日~29日对集辰（福建）农林发展有限公司“JCHN-FCW22 型畜禽养殖场有机废弃物处理机”处理病死猪过程中废气排放情况进行了监测，JCHN-FCW22型处理机单批次处理时间按48 h计，监测期间单批次处理病死猪量为1.52 t。监测结果显示尾气处理后的烟尘、二氧化硫、氮氧化物均未检出；氨（NH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）排放浓度最高值为3.998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，排放速率最高值为4.2×10</w:t>
      </w:r>
      <w:r>
        <w:rPr>
          <w:rFonts w:cs="Times New Roman"/>
          <w:color w:val="000000" w:themeColor="text1"/>
          <w:vertAlign w:val="superscript"/>
          <w14:textFill>
            <w14:solidFill>
              <w14:schemeClr w14:val="tx1"/>
            </w14:solidFill>
          </w14:textFill>
        </w:rPr>
        <w:t>-4</w:t>
      </w:r>
      <w:r>
        <w:rPr>
          <w:rFonts w:cs="Times New Roman"/>
          <w:color w:val="000000" w:themeColor="text1"/>
          <w14:textFill>
            <w14:solidFill>
              <w14:schemeClr w14:val="tx1"/>
            </w14:solidFill>
          </w14:textFill>
        </w:rPr>
        <w:t xml:space="preserve"> kg/h；硫化氢（H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S）排放浓度最高值为0.033 mg/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，排放速率最高值为3.5×10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 xml:space="preserve"> kg/h，均可满足《恶臭污染物排放标准》（GB14554-1993）二级排放限值要求。尾气经处理后每处理1 t病死猪约排放0.0133 kg 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和0.00011 kg 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本项目采用集辰（福建）农林发展有限公司同类无害化处理设备，且处理工艺和尾气处理措施相同，具有可类比性。本项目病死猪及母猪胎盘产生量为13.09 t/a，则无害化处理NH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和H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S排放量分别为0.00017 t/a和0.0000014 t/a。本项目无害化处理设备全年运行，病死猪一旦产生可及时处理，根据3.3.6小结无害化工艺介绍，尾气排放时间按10 h/d计，此设备为封闭式设备，产生的恶臭气体冷凝收集后经自带的喷淋除臭设备处理后经15 m高的排气筒排放，除臭效率60%，则无害化处理车间臭气排放情况见表3.5-10。</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表3.5-10 无害化处理车间恶臭气体排放情况</w:t>
      </w:r>
    </w:p>
    <w:tbl>
      <w:tblPr>
        <w:tblStyle w:val="53"/>
        <w:tblW w:w="5000" w:type="pct"/>
        <w:tblInd w:w="0" w:type="dxa"/>
        <w:tblLayout w:type="autofit"/>
        <w:tblCellMar>
          <w:top w:w="0" w:type="dxa"/>
          <w:left w:w="0" w:type="dxa"/>
          <w:bottom w:w="0" w:type="dxa"/>
          <w:right w:w="0" w:type="dxa"/>
        </w:tblCellMar>
      </w:tblPr>
      <w:tblGrid>
        <w:gridCol w:w="985"/>
        <w:gridCol w:w="1997"/>
        <w:gridCol w:w="857"/>
        <w:gridCol w:w="1425"/>
        <w:gridCol w:w="1143"/>
        <w:gridCol w:w="1289"/>
        <w:gridCol w:w="1179"/>
      </w:tblGrid>
      <w:tr>
        <w:tblPrEx>
          <w:tblCellMar>
            <w:top w:w="0" w:type="dxa"/>
            <w:left w:w="0" w:type="dxa"/>
            <w:bottom w:w="0" w:type="dxa"/>
            <w:right w:w="0" w:type="dxa"/>
          </w:tblCellMar>
        </w:tblPrEx>
        <w:trPr>
          <w:trHeight w:val="397" w:hRule="atLeast"/>
        </w:trPr>
        <w:tc>
          <w:tcPr>
            <w:tcW w:w="555" w:type="pct"/>
            <w:vMerge w:val="restart"/>
            <w:tcBorders>
              <w:top w:val="single" w:color="auto" w:sz="12"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1125" w:type="pct"/>
            <w:vMerge w:val="restart"/>
            <w:tcBorders>
              <w:top w:val="single" w:color="auto" w:sz="12" w:space="0"/>
              <w:left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处理措施</w:t>
            </w:r>
          </w:p>
        </w:tc>
        <w:tc>
          <w:tcPr>
            <w:tcW w:w="483" w:type="pct"/>
            <w:vMerge w:val="restart"/>
            <w:tcBorders>
              <w:top w:val="single" w:color="auto" w:sz="12" w:space="0"/>
              <w:left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方式</w:t>
            </w:r>
          </w:p>
        </w:tc>
        <w:tc>
          <w:tcPr>
            <w:tcW w:w="1447" w:type="pct"/>
            <w:gridSpan w:val="2"/>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1390" w:type="pct"/>
            <w:gridSpan w:val="2"/>
            <w:tcBorders>
              <w:top w:val="single" w:color="auto" w:sz="12"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r>
      <w:tr>
        <w:tblPrEx>
          <w:tblCellMar>
            <w:top w:w="0" w:type="dxa"/>
            <w:left w:w="0" w:type="dxa"/>
            <w:bottom w:w="0" w:type="dxa"/>
            <w:right w:w="0" w:type="dxa"/>
          </w:tblCellMar>
        </w:tblPrEx>
        <w:trPr>
          <w:trHeight w:val="397" w:hRule="atLeast"/>
        </w:trPr>
        <w:tc>
          <w:tcPr>
            <w:tcW w:w="555" w:type="pct"/>
            <w:vMerge w:val="continue"/>
            <w:tcBorders>
              <w:top w:val="single" w:color="000000" w:sz="10"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1125" w:type="pct"/>
            <w:vMerge w:val="continue"/>
            <w:tcBorders>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483" w:type="pct"/>
            <w:vMerge w:val="continue"/>
            <w:tcBorders>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803"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排放速率</w:t>
            </w:r>
          </w:p>
          <w:p>
            <w:pPr>
              <w:pStyle w:val="332"/>
              <w:rPr>
                <w:color w:val="000000" w:themeColor="text1"/>
                <w14:textFill>
                  <w14:solidFill>
                    <w14:schemeClr w14:val="tx1"/>
                  </w14:solidFill>
                </w14:textFill>
              </w:rPr>
            </w:pPr>
            <w:r>
              <w:rPr>
                <w:color w:val="000000" w:themeColor="text1"/>
                <w14:textFill>
                  <w14:solidFill>
                    <w14:schemeClr w14:val="tx1"/>
                  </w14:solidFill>
                </w14:textFill>
              </w:rPr>
              <w:t>（kg/h）</w:t>
            </w:r>
          </w:p>
        </w:tc>
        <w:tc>
          <w:tcPr>
            <w:tcW w:w="644"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（t/a）</w:t>
            </w:r>
          </w:p>
        </w:tc>
        <w:tc>
          <w:tcPr>
            <w:tcW w:w="726"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排放速率</w:t>
            </w:r>
          </w:p>
          <w:p>
            <w:pPr>
              <w:pStyle w:val="332"/>
              <w:rPr>
                <w:color w:val="000000" w:themeColor="text1"/>
                <w14:textFill>
                  <w14:solidFill>
                    <w14:schemeClr w14:val="tx1"/>
                  </w14:solidFill>
                </w14:textFill>
              </w:rPr>
            </w:pPr>
            <w:r>
              <w:rPr>
                <w:color w:val="000000" w:themeColor="text1"/>
                <w14:textFill>
                  <w14:solidFill>
                    <w14:schemeClr w14:val="tx1"/>
                  </w14:solidFill>
                </w14:textFill>
              </w:rPr>
              <w:t>（kg/h）</w:t>
            </w:r>
          </w:p>
        </w:tc>
        <w:tc>
          <w:tcPr>
            <w:tcW w:w="664" w:type="pct"/>
            <w:tcBorders>
              <w:top w:val="single" w:color="000000" w:sz="4"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（t/a）</w:t>
            </w:r>
          </w:p>
        </w:tc>
      </w:tr>
      <w:tr>
        <w:tblPrEx>
          <w:tblCellMar>
            <w:top w:w="0" w:type="dxa"/>
            <w:left w:w="0" w:type="dxa"/>
            <w:bottom w:w="0" w:type="dxa"/>
            <w:right w:w="0" w:type="dxa"/>
          </w:tblCellMar>
        </w:tblPrEx>
        <w:trPr>
          <w:trHeight w:val="397" w:hRule="atLeast"/>
        </w:trPr>
        <w:tc>
          <w:tcPr>
            <w:tcW w:w="555" w:type="pct"/>
            <w:tcBorders>
              <w:top w:val="single" w:color="auto" w:sz="12"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无害化处理设备</w:t>
            </w:r>
          </w:p>
        </w:tc>
        <w:tc>
          <w:tcPr>
            <w:tcW w:w="1125"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自带喷淋除臭装置，除臭效率60%</w:t>
            </w:r>
          </w:p>
        </w:tc>
        <w:tc>
          <w:tcPr>
            <w:tcW w:w="483"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803"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4.6×10</w:t>
            </w:r>
            <w:r>
              <w:rPr>
                <w:color w:val="000000" w:themeColor="text1"/>
                <w:vertAlign w:val="superscript"/>
                <w14:textFill>
                  <w14:solidFill>
                    <w14:schemeClr w14:val="tx1"/>
                  </w14:solidFill>
                </w14:textFill>
              </w:rPr>
              <w:t>-5</w:t>
            </w:r>
          </w:p>
        </w:tc>
        <w:tc>
          <w:tcPr>
            <w:tcW w:w="644"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0.00017</w:t>
            </w:r>
          </w:p>
        </w:tc>
        <w:tc>
          <w:tcPr>
            <w:tcW w:w="726"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3.8×10</w:t>
            </w:r>
            <w:r>
              <w:rPr>
                <w:color w:val="000000" w:themeColor="text1"/>
                <w:vertAlign w:val="superscript"/>
                <w14:textFill>
                  <w14:solidFill>
                    <w14:schemeClr w14:val="tx1"/>
                  </w14:solidFill>
                </w14:textFill>
              </w:rPr>
              <w:t>-7</w:t>
            </w:r>
          </w:p>
        </w:tc>
        <w:tc>
          <w:tcPr>
            <w:tcW w:w="664" w:type="pct"/>
            <w:tcBorders>
              <w:top w:val="single" w:color="auto" w:sz="12"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0.0000014</w:t>
            </w: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5、沼气发电机燃烧废气</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根据计算，本项目沼气产生量为38159.7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/a（夏季257.86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/d、其他季节185.26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/d），经气水分离、脱硫后用于沼气发电机燃烧发电，沼气发电机年运行480h。沼气发电机废气主要为烟尘、SO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、NOx。</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经类比，1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沼气燃烧后产生的废气量为7.96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，该发电机沼气燃烧废气量为30.38万m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/a（632.82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/h）。经类比，发电机沼气燃烧产生的废气中烟尘浓度≤5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，本次评价烟尘浓度按5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计，则烟尘产生量为0.0015 t/a；项目产生的沼气通过气水分离、脱硫后H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S浓度≤20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，本次评价H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S浓度按20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计，根据S元素平衡，沼气发电机废气中SO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产生量为0.0014 t/a，排放浓度为4.72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；根据《2006年全国氮氧化物排放统计技术要求》，沼气燃烧过程中NOx排放系数为5.0kg/10</w:t>
      </w:r>
      <w:r>
        <w:rPr>
          <w:rFonts w:cs="Times New Roman"/>
          <w:color w:val="000000" w:themeColor="text1"/>
          <w:vertAlign w:val="superscript"/>
          <w14:textFill>
            <w14:solidFill>
              <w14:schemeClr w14:val="tx1"/>
            </w14:solidFill>
          </w14:textFill>
        </w:rPr>
        <w:t>8</w:t>
      </w:r>
      <w:r>
        <w:rPr>
          <w:rFonts w:cs="Times New Roman"/>
          <w:color w:val="000000" w:themeColor="text1"/>
          <w14:textFill>
            <w14:solidFill>
              <w14:schemeClr w14:val="tx1"/>
            </w14:solidFill>
          </w14:textFill>
        </w:rPr>
        <w:t>KJ，沼气热值为23.4 MJ/m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，则本项目沼气燃烧NOx产生量为0.045 t/a，产生浓度为148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，沼气发电机尾气由15 m高的排气筒排放，废气排放浓度满足《大气污染物综合排放标准》（GB16297-1996）表2中大气污染物烟尘、二氧化硫、二级标准限值要求</w:t>
      </w:r>
      <w:r>
        <w:rPr>
          <w:rFonts w:hint="eastAsia" w:cs="Times New Roman"/>
          <w:color w:val="000000" w:themeColor="text1"/>
          <w14:textFill>
            <w14:solidFill>
              <w14:schemeClr w14:val="tx1"/>
            </w14:solidFill>
          </w14:textFill>
        </w:rPr>
        <w:t>；</w:t>
      </w:r>
      <w:r>
        <w:rPr>
          <w:rFonts w:cs="Times New Roman"/>
          <w:bCs/>
          <w:color w:val="000000" w:themeColor="text1"/>
          <w:szCs w:val="24"/>
          <w14:textFill>
            <w14:solidFill>
              <w14:schemeClr w14:val="tx1"/>
            </w14:solidFill>
          </w14:textFill>
        </w:rPr>
        <w:t>氮氧化物参照执行《车用压燃式、气体燃料点燃式发动机与汽车排气污染物排放限值及测量方法》（中国Ⅲ、Ⅳ、Ⅴ阶段）（GB17691—2005）中Ⅴ阶段标准</w:t>
      </w:r>
      <w:r>
        <w:rPr>
          <w:rFonts w:hint="eastAsia" w:cs="Times New Roman"/>
          <w:bCs/>
          <w:color w:val="000000" w:themeColor="text1"/>
          <w:szCs w:val="24"/>
          <w14:textFill>
            <w14:solidFill>
              <w14:schemeClr w14:val="tx1"/>
            </w14:solidFill>
          </w14:textFill>
        </w:rPr>
        <w:t>：</w:t>
      </w:r>
      <w:r>
        <w:rPr>
          <w:rFonts w:cs="Times New Roman"/>
          <w:color w:val="000000" w:themeColor="text1"/>
          <w14:textFill>
            <w14:solidFill>
              <w14:schemeClr w14:val="tx1"/>
            </w14:solidFill>
          </w14:textFill>
        </w:rPr>
        <w:t>2.0 g/kwh</w:t>
      </w:r>
      <w:r>
        <w:rPr>
          <w:rFonts w:cs="Times New Roman"/>
          <w:bCs/>
          <w:color w:val="000000" w:themeColor="text1"/>
          <w:szCs w:val="24"/>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沼气主要成分为甲烷，为清洁能源，沼气燃烧产生的污染物排放量较少，对环境影响很小，可以被环境接受。</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6、食堂油烟</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项目设有食堂，采用电能及液化石油气烹饪，在烹饪过程中会产生油烟。根据对餐饮企业的类比调查，目前人均日耗色拉油量约30 g，就餐人按30人计，该项目年耗色拉油量0.33 t。根据不同的烧炸工况，油的挥发量不同，按日进行烧炸工况5小时计，油的平均挥发量为总耗油量的2.83%，则油烟产生量约为9.06 kg/a。根据《饮食业油烟排放标准》（GB18483-2001）的要求食堂安装一台油烟净化装置，2个基准灶头，每个灶头排风量为2000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/h，处理效率大于60%，处理后其油烟量为3.62 kg/a，排放浓度为0.50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，处理后的油烟要求通过不低于房顶3 m的排气筒进行排放。满足《饮食业油烟排放标准》（GB18483-2001）标准。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本项目废气产污环节、污染控制项目、排放形式及污染治理设施见表3.5-11。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表3.5-11 项目废气产污环节、污染控制项目、排放形式及污染治理设施一览表</w:t>
      </w:r>
    </w:p>
    <w:p>
      <w:pPr>
        <w:kinsoku w:val="0"/>
        <w:overflowPunct w:val="0"/>
        <w:autoSpaceDE w:val="0"/>
        <w:autoSpaceDN w:val="0"/>
        <w:adjustRightInd w:val="0"/>
        <w:spacing w:before="9" w:line="240" w:lineRule="auto"/>
        <w:ind w:firstLine="0" w:firstLineChars="0"/>
        <w:jc w:val="left"/>
        <w:rPr>
          <w:rFonts w:cs="Times New Roman"/>
          <w:color w:val="000000" w:themeColor="text1"/>
          <w:kern w:val="0"/>
          <w:sz w:val="4"/>
          <w:szCs w:val="4"/>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825"/>
        <w:gridCol w:w="872"/>
        <w:gridCol w:w="999"/>
        <w:gridCol w:w="856"/>
        <w:gridCol w:w="714"/>
        <w:gridCol w:w="999"/>
        <w:gridCol w:w="2712"/>
        <w:gridCol w:w="898"/>
      </w:tblGrid>
      <w:tr>
        <w:tblPrEx>
          <w:tblCellMar>
            <w:top w:w="0" w:type="dxa"/>
            <w:left w:w="0" w:type="dxa"/>
            <w:bottom w:w="0" w:type="dxa"/>
            <w:right w:w="0" w:type="dxa"/>
          </w:tblCellMar>
        </w:tblPrEx>
        <w:trPr>
          <w:trHeight w:val="397" w:hRule="atLeast"/>
        </w:trPr>
        <w:tc>
          <w:tcPr>
            <w:tcW w:w="465" w:type="pct"/>
            <w:tcBorders>
              <w:top w:val="single" w:color="auto" w:sz="12"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生产</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单元</w:t>
            </w:r>
          </w:p>
        </w:tc>
        <w:tc>
          <w:tcPr>
            <w:tcW w:w="491"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废气产污环节</w:t>
            </w:r>
          </w:p>
        </w:tc>
        <w:tc>
          <w:tcPr>
            <w:tcW w:w="563"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污染控制项目</w:t>
            </w:r>
          </w:p>
        </w:tc>
        <w:tc>
          <w:tcPr>
            <w:tcW w:w="482"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方式</w:t>
            </w:r>
          </w:p>
        </w:tc>
        <w:tc>
          <w:tcPr>
            <w:tcW w:w="402"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排放口</w:t>
            </w:r>
          </w:p>
          <w:p>
            <w:pPr>
              <w:pStyle w:val="332"/>
              <w:rPr>
                <w:color w:val="000000" w:themeColor="text1"/>
                <w14:textFill>
                  <w14:solidFill>
                    <w14:schemeClr w14:val="tx1"/>
                  </w14:solidFill>
                </w14:textFill>
              </w:rPr>
            </w:pPr>
            <w:r>
              <w:rPr>
                <w:color w:val="000000" w:themeColor="text1"/>
                <w14:textFill>
                  <w14:solidFill>
                    <w14:schemeClr w14:val="tx1"/>
                  </w14:solidFill>
                </w14:textFill>
              </w:rPr>
              <w:t>类型</w:t>
            </w:r>
          </w:p>
        </w:tc>
        <w:tc>
          <w:tcPr>
            <w:tcW w:w="563"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执行排放标准</w:t>
            </w:r>
          </w:p>
        </w:tc>
        <w:tc>
          <w:tcPr>
            <w:tcW w:w="1528"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污染治理设施</w:t>
            </w:r>
          </w:p>
        </w:tc>
        <w:tc>
          <w:tcPr>
            <w:tcW w:w="506" w:type="pct"/>
            <w:tcBorders>
              <w:top w:val="single" w:color="auto" w:sz="12"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是否为可行技术</w:t>
            </w:r>
          </w:p>
        </w:tc>
      </w:tr>
      <w:tr>
        <w:tblPrEx>
          <w:tblCellMar>
            <w:top w:w="0" w:type="dxa"/>
            <w:left w:w="0" w:type="dxa"/>
            <w:bottom w:w="0" w:type="dxa"/>
            <w:right w:w="0" w:type="dxa"/>
          </w:tblCellMar>
        </w:tblPrEx>
        <w:trPr>
          <w:trHeight w:val="397" w:hRule="atLeast"/>
        </w:trPr>
        <w:tc>
          <w:tcPr>
            <w:tcW w:w="465" w:type="pct"/>
            <w:tcBorders>
              <w:top w:val="single" w:color="auto" w:sz="12"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491"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w:t>
            </w:r>
          </w:p>
        </w:tc>
        <w:tc>
          <w:tcPr>
            <w:tcW w:w="563"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恶臭</w:t>
            </w:r>
          </w:p>
        </w:tc>
        <w:tc>
          <w:tcPr>
            <w:tcW w:w="482"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402"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w:t>
            </w:r>
          </w:p>
        </w:tc>
        <w:tc>
          <w:tcPr>
            <w:tcW w:w="563"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GB18596-2001</w:t>
            </w:r>
          </w:p>
        </w:tc>
        <w:tc>
          <w:tcPr>
            <w:tcW w:w="1528" w:type="pct"/>
            <w:tcBorders>
              <w:top w:val="single" w:color="auto" w:sz="12" w:space="0"/>
              <w:left w:val="single" w:color="000000" w:sz="4" w:space="0"/>
              <w:bottom w:val="single" w:color="000000" w:sz="4" w:space="0"/>
              <w:right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控制饲养密度，全漏缝地板并及时清粪，喷洒除臭剂，饲料添加EM，加强通风，出风口处设置喷淋除臭网（共计22套）</w:t>
            </w:r>
          </w:p>
        </w:tc>
        <w:tc>
          <w:tcPr>
            <w:tcW w:w="506" w:type="pct"/>
            <w:tcBorders>
              <w:top w:val="single" w:color="auto" w:sz="12"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是</w:t>
            </w:r>
          </w:p>
        </w:tc>
      </w:tr>
      <w:tr>
        <w:tblPrEx>
          <w:tblCellMar>
            <w:top w:w="0" w:type="dxa"/>
            <w:left w:w="0" w:type="dxa"/>
            <w:bottom w:w="0" w:type="dxa"/>
            <w:right w:w="0" w:type="dxa"/>
          </w:tblCellMar>
        </w:tblPrEx>
        <w:trPr>
          <w:trHeight w:val="397" w:hRule="atLeast"/>
        </w:trPr>
        <w:tc>
          <w:tcPr>
            <w:tcW w:w="465"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污水处</w:t>
            </w:r>
          </w:p>
          <w:p>
            <w:pPr>
              <w:pStyle w:val="332"/>
              <w:rPr>
                <w:color w:val="000000" w:themeColor="text1"/>
                <w14:textFill>
                  <w14:solidFill>
                    <w14:schemeClr w14:val="tx1"/>
                  </w14:solidFill>
                </w14:textFill>
              </w:rPr>
            </w:pPr>
            <w:r>
              <w:rPr>
                <w:color w:val="000000" w:themeColor="text1"/>
                <w14:textFill>
                  <w14:solidFill>
                    <w14:schemeClr w14:val="tx1"/>
                  </w14:solidFill>
                </w14:textFill>
              </w:rPr>
              <w:t>理工程</w:t>
            </w:r>
          </w:p>
        </w:tc>
        <w:tc>
          <w:tcPr>
            <w:tcW w:w="49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spacing w:val="-11"/>
                <w14:textFill>
                  <w14:solidFill>
                    <w14:schemeClr w14:val="tx1"/>
                  </w14:solidFill>
                </w14:textFill>
              </w:rPr>
              <w:t>黑膜沼气池、沼</w:t>
            </w:r>
            <w:r>
              <w:rPr>
                <w:color w:val="000000" w:themeColor="text1"/>
                <w14:textFill>
                  <w14:solidFill>
                    <w14:schemeClr w14:val="tx1"/>
                  </w14:solidFill>
                </w14:textFill>
              </w:rPr>
              <w:t>液储存池</w:t>
            </w:r>
          </w:p>
        </w:tc>
        <w:tc>
          <w:tcPr>
            <w:tcW w:w="5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恶臭</w:t>
            </w:r>
          </w:p>
        </w:tc>
        <w:tc>
          <w:tcPr>
            <w:tcW w:w="48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40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w:t>
            </w:r>
          </w:p>
        </w:tc>
        <w:tc>
          <w:tcPr>
            <w:tcW w:w="5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GB18596-2001</w:t>
            </w:r>
          </w:p>
        </w:tc>
        <w:tc>
          <w:tcPr>
            <w:tcW w:w="1528" w:type="pct"/>
            <w:tcBorders>
              <w:top w:val="single" w:color="000000" w:sz="4" w:space="0"/>
              <w:left w:val="single" w:color="000000" w:sz="4" w:space="0"/>
              <w:bottom w:val="single" w:color="000000" w:sz="4" w:space="0"/>
              <w:right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黑膜沼气池密闭，定期喷洒除臭剂，</w:t>
            </w:r>
            <w:r>
              <w:rPr>
                <w:color w:val="000000" w:themeColor="text1"/>
                <w:spacing w:val="-3"/>
                <w14:textFill>
                  <w14:solidFill>
                    <w14:schemeClr w14:val="tx1"/>
                  </w14:solidFill>
                </w14:textFill>
              </w:rPr>
              <w:t>加强绿化</w:t>
            </w:r>
          </w:p>
        </w:tc>
        <w:tc>
          <w:tcPr>
            <w:tcW w:w="506"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是</w:t>
            </w:r>
          </w:p>
        </w:tc>
      </w:tr>
      <w:tr>
        <w:tblPrEx>
          <w:tblCellMar>
            <w:top w:w="0" w:type="dxa"/>
            <w:left w:w="0" w:type="dxa"/>
            <w:bottom w:w="0" w:type="dxa"/>
            <w:right w:w="0" w:type="dxa"/>
          </w:tblCellMar>
        </w:tblPrEx>
        <w:trPr>
          <w:trHeight w:val="397" w:hRule="atLeast"/>
        </w:trPr>
        <w:tc>
          <w:tcPr>
            <w:tcW w:w="465"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固体粪污处理工程</w:t>
            </w:r>
          </w:p>
        </w:tc>
        <w:tc>
          <w:tcPr>
            <w:tcW w:w="49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堆肥发酵</w:t>
            </w:r>
          </w:p>
        </w:tc>
        <w:tc>
          <w:tcPr>
            <w:tcW w:w="5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恶臭</w:t>
            </w:r>
          </w:p>
        </w:tc>
        <w:tc>
          <w:tcPr>
            <w:tcW w:w="48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40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w:t>
            </w:r>
          </w:p>
        </w:tc>
        <w:tc>
          <w:tcPr>
            <w:tcW w:w="5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GB18596-2001</w:t>
            </w:r>
          </w:p>
        </w:tc>
        <w:tc>
          <w:tcPr>
            <w:tcW w:w="1528" w:type="pct"/>
            <w:tcBorders>
              <w:top w:val="single" w:color="000000" w:sz="4" w:space="0"/>
              <w:left w:val="single" w:color="000000" w:sz="4" w:space="0"/>
              <w:bottom w:val="single" w:color="000000" w:sz="4" w:space="0"/>
              <w:right w:val="single" w:color="000000" w:sz="4" w:space="0"/>
            </w:tcBorders>
            <w:vAlign w:val="center"/>
          </w:tcPr>
          <w:p>
            <w:pPr>
              <w:pStyle w:val="332"/>
              <w:jc w:val="both"/>
              <w:rPr>
                <w:color w:val="000000" w:themeColor="text1"/>
                <w14:textFill>
                  <w14:solidFill>
                    <w14:schemeClr w14:val="tx1"/>
                  </w14:solidFill>
                </w14:textFill>
              </w:rPr>
            </w:pPr>
            <w:r>
              <w:rPr>
                <w:color w:val="000000" w:themeColor="text1"/>
                <w:lang w:bidi="en-US"/>
                <w14:textFill>
                  <w14:solidFill>
                    <w14:schemeClr w14:val="tx1"/>
                  </w14:solidFill>
                </w14:textFill>
              </w:rPr>
              <w:t>设置为封闭阳光房，</w:t>
            </w:r>
            <w:r>
              <w:rPr>
                <w:color w:val="000000" w:themeColor="text1"/>
                <w14:textFill>
                  <w14:solidFill>
                    <w14:schemeClr w14:val="tx1"/>
                  </w14:solidFill>
                </w14:textFill>
              </w:rPr>
              <w:t>加强通风，</w:t>
            </w:r>
            <w:r>
              <w:rPr>
                <w:color w:val="000000" w:themeColor="text1"/>
                <w:lang w:bidi="en-US"/>
                <w14:textFill>
                  <w14:solidFill>
                    <w14:schemeClr w14:val="tx1"/>
                  </w14:solidFill>
                </w14:textFill>
              </w:rPr>
              <w:t>出风口</w:t>
            </w:r>
            <w:r>
              <w:rPr>
                <w:color w:val="000000" w:themeColor="text1"/>
                <w14:textFill>
                  <w14:solidFill>
                    <w14:schemeClr w14:val="tx1"/>
                  </w14:solidFill>
                </w14:textFill>
              </w:rPr>
              <w:t>处设置喷淋除臭网，</w:t>
            </w:r>
            <w:r>
              <w:rPr>
                <w:color w:val="000000" w:themeColor="text1"/>
                <w:lang w:bidi="en-US"/>
                <w14:textFill>
                  <w14:solidFill>
                    <w14:schemeClr w14:val="tx1"/>
                  </w14:solidFill>
                </w14:textFill>
              </w:rPr>
              <w:t>喷洒除臭剂，</w:t>
            </w:r>
            <w:r>
              <w:rPr>
                <w:color w:val="000000" w:themeColor="text1"/>
                <w:spacing w:val="-3"/>
                <w14:textFill>
                  <w14:solidFill>
                    <w14:schemeClr w14:val="tx1"/>
                  </w14:solidFill>
                </w14:textFill>
              </w:rPr>
              <w:t>加强绿化</w:t>
            </w:r>
          </w:p>
        </w:tc>
        <w:tc>
          <w:tcPr>
            <w:tcW w:w="506"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是</w:t>
            </w:r>
          </w:p>
        </w:tc>
      </w:tr>
      <w:tr>
        <w:tblPrEx>
          <w:tblCellMar>
            <w:top w:w="0" w:type="dxa"/>
            <w:left w:w="0" w:type="dxa"/>
            <w:bottom w:w="0" w:type="dxa"/>
            <w:right w:w="0" w:type="dxa"/>
          </w:tblCellMar>
        </w:tblPrEx>
        <w:trPr>
          <w:trHeight w:val="397" w:hRule="atLeast"/>
        </w:trPr>
        <w:tc>
          <w:tcPr>
            <w:tcW w:w="465"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w:t>
            </w:r>
          </w:p>
        </w:tc>
        <w:tc>
          <w:tcPr>
            <w:tcW w:w="49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无害化处置过程</w:t>
            </w:r>
          </w:p>
        </w:tc>
        <w:tc>
          <w:tcPr>
            <w:tcW w:w="5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恶臭</w:t>
            </w:r>
          </w:p>
        </w:tc>
        <w:tc>
          <w:tcPr>
            <w:tcW w:w="48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40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一般排放口</w:t>
            </w:r>
          </w:p>
        </w:tc>
        <w:tc>
          <w:tcPr>
            <w:tcW w:w="5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GB18596-2001</w:t>
            </w:r>
          </w:p>
        </w:tc>
        <w:tc>
          <w:tcPr>
            <w:tcW w:w="1528" w:type="pct"/>
            <w:tcBorders>
              <w:top w:val="single" w:color="000000" w:sz="4" w:space="0"/>
              <w:left w:val="single" w:color="000000" w:sz="4" w:space="0"/>
              <w:bottom w:val="single" w:color="000000" w:sz="4" w:space="0"/>
              <w:right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自带喷淋除臭装置（洗涤塔喷淋石灰水），排气筒高15m</w:t>
            </w:r>
          </w:p>
        </w:tc>
        <w:tc>
          <w:tcPr>
            <w:tcW w:w="506"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是</w:t>
            </w:r>
          </w:p>
        </w:tc>
      </w:tr>
      <w:tr>
        <w:tblPrEx>
          <w:tblCellMar>
            <w:top w:w="0" w:type="dxa"/>
            <w:left w:w="0" w:type="dxa"/>
            <w:bottom w:w="0" w:type="dxa"/>
            <w:right w:w="0" w:type="dxa"/>
          </w:tblCellMar>
        </w:tblPrEx>
        <w:trPr>
          <w:trHeight w:val="397" w:hRule="atLeast"/>
        </w:trPr>
        <w:tc>
          <w:tcPr>
            <w:tcW w:w="465"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沼气发电机</w:t>
            </w:r>
          </w:p>
        </w:tc>
        <w:tc>
          <w:tcPr>
            <w:tcW w:w="49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沼气燃烧</w:t>
            </w:r>
          </w:p>
        </w:tc>
        <w:tc>
          <w:tcPr>
            <w:tcW w:w="5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烟尘、</w:t>
            </w:r>
            <w:r>
              <w:rPr>
                <w:color w:val="000000" w:themeColor="text1"/>
                <w:spacing w:val="-3"/>
                <w:position w:val="2"/>
                <w14:textFill>
                  <w14:solidFill>
                    <w14:schemeClr w14:val="tx1"/>
                  </w14:solidFill>
                </w14:textFill>
              </w:rPr>
              <w:t>SO</w:t>
            </w:r>
            <w:r>
              <w:rPr>
                <w:color w:val="000000" w:themeColor="text1"/>
                <w:spacing w:val="-3"/>
                <w:sz w:val="13"/>
                <w:szCs w:val="13"/>
                <w14:textFill>
                  <w14:solidFill>
                    <w14:schemeClr w14:val="tx1"/>
                  </w14:solidFill>
                </w14:textFill>
              </w:rPr>
              <w:t>2</w:t>
            </w:r>
            <w:r>
              <w:rPr>
                <w:color w:val="000000" w:themeColor="text1"/>
                <w:spacing w:val="-3"/>
                <w:position w:val="2"/>
                <w14:textFill>
                  <w14:solidFill>
                    <w14:schemeClr w14:val="tx1"/>
                  </w14:solidFill>
                </w14:textFill>
              </w:rPr>
              <w:t>、NO</w:t>
            </w:r>
            <w:r>
              <w:rPr>
                <w:color w:val="000000" w:themeColor="text1"/>
                <w:spacing w:val="-3"/>
                <w:sz w:val="13"/>
                <w:szCs w:val="13"/>
                <w14:textFill>
                  <w14:solidFill>
                    <w14:schemeClr w14:val="tx1"/>
                  </w14:solidFill>
                </w14:textFill>
              </w:rPr>
              <w:t>x</w:t>
            </w:r>
          </w:p>
        </w:tc>
        <w:tc>
          <w:tcPr>
            <w:tcW w:w="48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40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w:t>
            </w:r>
          </w:p>
        </w:tc>
        <w:tc>
          <w:tcPr>
            <w:tcW w:w="5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GB16297-1996</w:t>
            </w:r>
          </w:p>
        </w:tc>
        <w:tc>
          <w:tcPr>
            <w:tcW w:w="1528" w:type="pct"/>
            <w:tcBorders>
              <w:top w:val="single" w:color="000000" w:sz="4" w:space="0"/>
              <w:left w:val="single" w:color="000000" w:sz="4" w:space="0"/>
              <w:bottom w:val="single" w:color="000000" w:sz="4" w:space="0"/>
              <w:right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燃用脱水、脱硫后的沼气，排气筒高15m</w:t>
            </w:r>
          </w:p>
        </w:tc>
        <w:tc>
          <w:tcPr>
            <w:tcW w:w="506"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是</w:t>
            </w:r>
          </w:p>
        </w:tc>
      </w:tr>
      <w:tr>
        <w:tblPrEx>
          <w:tblCellMar>
            <w:top w:w="0" w:type="dxa"/>
            <w:left w:w="0" w:type="dxa"/>
            <w:bottom w:w="0" w:type="dxa"/>
            <w:right w:w="0" w:type="dxa"/>
          </w:tblCellMar>
        </w:tblPrEx>
        <w:trPr>
          <w:trHeight w:val="397" w:hRule="atLeast"/>
        </w:trPr>
        <w:tc>
          <w:tcPr>
            <w:tcW w:w="465" w:type="pct"/>
            <w:tcBorders>
              <w:top w:val="single" w:color="000000" w:sz="4"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食堂</w:t>
            </w:r>
          </w:p>
        </w:tc>
        <w:tc>
          <w:tcPr>
            <w:tcW w:w="491"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食堂</w:t>
            </w:r>
          </w:p>
        </w:tc>
        <w:tc>
          <w:tcPr>
            <w:tcW w:w="563"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油烟</w:t>
            </w:r>
          </w:p>
        </w:tc>
        <w:tc>
          <w:tcPr>
            <w:tcW w:w="482"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402"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一般排放口</w:t>
            </w:r>
          </w:p>
        </w:tc>
        <w:tc>
          <w:tcPr>
            <w:tcW w:w="563"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GB18432-2001</w:t>
            </w:r>
          </w:p>
        </w:tc>
        <w:tc>
          <w:tcPr>
            <w:tcW w:w="1528" w:type="pct"/>
            <w:tcBorders>
              <w:top w:val="single" w:color="000000" w:sz="4" w:space="0"/>
              <w:left w:val="single" w:color="000000" w:sz="4" w:space="0"/>
              <w:bottom w:val="single" w:color="auto" w:sz="12" w:space="0"/>
              <w:right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安装</w:t>
            </w:r>
            <w:r>
              <w:rPr>
                <w:color w:val="000000" w:themeColor="text1"/>
                <w:spacing w:val="-67"/>
                <w14:textFill>
                  <w14:solidFill>
                    <w14:schemeClr w14:val="tx1"/>
                  </w14:solidFill>
                </w14:textFill>
              </w:rPr>
              <w:t xml:space="preserve"> </w:t>
            </w:r>
            <w:r>
              <w:rPr>
                <w:color w:val="000000" w:themeColor="text1"/>
                <w14:textFill>
                  <w14:solidFill>
                    <w14:schemeClr w14:val="tx1"/>
                  </w14:solidFill>
                </w14:textFill>
              </w:rPr>
              <w:t>1台油烟净化</w:t>
            </w:r>
            <w:r>
              <w:rPr>
                <w:color w:val="000000" w:themeColor="text1"/>
                <w:w w:val="99"/>
                <w14:textFill>
                  <w14:solidFill>
                    <w14:schemeClr w14:val="tx1"/>
                  </w14:solidFill>
                </w14:textFill>
              </w:rPr>
              <w:t>器</w:t>
            </w:r>
          </w:p>
        </w:tc>
        <w:tc>
          <w:tcPr>
            <w:tcW w:w="506" w:type="pct"/>
            <w:tcBorders>
              <w:top w:val="single" w:color="000000" w:sz="4"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是</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3.5.2.2废水</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1、废水量</w:t>
      </w:r>
    </w:p>
    <w:p>
      <w:pPr>
        <w:ind w:firstLine="480"/>
        <w:rPr>
          <w:rFonts w:cs="Times New Roman"/>
          <w:color w:val="000000" w:themeColor="text1"/>
          <w:lang w:bidi="en-US"/>
          <w14:textFill>
            <w14:solidFill>
              <w14:schemeClr w14:val="tx1"/>
            </w14:solidFill>
          </w14:textFill>
        </w:rPr>
      </w:pPr>
      <w:r>
        <w:rPr>
          <w:rFonts w:cs="Times New Roman"/>
          <w:color w:val="000000" w:themeColor="text1"/>
          <w14:textFill>
            <w14:solidFill>
              <w14:schemeClr w14:val="tx1"/>
            </w14:solidFill>
          </w14:textFill>
        </w:rPr>
        <w:t>本项目废水主要为职工办公生活废水、养殖废水、</w:t>
      </w:r>
      <w:r>
        <w:rPr>
          <w:rFonts w:cs="Times New Roman"/>
          <w:color w:val="000000" w:themeColor="text1"/>
          <w:lang w:bidi="en-US"/>
          <w14:textFill>
            <w14:solidFill>
              <w14:schemeClr w14:val="tx1"/>
            </w14:solidFill>
          </w14:textFill>
        </w:rPr>
        <w:t>无害化设备冷凝水及堆肥发酵场滤液等；废水产生量见3.2.1.3小节，具体产生量见表3.5-12。</w:t>
      </w:r>
    </w:p>
    <w:p>
      <w:pPr>
        <w:pStyle w:val="333"/>
        <w:spacing w:before="12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表3.5-12 本项目废水产生量</w:t>
      </w: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2475"/>
        <w:gridCol w:w="1604"/>
        <w:gridCol w:w="1573"/>
        <w:gridCol w:w="2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366"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1753" w:type="pct"/>
            <w:gridSpan w:val="2"/>
            <w:tcBorders>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废水量</w:t>
            </w:r>
          </w:p>
        </w:tc>
        <w:tc>
          <w:tcPr>
            <w:tcW w:w="1407"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Merge w:val="continue"/>
            <w:tcBorders>
              <w:bottom w:val="single" w:color="auto" w:sz="12" w:space="0"/>
            </w:tcBorders>
            <w:vAlign w:val="center"/>
          </w:tcPr>
          <w:p>
            <w:pPr>
              <w:pStyle w:val="332"/>
              <w:widowControl w:val="0"/>
              <w:rPr>
                <w:color w:val="000000" w:themeColor="text1"/>
                <w14:textFill>
                  <w14:solidFill>
                    <w14:schemeClr w14:val="tx1"/>
                  </w14:solidFill>
                </w14:textFill>
              </w:rPr>
            </w:pPr>
          </w:p>
        </w:tc>
        <w:tc>
          <w:tcPr>
            <w:tcW w:w="1366" w:type="pct"/>
            <w:vMerge w:val="continue"/>
            <w:tcBorders>
              <w:bottom w:val="single" w:color="auto" w:sz="12" w:space="0"/>
            </w:tcBorders>
            <w:vAlign w:val="center"/>
          </w:tcPr>
          <w:p>
            <w:pPr>
              <w:pStyle w:val="332"/>
              <w:widowControl w:val="0"/>
              <w:rPr>
                <w:color w:val="000000" w:themeColor="text1"/>
                <w14:textFill>
                  <w14:solidFill>
                    <w14:schemeClr w14:val="tx1"/>
                  </w14:solidFill>
                </w14:textFill>
              </w:rPr>
            </w:pPr>
          </w:p>
        </w:tc>
        <w:tc>
          <w:tcPr>
            <w:tcW w:w="885" w:type="pct"/>
            <w:tcBorders>
              <w:top w:val="single" w:color="auto" w:sz="4"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m</w:t>
            </w:r>
            <w:r>
              <w:rPr>
                <w:color w:val="000000" w:themeColor="text1"/>
                <w:vertAlign w:val="superscript"/>
                <w:lang w:bidi="en-US"/>
                <w14:textFill>
                  <w14:solidFill>
                    <w14:schemeClr w14:val="tx1"/>
                  </w14:solidFill>
                </w14:textFill>
              </w:rPr>
              <w:t>3</w:t>
            </w:r>
            <w:r>
              <w:rPr>
                <w:color w:val="000000" w:themeColor="text1"/>
                <w:lang w:bidi="en-US"/>
                <w14:textFill>
                  <w14:solidFill>
                    <w14:schemeClr w14:val="tx1"/>
                  </w14:solidFill>
                </w14:textFill>
              </w:rPr>
              <w:t>/d</w:t>
            </w:r>
          </w:p>
        </w:tc>
        <w:tc>
          <w:tcPr>
            <w:tcW w:w="868" w:type="pct"/>
            <w:tcBorders>
              <w:top w:val="single" w:color="auto" w:sz="4"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1407" w:type="pct"/>
            <w:vMerge w:val="continue"/>
            <w:tcBorders>
              <w:bottom w:val="single" w:color="auto" w:sz="12" w:space="0"/>
            </w:tcBorders>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1366"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生活用水</w:t>
            </w:r>
          </w:p>
        </w:tc>
        <w:tc>
          <w:tcPr>
            <w:tcW w:w="885"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2.16</w:t>
            </w:r>
          </w:p>
        </w:tc>
        <w:tc>
          <w:tcPr>
            <w:tcW w:w="868"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788.4</w:t>
            </w:r>
          </w:p>
        </w:tc>
        <w:tc>
          <w:tcPr>
            <w:tcW w:w="1407"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1366"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猪尿液</w:t>
            </w:r>
          </w:p>
        </w:tc>
        <w:tc>
          <w:tcPr>
            <w:tcW w:w="88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69.44</w:t>
            </w:r>
          </w:p>
        </w:tc>
        <w:tc>
          <w:tcPr>
            <w:tcW w:w="868"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8600.9</w:t>
            </w:r>
          </w:p>
        </w:tc>
        <w:tc>
          <w:tcPr>
            <w:tcW w:w="140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夏季120天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1366" w:type="pct"/>
            <w:vMerge w:val="continue"/>
            <w:vAlign w:val="center"/>
          </w:tcPr>
          <w:p>
            <w:pPr>
              <w:pStyle w:val="332"/>
              <w:widowControl w:val="0"/>
              <w:rPr>
                <w:color w:val="000000" w:themeColor="text1"/>
                <w14:textFill>
                  <w14:solidFill>
                    <w14:schemeClr w14:val="tx1"/>
                  </w14:solidFill>
                </w14:textFill>
              </w:rPr>
            </w:pPr>
          </w:p>
        </w:tc>
        <w:tc>
          <w:tcPr>
            <w:tcW w:w="88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41.14</w:t>
            </w:r>
          </w:p>
        </w:tc>
        <w:tc>
          <w:tcPr>
            <w:tcW w:w="868" w:type="pct"/>
            <w:vMerge w:val="continue"/>
            <w:vAlign w:val="center"/>
          </w:tcPr>
          <w:p>
            <w:pPr>
              <w:pStyle w:val="332"/>
              <w:widowControl w:val="0"/>
              <w:rPr>
                <w:color w:val="000000" w:themeColor="text1"/>
                <w14:textFill>
                  <w14:solidFill>
                    <w14:schemeClr w14:val="tx1"/>
                  </w14:solidFill>
                </w14:textFill>
              </w:rPr>
            </w:pPr>
          </w:p>
        </w:tc>
        <w:tc>
          <w:tcPr>
            <w:tcW w:w="140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其他季节245天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Align w:val="center"/>
          </w:tcPr>
          <w:p>
            <w:pPr>
              <w:pStyle w:val="332"/>
              <w:widowControl w:val="0"/>
              <w:rPr>
                <w:color w:val="000000" w:themeColor="text1"/>
                <w:kern w:val="0"/>
                <w14:textFill>
                  <w14:solidFill>
                    <w14:schemeClr w14:val="tx1"/>
                  </w14:solidFill>
                </w14:textFill>
              </w:rPr>
            </w:pPr>
            <w:r>
              <w:rPr>
                <w:color w:val="000000" w:themeColor="text1"/>
                <w:kern w:val="0"/>
                <w14:textFill>
                  <w14:solidFill>
                    <w14:schemeClr w14:val="tx1"/>
                  </w14:solidFill>
                </w14:textFill>
              </w:rPr>
              <w:t>4</w:t>
            </w:r>
          </w:p>
        </w:tc>
        <w:tc>
          <w:tcPr>
            <w:tcW w:w="136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冲洗猪舍</w:t>
            </w:r>
          </w:p>
        </w:tc>
        <w:tc>
          <w:tcPr>
            <w:tcW w:w="88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3.74</w:t>
            </w:r>
          </w:p>
        </w:tc>
        <w:tc>
          <w:tcPr>
            <w:tcW w:w="86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1364.38</w:t>
            </w:r>
          </w:p>
        </w:tc>
        <w:tc>
          <w:tcPr>
            <w:tcW w:w="140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Align w:val="center"/>
          </w:tcPr>
          <w:p>
            <w:pPr>
              <w:pStyle w:val="332"/>
              <w:widowControl w:val="0"/>
              <w:rPr>
                <w:color w:val="000000" w:themeColor="text1"/>
                <w:kern w:val="0"/>
                <w:lang w:bidi="en-US"/>
                <w14:textFill>
                  <w14:solidFill>
                    <w14:schemeClr w14:val="tx1"/>
                  </w14:solidFill>
                </w14:textFill>
              </w:rPr>
            </w:pPr>
            <w:r>
              <w:rPr>
                <w:color w:val="000000" w:themeColor="text1"/>
                <w:kern w:val="0"/>
                <w:lang w:bidi="en-US"/>
                <w14:textFill>
                  <w14:solidFill>
                    <w14:schemeClr w14:val="tx1"/>
                  </w14:solidFill>
                </w14:textFill>
              </w:rPr>
              <w:t>5</w:t>
            </w:r>
          </w:p>
        </w:tc>
        <w:tc>
          <w:tcPr>
            <w:tcW w:w="136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分娩猪清洗</w:t>
            </w:r>
          </w:p>
        </w:tc>
        <w:tc>
          <w:tcPr>
            <w:tcW w:w="885"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0.099</w:t>
            </w:r>
          </w:p>
        </w:tc>
        <w:tc>
          <w:tcPr>
            <w:tcW w:w="868"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36.14</w:t>
            </w:r>
          </w:p>
        </w:tc>
        <w:tc>
          <w:tcPr>
            <w:tcW w:w="1407" w:type="pct"/>
            <w:vAlign w:val="center"/>
          </w:tcPr>
          <w:p>
            <w:pPr>
              <w:pStyle w:val="332"/>
              <w:widowControl w:val="0"/>
              <w:jc w:val="both"/>
              <w:rPr>
                <w:color w:val="000000" w:themeColor="text1"/>
                <w14:textFill>
                  <w14:solidFill>
                    <w14:schemeClr w14:val="tx1"/>
                  </w14:solidFill>
                </w14:textFill>
              </w:rPr>
            </w:pPr>
            <w:r>
              <w:rPr>
                <w:color w:val="000000" w:themeColor="text1"/>
                <w:kern w:val="0"/>
                <w:lang w:bidi="en-US"/>
                <w14:textFill>
                  <w14:solidFill>
                    <w14:schemeClr w14:val="tx1"/>
                  </w14:solidFill>
                </w14:textFill>
              </w:rPr>
              <w:t>每年分娩2.16次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w:t>
            </w:r>
          </w:p>
        </w:tc>
        <w:tc>
          <w:tcPr>
            <w:tcW w:w="136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器具清洗</w:t>
            </w:r>
          </w:p>
        </w:tc>
        <w:tc>
          <w:tcPr>
            <w:tcW w:w="885" w:type="pct"/>
            <w:vAlign w:val="center"/>
          </w:tcPr>
          <w:p>
            <w:pPr>
              <w:pStyle w:val="332"/>
              <w:widowControl w:val="0"/>
              <w:rPr>
                <w:color w:val="000000" w:themeColor="text1"/>
                <w14:textFill>
                  <w14:solidFill>
                    <w14:schemeClr w14:val="tx1"/>
                  </w14:solidFill>
                </w14:textFill>
              </w:rPr>
            </w:pPr>
            <w:r>
              <w:rPr>
                <w:color w:val="000000" w:themeColor="text1"/>
                <w:kern w:val="0"/>
                <w14:textFill>
                  <w14:solidFill>
                    <w14:schemeClr w14:val="tx1"/>
                  </w14:solidFill>
                </w14:textFill>
              </w:rPr>
              <w:t>2.16</w:t>
            </w:r>
          </w:p>
        </w:tc>
        <w:tc>
          <w:tcPr>
            <w:tcW w:w="868" w:type="pct"/>
            <w:vAlign w:val="center"/>
          </w:tcPr>
          <w:p>
            <w:pPr>
              <w:pStyle w:val="332"/>
              <w:widowControl w:val="0"/>
              <w:rPr>
                <w:color w:val="000000" w:themeColor="text1"/>
                <w14:textFill>
                  <w14:solidFill>
                    <w14:schemeClr w14:val="tx1"/>
                  </w14:solidFill>
                </w14:textFill>
              </w:rPr>
            </w:pPr>
            <w:r>
              <w:rPr>
                <w:color w:val="000000" w:themeColor="text1"/>
                <w:kern w:val="0"/>
                <w14:textFill>
                  <w14:solidFill>
                    <w14:schemeClr w14:val="tx1"/>
                  </w14:solidFill>
                </w14:textFill>
              </w:rPr>
              <w:t>788.4</w:t>
            </w:r>
          </w:p>
        </w:tc>
        <w:tc>
          <w:tcPr>
            <w:tcW w:w="140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7</w:t>
            </w:r>
          </w:p>
        </w:tc>
        <w:tc>
          <w:tcPr>
            <w:tcW w:w="136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无害化设备冷凝水</w:t>
            </w:r>
          </w:p>
        </w:tc>
        <w:tc>
          <w:tcPr>
            <w:tcW w:w="885"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0.017</w:t>
            </w:r>
          </w:p>
        </w:tc>
        <w:tc>
          <w:tcPr>
            <w:tcW w:w="868"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6.28</w:t>
            </w:r>
          </w:p>
        </w:tc>
        <w:tc>
          <w:tcPr>
            <w:tcW w:w="140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Align w:val="center"/>
          </w:tcPr>
          <w:p>
            <w:pPr>
              <w:pStyle w:val="332"/>
              <w:widowControl w:val="0"/>
              <w:rPr>
                <w:color w:val="000000" w:themeColor="text1"/>
                <w:lang w:bidi="en-US"/>
                <w14:textFill>
                  <w14:solidFill>
                    <w14:schemeClr w14:val="tx1"/>
                  </w14:solidFill>
                </w14:textFill>
              </w:rPr>
            </w:pPr>
            <w:r>
              <w:rPr>
                <w:color w:val="000000" w:themeColor="text1"/>
                <w:lang w:bidi="en-US"/>
                <w14:textFill>
                  <w14:solidFill>
                    <w14:schemeClr w14:val="tx1"/>
                  </w14:solidFill>
                </w14:textFill>
              </w:rPr>
              <w:t>8</w:t>
            </w:r>
          </w:p>
        </w:tc>
        <w:tc>
          <w:tcPr>
            <w:tcW w:w="136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堆肥发酵场滤液</w:t>
            </w:r>
          </w:p>
        </w:tc>
        <w:tc>
          <w:tcPr>
            <w:tcW w:w="885"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3.1</w:t>
            </w:r>
          </w:p>
        </w:tc>
        <w:tc>
          <w:tcPr>
            <w:tcW w:w="868" w:type="pct"/>
            <w:vAlign w:val="center"/>
          </w:tcPr>
          <w:p>
            <w:pPr>
              <w:pStyle w:val="332"/>
              <w:widowControl w:val="0"/>
              <w:rPr>
                <w:color w:val="000000" w:themeColor="text1"/>
                <w14:textFill>
                  <w14:solidFill>
                    <w14:schemeClr w14:val="tx1"/>
                  </w14:solidFill>
                </w14:textFill>
              </w:rPr>
            </w:pPr>
            <w:r>
              <w:rPr>
                <w:color w:val="000000" w:themeColor="text1"/>
                <w:lang w:bidi="en-US"/>
                <w14:textFill>
                  <w14:solidFill>
                    <w14:schemeClr w14:val="tx1"/>
                  </w14:solidFill>
                </w14:textFill>
              </w:rPr>
              <w:t>1135.4</w:t>
            </w:r>
          </w:p>
        </w:tc>
        <w:tc>
          <w:tcPr>
            <w:tcW w:w="140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36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夏季</w:t>
            </w:r>
          </w:p>
        </w:tc>
        <w:tc>
          <w:tcPr>
            <w:tcW w:w="885"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42.98</w:t>
            </w:r>
          </w:p>
        </w:tc>
        <w:tc>
          <w:tcPr>
            <w:tcW w:w="868"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12719.9</w:t>
            </w:r>
          </w:p>
        </w:tc>
        <w:tc>
          <w:tcPr>
            <w:tcW w:w="1407"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Merge w:val="continue"/>
            <w:vAlign w:val="center"/>
          </w:tcPr>
          <w:p>
            <w:pPr>
              <w:pStyle w:val="332"/>
              <w:widowControl w:val="0"/>
              <w:rPr>
                <w:color w:val="000000" w:themeColor="text1"/>
                <w14:textFill>
                  <w14:solidFill>
                    <w14:schemeClr w14:val="tx1"/>
                  </w14:solidFill>
                </w14:textFill>
              </w:rPr>
            </w:pPr>
          </w:p>
        </w:tc>
        <w:tc>
          <w:tcPr>
            <w:tcW w:w="136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其他季节</w:t>
            </w:r>
          </w:p>
        </w:tc>
        <w:tc>
          <w:tcPr>
            <w:tcW w:w="885"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30.88</w:t>
            </w:r>
          </w:p>
        </w:tc>
        <w:tc>
          <w:tcPr>
            <w:tcW w:w="868" w:type="pct"/>
            <w:vMerge w:val="continue"/>
            <w:vAlign w:val="center"/>
          </w:tcPr>
          <w:p>
            <w:pPr>
              <w:pStyle w:val="332"/>
              <w:widowControl w:val="0"/>
              <w:rPr>
                <w:color w:val="000000" w:themeColor="text1"/>
                <w14:textFill>
                  <w14:solidFill>
                    <w14:schemeClr w14:val="tx1"/>
                  </w14:solidFill>
                </w14:textFill>
              </w:rPr>
            </w:pPr>
          </w:p>
        </w:tc>
        <w:tc>
          <w:tcPr>
            <w:tcW w:w="1407" w:type="pct"/>
            <w:vMerge w:val="continue"/>
            <w:vAlign w:val="center"/>
          </w:tcPr>
          <w:p>
            <w:pPr>
              <w:pStyle w:val="332"/>
              <w:widowControl w:val="0"/>
              <w:rPr>
                <w:color w:val="000000" w:themeColor="text1"/>
                <w14:textFill>
                  <w14:solidFill>
                    <w14:schemeClr w14:val="tx1"/>
                  </w14:solidFill>
                </w14:textFill>
              </w:rPr>
            </w:pPr>
          </w:p>
        </w:tc>
      </w:tr>
    </w:tbl>
    <w:p>
      <w:pPr>
        <w:ind w:firstLine="480"/>
        <w:rPr>
          <w:rFonts w:cs="Times New Roman"/>
          <w:color w:val="000000" w:themeColor="text1"/>
          <w14:textFill>
            <w14:solidFill>
              <w14:schemeClr w14:val="tx1"/>
            </w14:solidFill>
          </w14:textFill>
        </w:rPr>
      </w:pPr>
      <w:r>
        <w:rPr>
          <w:rFonts w:cs="Times New Roman"/>
          <w:color w:val="000000" w:themeColor="text1"/>
          <w:lang w:bidi="en-US"/>
          <w14:textFill>
            <w14:solidFill>
              <w14:schemeClr w14:val="tx1"/>
            </w14:solidFill>
          </w14:textFill>
        </w:rPr>
        <w:t>项目建成后废水产生量约42.98 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/d（夏季）、30.88 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/d（其他季节），共计</w:t>
      </w:r>
      <w:r>
        <w:rPr>
          <w:rFonts w:cs="Times New Roman"/>
          <w:color w:val="000000" w:themeColor="text1"/>
          <w14:textFill>
            <w14:solidFill>
              <w14:schemeClr w14:val="tx1"/>
            </w14:solidFill>
          </w14:textFill>
        </w:rPr>
        <w:t>12719.9</w:t>
      </w:r>
      <w:r>
        <w:rPr>
          <w:rFonts w:cs="Times New Roman"/>
          <w:color w:val="000000" w:themeColor="text1"/>
          <w:lang w:bidi="en-US"/>
          <w14:textFill>
            <w14:solidFill>
              <w14:schemeClr w14:val="tx1"/>
            </w14:solidFill>
          </w14:textFill>
        </w:rPr>
        <w:t>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/a。</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2、废水排放情况</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项目职工办公生活废水、养殖废水、</w:t>
      </w:r>
      <w:r>
        <w:rPr>
          <w:rFonts w:cs="Times New Roman"/>
          <w:color w:val="000000" w:themeColor="text1"/>
          <w:lang w:bidi="en-US"/>
          <w14:textFill>
            <w14:solidFill>
              <w14:schemeClr w14:val="tx1"/>
            </w14:solidFill>
          </w14:textFill>
        </w:rPr>
        <w:t>无害化设备冷凝水及堆肥发酵场滤液</w:t>
      </w:r>
      <w:r>
        <w:rPr>
          <w:rFonts w:cs="Times New Roman"/>
          <w:color w:val="000000" w:themeColor="text1"/>
          <w14:textFill>
            <w14:solidFill>
              <w14:schemeClr w14:val="tx1"/>
            </w14:solidFill>
          </w14:textFill>
        </w:rPr>
        <w:t>全部进入黑膜沼气池进行处理，项目污水处理采用“预处理+厌氧处理”工艺，处理后的沼液用于周围农田施肥。项目废水主要污染物处理前后汇总表见表3.5-13。</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表3.5-13</w:t>
      </w:r>
      <w:r>
        <w:rPr>
          <w:rFonts w:eastAsia="TimesNewRomanPS-BoldMT" w:cs="Times New Roman"/>
          <w:bCs/>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项目废水主要污染物产生及排放情况一览表</w:t>
      </w:r>
    </w:p>
    <w:p>
      <w:pPr>
        <w:kinsoku w:val="0"/>
        <w:overflowPunct w:val="0"/>
        <w:autoSpaceDE w:val="0"/>
        <w:autoSpaceDN w:val="0"/>
        <w:adjustRightInd w:val="0"/>
        <w:spacing w:before="10" w:line="240" w:lineRule="auto"/>
        <w:ind w:firstLine="0" w:firstLineChars="0"/>
        <w:jc w:val="left"/>
        <w:rPr>
          <w:rFonts w:cs="Times New Roman"/>
          <w:color w:val="000000" w:themeColor="text1"/>
          <w:kern w:val="0"/>
          <w:sz w:val="3"/>
          <w:szCs w:val="3"/>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1413"/>
        <w:gridCol w:w="1855"/>
        <w:gridCol w:w="1106"/>
        <w:gridCol w:w="1106"/>
        <w:gridCol w:w="1106"/>
        <w:gridCol w:w="1108"/>
        <w:gridCol w:w="1181"/>
      </w:tblGrid>
      <w:tr>
        <w:tblPrEx>
          <w:tblCellMar>
            <w:top w:w="0" w:type="dxa"/>
            <w:left w:w="0" w:type="dxa"/>
            <w:bottom w:w="0" w:type="dxa"/>
            <w:right w:w="0" w:type="dxa"/>
          </w:tblCellMar>
        </w:tblPrEx>
        <w:trPr>
          <w:trHeight w:val="397" w:hRule="atLeast"/>
        </w:trPr>
        <w:tc>
          <w:tcPr>
            <w:tcW w:w="796" w:type="pct"/>
            <w:tcBorders>
              <w:top w:val="single" w:color="000000" w:sz="12" w:space="0"/>
              <w:left w:val="single" w:color="000000"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来源</w:t>
            </w:r>
          </w:p>
        </w:tc>
        <w:tc>
          <w:tcPr>
            <w:tcW w:w="1045" w:type="pct"/>
            <w:tcBorders>
              <w:top w:val="single" w:color="000000"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水量</w:t>
            </w:r>
          </w:p>
        </w:tc>
        <w:tc>
          <w:tcPr>
            <w:tcW w:w="623" w:type="pct"/>
            <w:tcBorders>
              <w:top w:val="single" w:color="000000"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623" w:type="pct"/>
            <w:tcBorders>
              <w:top w:val="single" w:color="000000"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position w:val="2"/>
                <w14:textFill>
                  <w14:solidFill>
                    <w14:schemeClr w14:val="tx1"/>
                  </w14:solidFill>
                </w14:textFill>
              </w:rPr>
              <w:t>BOD</w:t>
            </w:r>
            <w:r>
              <w:rPr>
                <w:color w:val="000000" w:themeColor="text1"/>
                <w:sz w:val="13"/>
                <w:szCs w:val="13"/>
                <w14:textFill>
                  <w14:solidFill>
                    <w14:schemeClr w14:val="tx1"/>
                  </w14:solidFill>
                </w14:textFill>
              </w:rPr>
              <w:t>5</w:t>
            </w:r>
          </w:p>
        </w:tc>
        <w:tc>
          <w:tcPr>
            <w:tcW w:w="623" w:type="pct"/>
            <w:tcBorders>
              <w:top w:val="single" w:color="000000"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SS</w:t>
            </w:r>
          </w:p>
        </w:tc>
        <w:tc>
          <w:tcPr>
            <w:tcW w:w="624" w:type="pct"/>
            <w:tcBorders>
              <w:top w:val="single" w:color="000000"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position w:val="2"/>
                <w14:textFill>
                  <w14:solidFill>
                    <w14:schemeClr w14:val="tx1"/>
                  </w14:solidFill>
                </w14:textFill>
              </w:rPr>
              <w:t>NH</w:t>
            </w:r>
            <w:r>
              <w:rPr>
                <w:color w:val="000000" w:themeColor="text1"/>
                <w:sz w:val="13"/>
                <w:szCs w:val="13"/>
                <w14:textFill>
                  <w14:solidFill>
                    <w14:schemeClr w14:val="tx1"/>
                  </w14:solidFill>
                </w14:textFill>
              </w:rPr>
              <w:t>3</w:t>
            </w:r>
            <w:r>
              <w:rPr>
                <w:color w:val="000000" w:themeColor="text1"/>
                <w:position w:val="2"/>
                <w14:textFill>
                  <w14:solidFill>
                    <w14:schemeClr w14:val="tx1"/>
                  </w14:solidFill>
                </w14:textFill>
              </w:rPr>
              <w:t>-N</w:t>
            </w:r>
          </w:p>
        </w:tc>
        <w:tc>
          <w:tcPr>
            <w:tcW w:w="665" w:type="pct"/>
            <w:tcBorders>
              <w:top w:val="single" w:color="000000" w:sz="12" w:space="0"/>
              <w:left w:val="single" w:color="000000" w:sz="4" w:space="0"/>
              <w:bottom w:val="single" w:color="auto" w:sz="12" w:space="0"/>
              <w:right w:val="single" w:color="000000"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去向</w:t>
            </w:r>
          </w:p>
        </w:tc>
      </w:tr>
      <w:tr>
        <w:tblPrEx>
          <w:tblCellMar>
            <w:top w:w="0" w:type="dxa"/>
            <w:left w:w="0" w:type="dxa"/>
            <w:bottom w:w="0" w:type="dxa"/>
            <w:right w:w="0" w:type="dxa"/>
          </w:tblCellMar>
        </w:tblPrEx>
        <w:trPr>
          <w:trHeight w:val="397" w:hRule="atLeast"/>
        </w:trPr>
        <w:tc>
          <w:tcPr>
            <w:tcW w:w="796" w:type="pct"/>
            <w:vMerge w:val="restart"/>
            <w:tcBorders>
              <w:top w:val="single" w:color="auto" w:sz="12"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活废水、养殖废水、无害化设备冷凝水及堆肥发酵场滤液12719.9</w:t>
            </w:r>
          </w:p>
          <w:p>
            <w:pPr>
              <w:pStyle w:val="332"/>
              <w:rPr>
                <w:color w:val="000000" w:themeColor="text1"/>
                <w14:textFill>
                  <w14:solidFill>
                    <w14:schemeClr w14:val="tx1"/>
                  </w14:solidFill>
                </w14:textFill>
              </w:rPr>
            </w:pPr>
            <w:r>
              <w:rPr>
                <w:color w:val="000000" w:themeColor="text1"/>
                <w14:textFill>
                  <w14:solidFill>
                    <w14:schemeClr w14:val="tx1"/>
                  </w14:solidFill>
                </w14:textFill>
              </w:rPr>
              <w:t>（m³/a）</w:t>
            </w:r>
          </w:p>
        </w:tc>
        <w:tc>
          <w:tcPr>
            <w:tcW w:w="1045"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产生浓度（mg/L）</w:t>
            </w:r>
          </w:p>
        </w:tc>
        <w:tc>
          <w:tcPr>
            <w:tcW w:w="623"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15000</w:t>
            </w:r>
          </w:p>
        </w:tc>
        <w:tc>
          <w:tcPr>
            <w:tcW w:w="623"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6000</w:t>
            </w:r>
          </w:p>
        </w:tc>
        <w:tc>
          <w:tcPr>
            <w:tcW w:w="623"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7800</w:t>
            </w:r>
          </w:p>
        </w:tc>
        <w:tc>
          <w:tcPr>
            <w:tcW w:w="624"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665" w:type="pct"/>
            <w:vMerge w:val="restart"/>
            <w:tcBorders>
              <w:top w:val="single" w:color="auto" w:sz="12" w:space="0"/>
              <w:left w:val="single" w:color="000000" w:sz="4" w:space="0"/>
              <w:bottom w:val="single" w:color="000000" w:sz="10"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处理后的沼液用于周围农田施肥；沼渣堆肥发酵后作为有机肥基料出售</w:t>
            </w:r>
          </w:p>
        </w:tc>
      </w:tr>
      <w:tr>
        <w:tblPrEx>
          <w:tblCellMar>
            <w:top w:w="0" w:type="dxa"/>
            <w:left w:w="0" w:type="dxa"/>
            <w:bottom w:w="0" w:type="dxa"/>
            <w:right w:w="0" w:type="dxa"/>
          </w:tblCellMar>
        </w:tblPrEx>
        <w:trPr>
          <w:trHeight w:val="397" w:hRule="atLeast"/>
        </w:trPr>
        <w:tc>
          <w:tcPr>
            <w:tcW w:w="796" w:type="pct"/>
            <w:vMerge w:val="continue"/>
            <w:tcBorders>
              <w:top w:val="single" w:color="000000" w:sz="4"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产生量（t/a）</w:t>
            </w:r>
          </w:p>
        </w:tc>
        <w:tc>
          <w:tcPr>
            <w:tcW w:w="62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190.80</w:t>
            </w:r>
          </w:p>
        </w:tc>
        <w:tc>
          <w:tcPr>
            <w:tcW w:w="62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76.32</w:t>
            </w:r>
          </w:p>
        </w:tc>
        <w:tc>
          <w:tcPr>
            <w:tcW w:w="62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99.22</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12.72</w:t>
            </w:r>
          </w:p>
        </w:tc>
        <w:tc>
          <w:tcPr>
            <w:tcW w:w="665" w:type="pct"/>
            <w:vMerge w:val="continue"/>
            <w:tcBorders>
              <w:top w:val="single" w:color="000000" w:sz="4" w:space="0"/>
              <w:left w:val="single" w:color="000000" w:sz="4" w:space="0"/>
              <w:bottom w:val="single" w:color="000000" w:sz="10" w:space="0"/>
              <w:right w:val="single" w:color="000000" w:sz="10"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796" w:type="pct"/>
            <w:vMerge w:val="continue"/>
            <w:tcBorders>
              <w:top w:val="single" w:color="000000" w:sz="4"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排放浓度（mg/L）</w:t>
            </w:r>
          </w:p>
        </w:tc>
        <w:tc>
          <w:tcPr>
            <w:tcW w:w="62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3000</w:t>
            </w:r>
          </w:p>
        </w:tc>
        <w:tc>
          <w:tcPr>
            <w:tcW w:w="62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1400</w:t>
            </w:r>
          </w:p>
        </w:tc>
        <w:tc>
          <w:tcPr>
            <w:tcW w:w="62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2000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900</w:t>
            </w:r>
          </w:p>
        </w:tc>
        <w:tc>
          <w:tcPr>
            <w:tcW w:w="665" w:type="pct"/>
            <w:vMerge w:val="continue"/>
            <w:tcBorders>
              <w:top w:val="single" w:color="000000" w:sz="4" w:space="0"/>
              <w:left w:val="single" w:color="000000" w:sz="4" w:space="0"/>
              <w:bottom w:val="single" w:color="000000" w:sz="10" w:space="0"/>
              <w:right w:val="single" w:color="000000" w:sz="10"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796" w:type="pct"/>
            <w:vMerge w:val="continue"/>
            <w:tcBorders>
              <w:top w:val="single" w:color="000000" w:sz="4"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p>
        </w:tc>
        <w:tc>
          <w:tcPr>
            <w:tcW w:w="104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排放量（t/a）</w:t>
            </w:r>
          </w:p>
        </w:tc>
        <w:tc>
          <w:tcPr>
            <w:tcW w:w="62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38.16</w:t>
            </w:r>
          </w:p>
        </w:tc>
        <w:tc>
          <w:tcPr>
            <w:tcW w:w="62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17.81</w:t>
            </w:r>
          </w:p>
        </w:tc>
        <w:tc>
          <w:tcPr>
            <w:tcW w:w="62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25.44</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11.45</w:t>
            </w:r>
          </w:p>
        </w:tc>
        <w:tc>
          <w:tcPr>
            <w:tcW w:w="665" w:type="pct"/>
            <w:vMerge w:val="continue"/>
            <w:tcBorders>
              <w:top w:val="single" w:color="000000" w:sz="4" w:space="0"/>
              <w:left w:val="single" w:color="000000" w:sz="4" w:space="0"/>
              <w:bottom w:val="single" w:color="000000" w:sz="10" w:space="0"/>
              <w:right w:val="single" w:color="000000" w:sz="10"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796" w:type="pct"/>
            <w:vMerge w:val="continue"/>
            <w:tcBorders>
              <w:top w:val="single" w:color="000000" w:sz="4"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p>
        </w:tc>
        <w:tc>
          <w:tcPr>
            <w:tcW w:w="1045"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去除效率</w:t>
            </w:r>
          </w:p>
        </w:tc>
        <w:tc>
          <w:tcPr>
            <w:tcW w:w="623"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80%</w:t>
            </w:r>
          </w:p>
        </w:tc>
        <w:tc>
          <w:tcPr>
            <w:tcW w:w="623"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76.7%</w:t>
            </w:r>
          </w:p>
        </w:tc>
        <w:tc>
          <w:tcPr>
            <w:tcW w:w="623"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74.4%</w:t>
            </w:r>
          </w:p>
        </w:tc>
        <w:tc>
          <w:tcPr>
            <w:tcW w:w="624"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665" w:type="pct"/>
            <w:vMerge w:val="continue"/>
            <w:tcBorders>
              <w:top w:val="single" w:color="000000" w:sz="4" w:space="0"/>
              <w:left w:val="single" w:color="000000" w:sz="4" w:space="0"/>
              <w:bottom w:val="single" w:color="000000" w:sz="10" w:space="0"/>
              <w:right w:val="single" w:color="000000" w:sz="10" w:space="0"/>
            </w:tcBorders>
            <w:vAlign w:val="center"/>
          </w:tcPr>
          <w:p>
            <w:pPr>
              <w:pStyle w:val="332"/>
              <w:rPr>
                <w:color w:val="000000" w:themeColor="text1"/>
                <w14:textFill>
                  <w14:solidFill>
                    <w14:schemeClr w14:val="tx1"/>
                  </w14:solidFill>
                </w14:textFill>
              </w:rPr>
            </w:pP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项目废水处理后产生的沼液用于农田施肥。沼液暂存于沼液储存池中，建设单位建一座沼液储存池（11170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），位于养殖场东侧，可满足非施肥期间沼液储存要求。沼液储存池采取素土压实+HDPE膜防渗处理措施。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项目废水产污环节、污染控制项目、排放形式及污染治理设施见下表。</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表3.5-14 项目废水产污环节、污染控制项目、排放形式及污染治理设施一览表</w:t>
      </w:r>
    </w:p>
    <w:tbl>
      <w:tblPr>
        <w:tblStyle w:val="53"/>
        <w:tblW w:w="5000" w:type="pct"/>
        <w:tblInd w:w="0" w:type="dxa"/>
        <w:tblLayout w:type="autofit"/>
        <w:tblCellMar>
          <w:top w:w="0" w:type="dxa"/>
          <w:left w:w="0" w:type="dxa"/>
          <w:bottom w:w="0" w:type="dxa"/>
          <w:right w:w="0" w:type="dxa"/>
        </w:tblCellMar>
      </w:tblPr>
      <w:tblGrid>
        <w:gridCol w:w="984"/>
        <w:gridCol w:w="2141"/>
        <w:gridCol w:w="999"/>
        <w:gridCol w:w="570"/>
        <w:gridCol w:w="714"/>
        <w:gridCol w:w="856"/>
        <w:gridCol w:w="1713"/>
        <w:gridCol w:w="898"/>
      </w:tblGrid>
      <w:tr>
        <w:tblPrEx>
          <w:tblCellMar>
            <w:top w:w="0" w:type="dxa"/>
            <w:left w:w="0" w:type="dxa"/>
            <w:bottom w:w="0" w:type="dxa"/>
            <w:right w:w="0" w:type="dxa"/>
          </w:tblCellMar>
        </w:tblPrEx>
        <w:trPr>
          <w:trHeight w:val="397" w:hRule="atLeast"/>
        </w:trPr>
        <w:tc>
          <w:tcPr>
            <w:tcW w:w="555" w:type="pct"/>
            <w:tcBorders>
              <w:top w:val="single" w:color="auto" w:sz="12"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废水类别</w:t>
            </w:r>
          </w:p>
        </w:tc>
        <w:tc>
          <w:tcPr>
            <w:tcW w:w="1206"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污染控制项目</w:t>
            </w:r>
          </w:p>
        </w:tc>
        <w:tc>
          <w:tcPr>
            <w:tcW w:w="563"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污水处理方式</w:t>
            </w:r>
          </w:p>
        </w:tc>
        <w:tc>
          <w:tcPr>
            <w:tcW w:w="321"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排放去向</w:t>
            </w:r>
          </w:p>
        </w:tc>
        <w:tc>
          <w:tcPr>
            <w:tcW w:w="402"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排放口类型</w:t>
            </w:r>
          </w:p>
        </w:tc>
        <w:tc>
          <w:tcPr>
            <w:tcW w:w="482"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执行排放标准</w:t>
            </w:r>
          </w:p>
        </w:tc>
        <w:tc>
          <w:tcPr>
            <w:tcW w:w="965"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污染治理设</w:t>
            </w:r>
            <w:r>
              <w:rPr>
                <w:color w:val="000000" w:themeColor="text1"/>
                <w:w w:val="99"/>
                <w14:textFill>
                  <w14:solidFill>
                    <w14:schemeClr w14:val="tx1"/>
                  </w14:solidFill>
                </w14:textFill>
              </w:rPr>
              <w:t>施</w:t>
            </w:r>
          </w:p>
        </w:tc>
        <w:tc>
          <w:tcPr>
            <w:tcW w:w="506" w:type="pct"/>
            <w:tcBorders>
              <w:top w:val="single" w:color="auto" w:sz="12"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是否为可</w:t>
            </w:r>
          </w:p>
          <w:p>
            <w:pPr>
              <w:pStyle w:val="332"/>
              <w:rPr>
                <w:color w:val="000000" w:themeColor="text1"/>
                <w14:textFill>
                  <w14:solidFill>
                    <w14:schemeClr w14:val="tx1"/>
                  </w14:solidFill>
                </w14:textFill>
              </w:rPr>
            </w:pPr>
            <w:r>
              <w:rPr>
                <w:color w:val="000000" w:themeColor="text1"/>
                <w14:textFill>
                  <w14:solidFill>
                    <w14:schemeClr w14:val="tx1"/>
                  </w14:solidFill>
                </w14:textFill>
              </w:rPr>
              <w:t>行技术</w:t>
            </w:r>
          </w:p>
        </w:tc>
      </w:tr>
      <w:tr>
        <w:tblPrEx>
          <w:tblCellMar>
            <w:top w:w="0" w:type="dxa"/>
            <w:left w:w="0" w:type="dxa"/>
            <w:bottom w:w="0" w:type="dxa"/>
            <w:right w:w="0" w:type="dxa"/>
          </w:tblCellMar>
        </w:tblPrEx>
        <w:trPr>
          <w:trHeight w:val="397" w:hRule="atLeast"/>
        </w:trPr>
        <w:tc>
          <w:tcPr>
            <w:tcW w:w="555" w:type="pct"/>
            <w:tcBorders>
              <w:top w:val="single" w:color="auto" w:sz="12"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spacing w:val="-9"/>
                <w14:textFill>
                  <w14:solidFill>
                    <w14:schemeClr w14:val="tx1"/>
                  </w14:solidFill>
                </w14:textFill>
              </w:rPr>
              <w:t>综合污水</w:t>
            </w:r>
          </w:p>
        </w:tc>
        <w:tc>
          <w:tcPr>
            <w:tcW w:w="1206"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spacing w:val="-9"/>
                <w:position w:val="2"/>
                <w14:textFill>
                  <w14:solidFill>
                    <w14:schemeClr w14:val="tx1"/>
                  </w14:solidFill>
                </w14:textFill>
              </w:rPr>
              <w:t>SS、COD、BOD</w:t>
            </w:r>
            <w:r>
              <w:rPr>
                <w:color w:val="000000" w:themeColor="text1"/>
                <w:spacing w:val="-9"/>
                <w:sz w:val="13"/>
                <w:szCs w:val="13"/>
                <w14:textFill>
                  <w14:solidFill>
                    <w14:schemeClr w14:val="tx1"/>
                  </w14:solidFill>
                </w14:textFill>
              </w:rPr>
              <w:t>5</w:t>
            </w:r>
            <w:r>
              <w:rPr>
                <w:color w:val="000000" w:themeColor="text1"/>
                <w:spacing w:val="-9"/>
                <w:position w:val="2"/>
                <w14:textFill>
                  <w14:solidFill>
                    <w14:schemeClr w14:val="tx1"/>
                  </w14:solidFill>
                </w14:textFill>
              </w:rPr>
              <w:t>、总氮</w:t>
            </w:r>
            <w:r>
              <w:rPr>
                <w:color w:val="000000" w:themeColor="text1"/>
                <w:spacing w:val="-8"/>
                <w:w w:val="95"/>
                <w14:textFill>
                  <w14:solidFill>
                    <w14:schemeClr w14:val="tx1"/>
                  </w14:solidFill>
                </w14:textFill>
              </w:rPr>
              <w:t>总磷、氨氮、粪大肠菌群</w:t>
            </w:r>
            <w:r>
              <w:rPr>
                <w:color w:val="000000" w:themeColor="text1"/>
                <w14:textFill>
                  <w14:solidFill>
                    <w14:schemeClr w14:val="tx1"/>
                  </w14:solidFill>
                </w14:textFill>
              </w:rPr>
              <w:t>数、蛔虫卵</w:t>
            </w:r>
          </w:p>
        </w:tc>
        <w:tc>
          <w:tcPr>
            <w:tcW w:w="563"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资源化利</w:t>
            </w:r>
            <w:r>
              <w:rPr>
                <w:color w:val="000000" w:themeColor="text1"/>
                <w:w w:val="99"/>
                <w14:textFill>
                  <w14:solidFill>
                    <w14:schemeClr w14:val="tx1"/>
                  </w14:solidFill>
                </w14:textFill>
              </w:rPr>
              <w:t>用</w:t>
            </w:r>
          </w:p>
        </w:tc>
        <w:tc>
          <w:tcPr>
            <w:tcW w:w="321"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w:t>
            </w:r>
          </w:p>
        </w:tc>
        <w:tc>
          <w:tcPr>
            <w:tcW w:w="402"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w:t>
            </w:r>
          </w:p>
        </w:tc>
        <w:tc>
          <w:tcPr>
            <w:tcW w:w="482"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w:t>
            </w:r>
          </w:p>
        </w:tc>
        <w:tc>
          <w:tcPr>
            <w:tcW w:w="965"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“预处理+厌氧处理（黑膜沼气池）” +沼液返田</w:t>
            </w:r>
          </w:p>
        </w:tc>
        <w:tc>
          <w:tcPr>
            <w:tcW w:w="506" w:type="pct"/>
            <w:tcBorders>
              <w:top w:val="single" w:color="auto" w:sz="12"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是</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3.5.2.3噪声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生产运营过程中的主要噪声源有风机、猪叫声、机械设备等，产生的噪声以机械性噪声为主，频谱特征大部分为以中低频，声级约70~85 dB（A）。具体见表3.5-15。</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表3.5-15</w:t>
      </w:r>
      <w:r>
        <w:rPr>
          <w:rFonts w:cs="Times New Roman"/>
          <w:bCs/>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主要产噪设备汇总表   单位：</w:t>
      </w:r>
      <w:r>
        <w:rPr>
          <w:rFonts w:cs="Times New Roman"/>
          <w:bCs/>
          <w:color w:val="000000" w:themeColor="text1"/>
          <w14:textFill>
            <w14:solidFill>
              <w14:schemeClr w14:val="tx1"/>
            </w14:solidFill>
          </w14:textFill>
        </w:rPr>
        <w:t>dB</w:t>
      </w:r>
      <w:r>
        <w:rPr>
          <w:rFonts w:cs="Times New Roman"/>
          <w:color w:val="000000" w:themeColor="text1"/>
          <w14:textFill>
            <w14:solidFill>
              <w14:schemeClr w14:val="tx1"/>
            </w14:solidFill>
          </w14:textFill>
        </w:rPr>
        <w:t>（</w:t>
      </w:r>
      <w:r>
        <w:rPr>
          <w:rFonts w:cs="Times New Roman"/>
          <w:bCs/>
          <w:color w:val="000000" w:themeColor="text1"/>
          <w14:textFill>
            <w14:solidFill>
              <w14:schemeClr w14:val="tx1"/>
            </w14:solidFill>
          </w14:textFill>
        </w:rPr>
        <w:t>A</w:t>
      </w:r>
      <w:r>
        <w:rPr>
          <w:rFonts w:cs="Times New Roman"/>
          <w:color w:val="000000" w:themeColor="text1"/>
          <w14:textFill>
            <w14:solidFill>
              <w14:schemeClr w14:val="tx1"/>
            </w14:solidFill>
          </w14:textFill>
        </w:rPr>
        <w:t>）</w:t>
      </w:r>
    </w:p>
    <w:p>
      <w:pPr>
        <w:kinsoku w:val="0"/>
        <w:overflowPunct w:val="0"/>
        <w:autoSpaceDE w:val="0"/>
        <w:autoSpaceDN w:val="0"/>
        <w:adjustRightInd w:val="0"/>
        <w:spacing w:before="9" w:line="240" w:lineRule="auto"/>
        <w:ind w:firstLine="0" w:firstLineChars="0"/>
        <w:jc w:val="left"/>
        <w:rPr>
          <w:rFonts w:cs="Times New Roman"/>
          <w:color w:val="000000" w:themeColor="text1"/>
          <w:kern w:val="0"/>
          <w:sz w:val="5"/>
          <w:szCs w:val="5"/>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1697"/>
        <w:gridCol w:w="1855"/>
        <w:gridCol w:w="856"/>
        <w:gridCol w:w="856"/>
        <w:gridCol w:w="2571"/>
        <w:gridCol w:w="1040"/>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95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噪声来源</w:t>
            </w:r>
          </w:p>
        </w:tc>
        <w:tc>
          <w:tcPr>
            <w:tcW w:w="1045"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种类</w:t>
            </w:r>
          </w:p>
        </w:tc>
        <w:tc>
          <w:tcPr>
            <w:tcW w:w="48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产生方式</w:t>
            </w:r>
          </w:p>
        </w:tc>
        <w:tc>
          <w:tcPr>
            <w:tcW w:w="48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源强</w:t>
            </w:r>
          </w:p>
        </w:tc>
        <w:tc>
          <w:tcPr>
            <w:tcW w:w="144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治理措施</w:t>
            </w:r>
          </w:p>
        </w:tc>
        <w:tc>
          <w:tcPr>
            <w:tcW w:w="58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排放源强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1045"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猪叫</w:t>
            </w:r>
          </w:p>
        </w:tc>
        <w:tc>
          <w:tcPr>
            <w:tcW w:w="48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间断</w:t>
            </w:r>
          </w:p>
        </w:tc>
        <w:tc>
          <w:tcPr>
            <w:tcW w:w="48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~85</w:t>
            </w:r>
          </w:p>
        </w:tc>
        <w:tc>
          <w:tcPr>
            <w:tcW w:w="1448"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厂房隔声</w:t>
            </w:r>
          </w:p>
        </w:tc>
        <w:tc>
          <w:tcPr>
            <w:tcW w:w="58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10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风机</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~85</w:t>
            </w:r>
          </w:p>
        </w:tc>
        <w:tc>
          <w:tcPr>
            <w:tcW w:w="14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厂房隔声、降噪</w:t>
            </w:r>
          </w:p>
        </w:tc>
        <w:tc>
          <w:tcPr>
            <w:tcW w:w="58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无害化处理车间</w:t>
            </w:r>
          </w:p>
        </w:tc>
        <w:tc>
          <w:tcPr>
            <w:tcW w:w="10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无害化处理设备</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~70</w:t>
            </w:r>
          </w:p>
        </w:tc>
        <w:tc>
          <w:tcPr>
            <w:tcW w:w="14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厂房隔声、降噪</w:t>
            </w:r>
          </w:p>
        </w:tc>
        <w:tc>
          <w:tcPr>
            <w:tcW w:w="586" w:type="pct"/>
            <w:vAlign w:val="center"/>
          </w:tcPr>
          <w:p>
            <w:pPr>
              <w:pStyle w:val="332"/>
              <w:rPr>
                <w:color w:val="000000" w:themeColor="text1"/>
                <w:sz w:val="17"/>
                <w:szCs w:val="17"/>
                <w14:textFill>
                  <w14:solidFill>
                    <w14:schemeClr w14:val="tx1"/>
                  </w14:solidFill>
                </w14:textFill>
              </w:rPr>
            </w:pPr>
          </w:p>
          <w:p>
            <w:pPr>
              <w:pStyle w:val="332"/>
              <w:rPr>
                <w:color w:val="000000" w:themeColor="text1"/>
                <w14:textFill>
                  <w14:solidFill>
                    <w14:schemeClr w14:val="tx1"/>
                  </w14:solidFill>
                </w14:textFill>
              </w:rPr>
            </w:pPr>
            <w:r>
              <w:rPr>
                <w:color w:val="000000" w:themeColor="text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发电机房</w:t>
            </w:r>
          </w:p>
        </w:tc>
        <w:tc>
          <w:tcPr>
            <w:tcW w:w="10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沼气发电机</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~70</w:t>
            </w:r>
          </w:p>
        </w:tc>
        <w:tc>
          <w:tcPr>
            <w:tcW w:w="14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厂房隔声、降噪</w:t>
            </w:r>
          </w:p>
        </w:tc>
        <w:tc>
          <w:tcPr>
            <w:tcW w:w="58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粪污治理区</w:t>
            </w:r>
          </w:p>
        </w:tc>
        <w:tc>
          <w:tcPr>
            <w:tcW w:w="10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水泵</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~85</w:t>
            </w:r>
          </w:p>
        </w:tc>
        <w:tc>
          <w:tcPr>
            <w:tcW w:w="14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低噪声设备、隔声、减振</w:t>
            </w:r>
          </w:p>
        </w:tc>
        <w:tc>
          <w:tcPr>
            <w:tcW w:w="58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场区</w:t>
            </w:r>
          </w:p>
        </w:tc>
        <w:tc>
          <w:tcPr>
            <w:tcW w:w="10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运输车辆</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间断</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w:t>
            </w:r>
          </w:p>
        </w:tc>
        <w:tc>
          <w:tcPr>
            <w:tcW w:w="14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限速、禁鸣</w:t>
            </w:r>
          </w:p>
        </w:tc>
        <w:tc>
          <w:tcPr>
            <w:tcW w:w="58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本工程降噪措施如下：</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从设备选型入手，设备定货时向设备制造企业提出噪声限值，必须选择低噪声的设备；</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要求给风机、粪污治理区水泵等产噪设备安装减震垫；各类通风机、泵类等产噪设备均设置于室内；</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t>在气动性噪声设备上安装相应的消声装置，如引风机加消声器；</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cs="Times New Roman"/>
          <w:color w:val="000000" w:themeColor="text1"/>
          <w14:textFill>
            <w14:solidFill>
              <w14:schemeClr w14:val="tx1"/>
            </w14:solidFill>
          </w14:textFill>
        </w:rPr>
        <w:t>对机械传动部件动态不平衡处认真进行平整调整；</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rFonts w:cs="Times New Roman"/>
          <w:color w:val="000000" w:themeColor="text1"/>
          <w14:textFill>
            <w14:solidFill>
              <w14:schemeClr w14:val="tx1"/>
            </w14:solidFill>
          </w14:textFill>
        </w:rPr>
        <w:t>对设备进行定期检修，加强润滑作用，保持设备良好的运转状态，尽量降低噪声；</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⑥</w:t>
      </w:r>
      <w:r>
        <w:rPr>
          <w:rFonts w:cs="Times New Roman"/>
          <w:color w:val="000000" w:themeColor="text1"/>
          <w14:textFill>
            <w14:solidFill>
              <w14:schemeClr w14:val="tx1"/>
            </w14:solidFill>
          </w14:textFill>
        </w:rPr>
        <w:t>在场区周围及场内加强绿化，充分利用建筑的边角孔隙土地及不规划土地进行绿化，场区绿化应结合场区与猪舍之间的隔离、遮荫及防风需要进行。可根据当地实际种植能美化环境、净化空气的树种和花草；</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⑦</w:t>
      </w:r>
      <w:r>
        <w:rPr>
          <w:rFonts w:cs="Times New Roman"/>
          <w:color w:val="000000" w:themeColor="text1"/>
          <w14:textFill>
            <w14:solidFill>
              <w14:schemeClr w14:val="tx1"/>
            </w14:solidFill>
          </w14:textFill>
        </w:rPr>
        <w:t>控制车辆行驶速度，加强场内车辆管理，禁止鸣笛，减小噪声排放。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在采取厂房屏蔽、选择低噪声设备、隔声、基础减震、限速、加强场区管理等措施后，不会对区域声环境造成影响。</w:t>
      </w:r>
    </w:p>
    <w:p>
      <w:pPr>
        <w:pStyle w:val="5"/>
        <w:rPr>
          <w:color w:val="000000" w:themeColor="text1"/>
          <w14:textFill>
            <w14:solidFill>
              <w14:schemeClr w14:val="tx1"/>
            </w14:solidFill>
          </w14:textFill>
        </w:rPr>
      </w:pPr>
      <w:r>
        <w:rPr>
          <w:color w:val="000000" w:themeColor="text1"/>
          <w14:textFill>
            <w14:solidFill>
              <w14:schemeClr w14:val="tx1"/>
            </w14:solidFill>
          </w14:textFill>
        </w:rPr>
        <w:t>3.5.2.4固体废物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本项目固体废物主要来源是猪粪、病死猪、母猪胎盘、沼渣、废脱硫剂、医疗垃圾及生活垃圾等。</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1、猪粪S1</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根据《规模畜禽养殖场污染防治最佳可行技术指南（试行）》（HJ-BAT-10），猪粪排泄量计算公式为：Y</w:t>
      </w:r>
      <w:r>
        <w:rPr>
          <w:rFonts w:cs="Times New Roman"/>
          <w:color w:val="000000" w:themeColor="text1"/>
          <w:vertAlign w:val="subscript"/>
          <w14:textFill>
            <w14:solidFill>
              <w14:schemeClr w14:val="tx1"/>
            </w14:solidFill>
          </w14:textFill>
        </w:rPr>
        <w:t>f</w:t>
      </w:r>
      <w:r>
        <w:rPr>
          <w:rFonts w:cs="Times New Roman"/>
          <w:color w:val="000000" w:themeColor="text1"/>
          <w14:textFill>
            <w14:solidFill>
              <w14:schemeClr w14:val="tx1"/>
            </w14:solidFill>
          </w14:textFill>
        </w:rPr>
        <w:t>=0.530F-0.049，式中，Y</w:t>
      </w:r>
      <w:r>
        <w:rPr>
          <w:rFonts w:cs="Times New Roman"/>
          <w:color w:val="000000" w:themeColor="text1"/>
          <w:vertAlign w:val="subscript"/>
          <w14:textFill>
            <w14:solidFill>
              <w14:schemeClr w14:val="tx1"/>
            </w14:solidFill>
          </w14:textFill>
        </w:rPr>
        <w:t>f</w:t>
      </w:r>
      <w:r>
        <w:rPr>
          <w:rFonts w:cs="Times New Roman"/>
          <w:color w:val="000000" w:themeColor="text1"/>
          <w14:textFill>
            <w14:solidFill>
              <w14:schemeClr w14:val="tx1"/>
            </w14:solidFill>
          </w14:textFill>
        </w:rPr>
        <w:t>为猪粪排泄量，F为饲料量。通过计算，项目猪粪产生情况见表3.5-16。</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表3.5-16 项目猪粪产生情况一览表</w:t>
      </w:r>
    </w:p>
    <w:p>
      <w:pPr>
        <w:kinsoku w:val="0"/>
        <w:overflowPunct w:val="0"/>
        <w:autoSpaceDE w:val="0"/>
        <w:autoSpaceDN w:val="0"/>
        <w:adjustRightInd w:val="0"/>
        <w:spacing w:before="6" w:line="240" w:lineRule="auto"/>
        <w:ind w:firstLine="0" w:firstLineChars="0"/>
        <w:jc w:val="left"/>
        <w:rPr>
          <w:rFonts w:cs="Times New Roman"/>
          <w:color w:val="000000" w:themeColor="text1"/>
          <w:kern w:val="0"/>
          <w:sz w:val="3"/>
          <w:szCs w:val="3"/>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990"/>
        <w:gridCol w:w="1260"/>
        <w:gridCol w:w="1963"/>
        <w:gridCol w:w="1873"/>
        <w:gridCol w:w="1369"/>
        <w:gridCol w:w="1420"/>
      </w:tblGrid>
      <w:tr>
        <w:tblPrEx>
          <w:tblCellMar>
            <w:top w:w="0" w:type="dxa"/>
            <w:left w:w="0" w:type="dxa"/>
            <w:bottom w:w="0" w:type="dxa"/>
            <w:right w:w="0" w:type="dxa"/>
          </w:tblCellMar>
        </w:tblPrEx>
        <w:trPr>
          <w:trHeight w:val="397" w:hRule="atLeast"/>
          <w:tblHeader/>
        </w:trPr>
        <w:tc>
          <w:tcPr>
            <w:tcW w:w="558" w:type="pct"/>
            <w:vMerge w:val="restart"/>
            <w:tcBorders>
              <w:top w:val="single" w:color="auto" w:sz="12"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710" w:type="pct"/>
            <w:vMerge w:val="restar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spacing w:val="-16"/>
                <w14:textFill>
                  <w14:solidFill>
                    <w14:schemeClr w14:val="tx1"/>
                  </w14:solidFill>
                </w14:textFill>
              </w:rPr>
              <w:t>存栏量（头）</w:t>
            </w:r>
          </w:p>
        </w:tc>
        <w:tc>
          <w:tcPr>
            <w:tcW w:w="1106" w:type="pct"/>
            <w:vMerge w:val="restar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饲料定额</w:t>
            </w:r>
          </w:p>
          <w:p>
            <w:pPr>
              <w:pStyle w:val="332"/>
              <w:rPr>
                <w:color w:val="000000" w:themeColor="text1"/>
                <w14:textFill>
                  <w14:solidFill>
                    <w14:schemeClr w14:val="tx1"/>
                  </w14:solidFill>
                </w14:textFill>
              </w:rPr>
            </w:pPr>
            <w:r>
              <w:rPr>
                <w:color w:val="000000" w:themeColor="text1"/>
                <w14:textFill>
                  <w14:solidFill>
                    <w14:schemeClr w14:val="tx1"/>
                  </w14:solidFill>
                </w14:textFill>
              </w:rPr>
              <w:t>（kg/头·d）</w:t>
            </w:r>
          </w:p>
        </w:tc>
        <w:tc>
          <w:tcPr>
            <w:tcW w:w="1055" w:type="pct"/>
            <w:vMerge w:val="restar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单头猪粪产生量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（kg/头·d）</w:t>
            </w:r>
          </w:p>
        </w:tc>
        <w:tc>
          <w:tcPr>
            <w:tcW w:w="1571" w:type="pct"/>
            <w:gridSpan w:val="2"/>
            <w:tcBorders>
              <w:top w:val="single" w:color="auto" w:sz="12"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猪粪产生量</w:t>
            </w:r>
          </w:p>
        </w:tc>
      </w:tr>
      <w:tr>
        <w:tblPrEx>
          <w:tblCellMar>
            <w:top w:w="0" w:type="dxa"/>
            <w:left w:w="0" w:type="dxa"/>
            <w:bottom w:w="0" w:type="dxa"/>
            <w:right w:w="0" w:type="dxa"/>
          </w:tblCellMar>
        </w:tblPrEx>
        <w:trPr>
          <w:trHeight w:val="397" w:hRule="atLeast"/>
          <w:tblHeader/>
        </w:trPr>
        <w:tc>
          <w:tcPr>
            <w:tcW w:w="558" w:type="pct"/>
            <w:vMerge w:val="continue"/>
            <w:tcBorders>
              <w:top w:val="single" w:color="000000" w:sz="10"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710"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1106"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1055"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771"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（t/d）</w:t>
            </w:r>
          </w:p>
        </w:tc>
        <w:tc>
          <w:tcPr>
            <w:tcW w:w="800" w:type="pct"/>
            <w:tcBorders>
              <w:top w:val="single" w:color="000000" w:sz="4"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（t/a）</w:t>
            </w:r>
          </w:p>
        </w:tc>
      </w:tr>
      <w:tr>
        <w:tblPrEx>
          <w:tblCellMar>
            <w:top w:w="0" w:type="dxa"/>
            <w:left w:w="0" w:type="dxa"/>
            <w:bottom w:w="0" w:type="dxa"/>
            <w:right w:w="0" w:type="dxa"/>
          </w:tblCellMar>
        </w:tblPrEx>
        <w:trPr>
          <w:trHeight w:val="397" w:hRule="atLeast"/>
        </w:trPr>
        <w:tc>
          <w:tcPr>
            <w:tcW w:w="558" w:type="pct"/>
            <w:tcBorders>
              <w:top w:val="single" w:color="auto" w:sz="12"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怀孕猪</w:t>
            </w:r>
          </w:p>
        </w:tc>
        <w:tc>
          <w:tcPr>
            <w:tcW w:w="710"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475</w:t>
            </w:r>
          </w:p>
        </w:tc>
        <w:tc>
          <w:tcPr>
            <w:tcW w:w="1106"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055"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1.28</w:t>
            </w:r>
          </w:p>
        </w:tc>
        <w:tc>
          <w:tcPr>
            <w:tcW w:w="771"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0.61</w:t>
            </w:r>
          </w:p>
        </w:tc>
        <w:tc>
          <w:tcPr>
            <w:tcW w:w="800" w:type="pct"/>
            <w:tcBorders>
              <w:top w:val="single" w:color="auto" w:sz="12"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221.23</w:t>
            </w:r>
          </w:p>
        </w:tc>
      </w:tr>
      <w:tr>
        <w:tblPrEx>
          <w:tblCellMar>
            <w:top w:w="0" w:type="dxa"/>
            <w:left w:w="0" w:type="dxa"/>
            <w:bottom w:w="0" w:type="dxa"/>
            <w:right w:w="0" w:type="dxa"/>
          </w:tblCellMar>
        </w:tblPrEx>
        <w:trPr>
          <w:trHeight w:val="397" w:hRule="atLeast"/>
        </w:trPr>
        <w:tc>
          <w:tcPr>
            <w:tcW w:w="558"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空怀母猪</w:t>
            </w:r>
          </w:p>
        </w:tc>
        <w:tc>
          <w:tcPr>
            <w:tcW w:w="71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10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05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1.28</w:t>
            </w:r>
          </w:p>
        </w:tc>
        <w:tc>
          <w:tcPr>
            <w:tcW w:w="77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0.03</w:t>
            </w:r>
          </w:p>
        </w:tc>
        <w:tc>
          <w:tcPr>
            <w:tcW w:w="800"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11.64</w:t>
            </w:r>
          </w:p>
        </w:tc>
      </w:tr>
      <w:tr>
        <w:tblPrEx>
          <w:tblCellMar>
            <w:top w:w="0" w:type="dxa"/>
            <w:left w:w="0" w:type="dxa"/>
            <w:bottom w:w="0" w:type="dxa"/>
            <w:right w:w="0" w:type="dxa"/>
          </w:tblCellMar>
        </w:tblPrEx>
        <w:trPr>
          <w:trHeight w:val="397" w:hRule="atLeast"/>
        </w:trPr>
        <w:tc>
          <w:tcPr>
            <w:tcW w:w="558"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哺乳猪</w:t>
            </w:r>
          </w:p>
        </w:tc>
        <w:tc>
          <w:tcPr>
            <w:tcW w:w="71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10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w:t>
            </w:r>
          </w:p>
        </w:tc>
        <w:tc>
          <w:tcPr>
            <w:tcW w:w="105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2.87</w:t>
            </w:r>
          </w:p>
        </w:tc>
        <w:tc>
          <w:tcPr>
            <w:tcW w:w="77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0.29</w:t>
            </w:r>
          </w:p>
        </w:tc>
        <w:tc>
          <w:tcPr>
            <w:tcW w:w="800"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104.61</w:t>
            </w:r>
          </w:p>
        </w:tc>
      </w:tr>
      <w:tr>
        <w:tblPrEx>
          <w:tblCellMar>
            <w:top w:w="0" w:type="dxa"/>
            <w:left w:w="0" w:type="dxa"/>
            <w:bottom w:w="0" w:type="dxa"/>
            <w:right w:w="0" w:type="dxa"/>
          </w:tblCellMar>
        </w:tblPrEx>
        <w:trPr>
          <w:trHeight w:val="397" w:hRule="atLeast"/>
        </w:trPr>
        <w:tc>
          <w:tcPr>
            <w:tcW w:w="558"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保育猪</w:t>
            </w:r>
          </w:p>
        </w:tc>
        <w:tc>
          <w:tcPr>
            <w:tcW w:w="71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1404</w:t>
            </w:r>
          </w:p>
        </w:tc>
        <w:tc>
          <w:tcPr>
            <w:tcW w:w="110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05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1.01</w:t>
            </w:r>
          </w:p>
        </w:tc>
        <w:tc>
          <w:tcPr>
            <w:tcW w:w="77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1.42</w:t>
            </w:r>
          </w:p>
        </w:tc>
        <w:tc>
          <w:tcPr>
            <w:tcW w:w="800"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518.10</w:t>
            </w:r>
          </w:p>
        </w:tc>
      </w:tr>
      <w:tr>
        <w:tblPrEx>
          <w:tblCellMar>
            <w:top w:w="0" w:type="dxa"/>
            <w:left w:w="0" w:type="dxa"/>
            <w:bottom w:w="0" w:type="dxa"/>
            <w:right w:w="0" w:type="dxa"/>
          </w:tblCellMar>
        </w:tblPrEx>
        <w:trPr>
          <w:trHeight w:val="397" w:hRule="atLeast"/>
        </w:trPr>
        <w:tc>
          <w:tcPr>
            <w:tcW w:w="558"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育肥猪</w:t>
            </w:r>
          </w:p>
        </w:tc>
        <w:tc>
          <w:tcPr>
            <w:tcW w:w="71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1465</w:t>
            </w:r>
          </w:p>
        </w:tc>
        <w:tc>
          <w:tcPr>
            <w:tcW w:w="110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05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1.01</w:t>
            </w:r>
          </w:p>
        </w:tc>
        <w:tc>
          <w:tcPr>
            <w:tcW w:w="77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1.48</w:t>
            </w:r>
          </w:p>
        </w:tc>
        <w:tc>
          <w:tcPr>
            <w:tcW w:w="800"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540.61</w:t>
            </w:r>
          </w:p>
        </w:tc>
      </w:tr>
      <w:tr>
        <w:tblPrEx>
          <w:tblCellMar>
            <w:top w:w="0" w:type="dxa"/>
            <w:left w:w="0" w:type="dxa"/>
            <w:bottom w:w="0" w:type="dxa"/>
            <w:right w:w="0" w:type="dxa"/>
          </w:tblCellMar>
        </w:tblPrEx>
        <w:trPr>
          <w:trHeight w:val="397" w:hRule="atLeast"/>
        </w:trPr>
        <w:tc>
          <w:tcPr>
            <w:tcW w:w="558"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后备猪及公猪</w:t>
            </w:r>
          </w:p>
        </w:tc>
        <w:tc>
          <w:tcPr>
            <w:tcW w:w="71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227</w:t>
            </w:r>
          </w:p>
        </w:tc>
        <w:tc>
          <w:tcPr>
            <w:tcW w:w="110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05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1.28</w:t>
            </w:r>
          </w:p>
        </w:tc>
        <w:tc>
          <w:tcPr>
            <w:tcW w:w="77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0.29</w:t>
            </w:r>
          </w:p>
        </w:tc>
        <w:tc>
          <w:tcPr>
            <w:tcW w:w="800"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105.72</w:t>
            </w:r>
          </w:p>
        </w:tc>
      </w:tr>
      <w:tr>
        <w:tblPrEx>
          <w:tblCellMar>
            <w:top w:w="0" w:type="dxa"/>
            <w:left w:w="0" w:type="dxa"/>
            <w:bottom w:w="0" w:type="dxa"/>
            <w:right w:w="0" w:type="dxa"/>
          </w:tblCellMar>
        </w:tblPrEx>
        <w:trPr>
          <w:trHeight w:val="397" w:hRule="atLeast"/>
        </w:trPr>
        <w:tc>
          <w:tcPr>
            <w:tcW w:w="3429" w:type="pct"/>
            <w:gridSpan w:val="4"/>
            <w:tcBorders>
              <w:top w:val="single" w:color="000000" w:sz="4"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771"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4.11</w:t>
            </w:r>
          </w:p>
        </w:tc>
        <w:tc>
          <w:tcPr>
            <w:tcW w:w="800" w:type="pct"/>
            <w:tcBorders>
              <w:top w:val="single" w:color="000000" w:sz="4"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1501.91</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猪粪及猪尿等废水混合后经固液分离机处理，其中猪粪90%被分离出来，10%进入黑膜沼气池进行厌氧反应，被固液分离机分离出的猪粪量为1351.7 t/a（3.7 t/d）。</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2、病死猪、母猪胎盘S2</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1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病死猪</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由于养殖场采用科学化管理与养殖，病死猪产生量很小。根据目前规模化养殖场的管理水平，出现病死猪的几率和数量较低。类比现有规模化养殖场生产情况，评价按表3.5-17中死亡率及重量计。</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表3.5-17 项目各类猪死亡率及平均重量一览表</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1760"/>
        <w:gridCol w:w="1596"/>
        <w:gridCol w:w="1708"/>
        <w:gridCol w:w="1983"/>
        <w:gridCol w:w="1828"/>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99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种类</w:t>
            </w:r>
          </w:p>
        </w:tc>
        <w:tc>
          <w:tcPr>
            <w:tcW w:w="89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平均死亡率</w:t>
            </w:r>
          </w:p>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96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平均重量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（kg/头）</w:t>
            </w:r>
          </w:p>
        </w:tc>
        <w:tc>
          <w:tcPr>
            <w:tcW w:w="111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病死猪产生数</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（头/a）</w:t>
            </w:r>
          </w:p>
        </w:tc>
        <w:tc>
          <w:tcPr>
            <w:tcW w:w="103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病死猪产生重量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9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母猪</w:t>
            </w:r>
          </w:p>
        </w:tc>
        <w:tc>
          <w:tcPr>
            <w:tcW w:w="899"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96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11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030" w:type="pct"/>
            <w:tcBorders>
              <w:top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9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哺乳阶段</w:t>
            </w:r>
            <w:r>
              <w:rPr>
                <w:color w:val="000000" w:themeColor="text1"/>
                <w:lang w:bidi="en-US"/>
                <w14:textFill>
                  <w14:solidFill>
                    <w14:schemeClr w14:val="tx1"/>
                  </w14:solidFill>
                </w14:textFill>
              </w:rPr>
              <w:t>仔猪</w:t>
            </w:r>
          </w:p>
        </w:tc>
        <w:tc>
          <w:tcPr>
            <w:tcW w:w="89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96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111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354</w:t>
            </w:r>
          </w:p>
        </w:tc>
        <w:tc>
          <w:tcPr>
            <w:tcW w:w="1030"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0.35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9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保育猪</w:t>
            </w:r>
          </w:p>
        </w:tc>
        <w:tc>
          <w:tcPr>
            <w:tcW w:w="89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96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11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1030"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9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育肥猪</w:t>
            </w:r>
          </w:p>
        </w:tc>
        <w:tc>
          <w:tcPr>
            <w:tcW w:w="89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96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50</w:t>
            </w:r>
          </w:p>
        </w:tc>
        <w:tc>
          <w:tcPr>
            <w:tcW w:w="111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130</w:t>
            </w:r>
          </w:p>
        </w:tc>
        <w:tc>
          <w:tcPr>
            <w:tcW w:w="1030"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9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899" w:type="pct"/>
            <w:vAlign w:val="center"/>
          </w:tcPr>
          <w:p>
            <w:pPr>
              <w:pStyle w:val="332"/>
              <w:rPr>
                <w:color w:val="000000" w:themeColor="text1"/>
                <w14:textFill>
                  <w14:solidFill>
                    <w14:schemeClr w14:val="tx1"/>
                  </w14:solidFill>
                </w14:textFill>
              </w:rPr>
            </w:pPr>
          </w:p>
        </w:tc>
        <w:tc>
          <w:tcPr>
            <w:tcW w:w="962" w:type="pct"/>
            <w:vAlign w:val="center"/>
          </w:tcPr>
          <w:p>
            <w:pPr>
              <w:pStyle w:val="332"/>
              <w:rPr>
                <w:color w:val="000000" w:themeColor="text1"/>
                <w14:textFill>
                  <w14:solidFill>
                    <w14:schemeClr w14:val="tx1"/>
                  </w14:solidFill>
                </w14:textFill>
              </w:rPr>
            </w:pPr>
          </w:p>
        </w:tc>
        <w:tc>
          <w:tcPr>
            <w:tcW w:w="1117" w:type="pct"/>
            <w:vAlign w:val="center"/>
          </w:tcPr>
          <w:p>
            <w:pPr>
              <w:pStyle w:val="332"/>
              <w:rPr>
                <w:color w:val="000000" w:themeColor="text1"/>
                <w14:textFill>
                  <w14:solidFill>
                    <w14:schemeClr w14:val="tx1"/>
                  </w14:solidFill>
                </w14:textFill>
              </w:rPr>
            </w:pPr>
          </w:p>
        </w:tc>
        <w:tc>
          <w:tcPr>
            <w:tcW w:w="1030"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10.5</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2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母猪胎盘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母猪在生育过程中会产生一定量的胎盘，每头母猪生育产生胎盘量约为2 kg/次，</w:t>
      </w:r>
      <w:r>
        <w:rPr>
          <w:rFonts w:cs="Times New Roman"/>
          <w:color w:val="000000" w:themeColor="text1"/>
          <w:lang w:bidi="en-US"/>
          <w14:textFill>
            <w14:solidFill>
              <w14:schemeClr w14:val="tx1"/>
            </w14:solidFill>
          </w14:textFill>
        </w:rPr>
        <w:t>年产胎次2.16，</w:t>
      </w:r>
      <w:r>
        <w:rPr>
          <w:rFonts w:cs="Times New Roman"/>
          <w:color w:val="000000" w:themeColor="text1"/>
          <w14:textFill>
            <w14:solidFill>
              <w14:schemeClr w14:val="tx1"/>
            </w14:solidFill>
          </w14:textFill>
        </w:rPr>
        <w:t>全场产生量约为2.59 t/a。场区设病死猪无害化处置间，病死猪一经产生立即送无害化处理车间处置。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照《关于进一步加强病死动物无害化处理监管工作的通知》（农医发[2012]12号）的要求，由动物卫生监督机构承担病死动物及动物产品无害化处理的监管责任，按照《病死及病害动物无害化处理技术规范》（农医发[2017]25号）的有关要求进行无害化处理。拟建项目病死猪及母猪胎盘年产生量为13.09 t/a，本项目病死猪处理间主要设1台处理能力为1.3 t/d的无害化处理设备，可以随时对病死猪等有机废弃物进行无害化高速处理，完全分解成粉状有机肥料，处理能力可满足项目需求，处理过程中产生的固体残渣约1.3 t/a。</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3、医疗垃圾S3</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项目在进行猪疫病防治等过程中使用一定量的兽药、疫苗、消毒剂等，这些防疫卫生药品使用过程中将产生的</w:t>
      </w:r>
      <w:r>
        <w:rPr>
          <w:rFonts w:cs="Times New Roman"/>
          <w:color w:val="000000" w:themeColor="text1"/>
          <w:lang w:bidi="en-US"/>
          <w14:textFill>
            <w14:solidFill>
              <w14:schemeClr w14:val="tx1"/>
            </w14:solidFill>
          </w14:textFill>
        </w:rPr>
        <w:t>967.25</w:t>
      </w:r>
      <w:r>
        <w:rPr>
          <w:rFonts w:cs="Times New Roman"/>
          <w:color w:val="000000" w:themeColor="text1"/>
          <w14:textFill>
            <w14:solidFill>
              <w14:schemeClr w14:val="tx1"/>
            </w14:solidFill>
          </w14:textFill>
        </w:rPr>
        <w:t>材料和容器等医疗废物，每头猪防疫产生医疗垃圾量为0.005 kg/a，全场产生量约为0.075 t/a。</w:t>
      </w:r>
      <w:r>
        <w:rPr>
          <w:rFonts w:cs="Times New Roman"/>
          <w:color w:val="000000" w:themeColor="text1"/>
          <w:lang w:bidi="en-US"/>
          <w14:textFill>
            <w14:solidFill>
              <w14:schemeClr w14:val="tx1"/>
            </w14:solidFill>
          </w14:textFill>
        </w:rPr>
        <w:t>根据《国家危险废物名录》（2021版）属于HW01医疗废物，废物代码为900-005-01。为防治动物传染病而需要收集和处置的废物，危险性为T（毒性）。本项目设置独立的医疗废物暂存间</w:t>
      </w:r>
      <w:r>
        <w:rPr>
          <w:rFonts w:cs="Times New Roman"/>
          <w:color w:val="000000" w:themeColor="text1"/>
          <w14:textFill>
            <w14:solidFill>
              <w14:schemeClr w14:val="tx1"/>
            </w14:solidFill>
          </w14:textFill>
        </w:rPr>
        <w:t>（10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r>
        <w:rPr>
          <w:rFonts w:cs="Times New Roman"/>
          <w:color w:val="000000" w:themeColor="text1"/>
          <w:lang w:bidi="en-US"/>
          <w14:textFill>
            <w14:solidFill>
              <w14:schemeClr w14:val="tx1"/>
            </w14:solidFill>
          </w14:textFill>
        </w:rPr>
        <w:t>，建设单位要安排专人建立危险废物收集存放及处理台账，定期委托有资质的单位处置。</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4、沼渣S4</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本项目未经固液分离机分离出的小颗粒固体粪便随废水进入黑膜沼气池进行厌氧发酵，粪便中干物质在厌氧反应阶段约50%转化为沼渣，30%转化成沼液，20%被降解，沼渣含水率按90%考虑。</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沼渣产生量=1501.91×10%×50%÷（1-90%）=750.95 t/a（2.06 t/d）。</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畜禽养殖业污染治理工程技术规范》（HJ497－2009），评价要求：黑膜沼气池长边设置排泥管，通过池内液位压力，将沼渣泵送至固液分离机，经固液分离机分离出的废水由管道进入黑膜沼气池，排出的沼渣经沼固液分离后与粪便一起进行堆肥，堆肥后作为有机肥基料外售。</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5、废脱硫剂S5</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项目采用干法对沼气中硫化氢进行去除，沼气通过氧化铁等构成的填料层，使硫化氢氧化成单质硫或硫氧化物。根据《沼气常温氧化铁脱硫催化剂的研制》（武汉工程大学学报2010.07）可知：常温下，理论上每100 g活性氧化铁一次可吸收脱除57.5 g硫化氢气体。本项目沼气产生量为38159.7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/a，硫化氢的吸收量约14.3 kg/a，则废脱硫剂产生量约为0.039 t/a，沼气脱硫装置中失去活性的废脱硫剂收集后交由生产厂家回收。</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6、生活垃圾S7</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本项目劳动定30人，人均生活垃圾的产生量按照0.5 kg/d计算，则生活垃圾的产生量为5.48 t/a，收集后交由环卫部门处理。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拟建项目固体废物产生及排放情况见表3.5-18。</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表3.5-18 项目固体废物产生及排放情况一览表</w:t>
      </w:r>
    </w:p>
    <w:p>
      <w:pPr>
        <w:kinsoku w:val="0"/>
        <w:overflowPunct w:val="0"/>
        <w:autoSpaceDE w:val="0"/>
        <w:autoSpaceDN w:val="0"/>
        <w:adjustRightInd w:val="0"/>
        <w:spacing w:before="1" w:line="240" w:lineRule="auto"/>
        <w:ind w:firstLine="0" w:firstLineChars="0"/>
        <w:jc w:val="left"/>
        <w:rPr>
          <w:rFonts w:cs="Times New Roman"/>
          <w:color w:val="000000" w:themeColor="text1"/>
          <w:kern w:val="0"/>
          <w:sz w:val="7"/>
          <w:szCs w:val="7"/>
          <w14:textFill>
            <w14:solidFill>
              <w14:schemeClr w14:val="tx1"/>
            </w14:solidFill>
          </w14:textFill>
        </w:rPr>
      </w:pPr>
    </w:p>
    <w:tbl>
      <w:tblPr>
        <w:tblStyle w:val="53"/>
        <w:tblW w:w="9061" w:type="dxa"/>
        <w:tblInd w:w="114"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535"/>
        <w:gridCol w:w="1416"/>
        <w:gridCol w:w="1039"/>
        <w:gridCol w:w="992"/>
        <w:gridCol w:w="851"/>
        <w:gridCol w:w="1134"/>
        <w:gridCol w:w="309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5"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416"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产生工段</w:t>
            </w:r>
          </w:p>
        </w:tc>
        <w:tc>
          <w:tcPr>
            <w:tcW w:w="1039"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992"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产生量</w:t>
            </w:r>
          </w:p>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（t/a）</w:t>
            </w:r>
          </w:p>
        </w:tc>
        <w:tc>
          <w:tcPr>
            <w:tcW w:w="851"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134"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固废性质</w:t>
            </w:r>
          </w:p>
        </w:tc>
        <w:tc>
          <w:tcPr>
            <w:tcW w:w="3094"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处理措施</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5" w:type="dxa"/>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16" w:type="dxa"/>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1039" w:type="dxa"/>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猪粪</w:t>
            </w:r>
          </w:p>
        </w:tc>
        <w:tc>
          <w:tcPr>
            <w:tcW w:w="992" w:type="dxa"/>
            <w:tcBorders>
              <w:top w:val="single" w:color="auto" w:sz="12"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1351.7</w:t>
            </w:r>
          </w:p>
        </w:tc>
        <w:tc>
          <w:tcPr>
            <w:tcW w:w="851" w:type="dxa"/>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34" w:type="dxa"/>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3094" w:type="dxa"/>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好氧堆肥处置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5"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141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黑膜沼气池</w:t>
            </w:r>
          </w:p>
        </w:tc>
        <w:tc>
          <w:tcPr>
            <w:tcW w:w="103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沼渣</w:t>
            </w:r>
          </w:p>
        </w:tc>
        <w:tc>
          <w:tcPr>
            <w:tcW w:w="992" w:type="dxa"/>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750.95</w:t>
            </w:r>
          </w:p>
        </w:tc>
        <w:tc>
          <w:tcPr>
            <w:tcW w:w="851"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3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309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好氧堆肥处置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5"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141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养殖过程</w:t>
            </w:r>
          </w:p>
        </w:tc>
        <w:tc>
          <w:tcPr>
            <w:tcW w:w="103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病死猪、母猪胎盘</w:t>
            </w:r>
          </w:p>
        </w:tc>
        <w:tc>
          <w:tcPr>
            <w:tcW w:w="992"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13.09</w:t>
            </w:r>
          </w:p>
        </w:tc>
        <w:tc>
          <w:tcPr>
            <w:tcW w:w="851"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3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309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无害化处理后作有机肥</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5"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141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无害化过程</w:t>
            </w:r>
          </w:p>
        </w:tc>
        <w:tc>
          <w:tcPr>
            <w:tcW w:w="103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固体残渣</w:t>
            </w:r>
          </w:p>
        </w:tc>
        <w:tc>
          <w:tcPr>
            <w:tcW w:w="992"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1.3</w:t>
            </w:r>
          </w:p>
        </w:tc>
        <w:tc>
          <w:tcPr>
            <w:tcW w:w="851"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3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309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好氧堆肥处置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5"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141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疾病防疫</w:t>
            </w:r>
          </w:p>
        </w:tc>
        <w:tc>
          <w:tcPr>
            <w:tcW w:w="103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医疗废物</w:t>
            </w:r>
          </w:p>
        </w:tc>
        <w:tc>
          <w:tcPr>
            <w:tcW w:w="992" w:type="dxa"/>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0.075</w:t>
            </w:r>
          </w:p>
        </w:tc>
        <w:tc>
          <w:tcPr>
            <w:tcW w:w="851"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3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3094" w:type="dxa"/>
            <w:vAlign w:val="center"/>
          </w:tcPr>
          <w:p>
            <w:pPr>
              <w:pStyle w:val="332"/>
              <w:rPr>
                <w:color w:val="000000" w:themeColor="text1"/>
                <w:highlight w:val="yellow"/>
                <w14:textFill>
                  <w14:solidFill>
                    <w14:schemeClr w14:val="tx1"/>
                  </w14:solidFill>
                </w14:textFill>
              </w:rPr>
            </w:pPr>
            <w:r>
              <w:rPr>
                <w:color w:val="000000" w:themeColor="text1"/>
                <w:spacing w:val="-2"/>
                <w14:textFill>
                  <w14:solidFill>
                    <w14:schemeClr w14:val="tx1"/>
                  </w14:solidFill>
                </w14:textFill>
              </w:rPr>
              <w:t>暂存于医疗废物暂存间，定期交由有</w:t>
            </w:r>
            <w:r>
              <w:rPr>
                <w:color w:val="000000" w:themeColor="text1"/>
                <w14:textFill>
                  <w14:solidFill>
                    <w14:schemeClr w14:val="tx1"/>
                  </w14:solidFill>
                </w14:textFill>
              </w:rPr>
              <w:t>资质的单位处置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5"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w:t>
            </w:r>
          </w:p>
        </w:tc>
        <w:tc>
          <w:tcPr>
            <w:tcW w:w="141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沼气脱硫装置</w:t>
            </w:r>
          </w:p>
        </w:tc>
        <w:tc>
          <w:tcPr>
            <w:tcW w:w="103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废脱硫剂</w:t>
            </w:r>
          </w:p>
        </w:tc>
        <w:tc>
          <w:tcPr>
            <w:tcW w:w="992" w:type="dxa"/>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0.039</w:t>
            </w:r>
          </w:p>
        </w:tc>
        <w:tc>
          <w:tcPr>
            <w:tcW w:w="851"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3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309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由生产厂家统一回收处置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5"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w:t>
            </w:r>
          </w:p>
        </w:tc>
        <w:tc>
          <w:tcPr>
            <w:tcW w:w="141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职工生活</w:t>
            </w:r>
          </w:p>
        </w:tc>
        <w:tc>
          <w:tcPr>
            <w:tcW w:w="103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992" w:type="dxa"/>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5.48</w:t>
            </w:r>
          </w:p>
        </w:tc>
        <w:tc>
          <w:tcPr>
            <w:tcW w:w="851"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3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309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交由环卫部门处理</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3.5.2.5生态环境</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为进一步降低工程排污对环境的影响，充分发挥绿化带的作用和功能，结合本工程平面布置特点，评价提出以下要求和措施：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1）针对项目主要运输路线，要求企业对道路实施绿化，以高大树冠及乔木结合形成隔离带以遮荫、抑尘。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2）生活管理区应以绿化美化为主。绿化方式为灌、乔、草立体植物和适宜当地环境的四季常绿植物种植为主，并结合四季花卉植物形成良好景观。猪舍四周空闲地带以灌木绿篱、草皮种植结合代替裸地。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3）植物物种以适宜当地生长的土生物种，乔木类包括杨树、榆树、槐树、落叶松、油松等，灌木包括丁香、黄刺枚、荆条等。</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4）对工程涉及的各类行为所造成的生态影响应严格按照生态评价章节制定的工程措施、恢复措施和绿化方案实施控制。</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5）采取严格的运营期污染控制方案，减小项目污染排放对生态的影响。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6）沼液输送管道施工时严格划定施工作业带，在施工带内作业，尽量减少开挖面积；分层开挖，分层回填，尽可能保持农田原有的土壤环境。</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从区域生态状况和有关的政策要求出发，评价要求企业应树立“建设本地区生态模范企业”为目标，将环境保护与生态建设放在与经营利益同等重要的位置，进行绿化、美化及协调性的景观设计，为区域生态建设作出典范。</w:t>
      </w:r>
    </w:p>
    <w:p>
      <w:pPr>
        <w:pStyle w:val="3"/>
        <w:spacing w:before="120" w:after="120"/>
        <w:rPr>
          <w:rFonts w:cs="Times New Roman"/>
          <w:color w:val="000000" w:themeColor="text1"/>
          <w14:textFill>
            <w14:solidFill>
              <w14:schemeClr w14:val="tx1"/>
            </w14:solidFill>
          </w14:textFill>
        </w:rPr>
      </w:pPr>
      <w:bookmarkStart w:id="383" w:name="_Toc91163887"/>
      <w:r>
        <w:rPr>
          <w:rFonts w:cs="Times New Roman"/>
          <w:color w:val="000000" w:themeColor="text1"/>
          <w14:textFill>
            <w14:solidFill>
              <w14:schemeClr w14:val="tx1"/>
            </w14:solidFill>
          </w14:textFill>
        </w:rPr>
        <w:t>3.6  污染源强核算</w:t>
      </w:r>
      <w:bookmarkEnd w:id="383"/>
    </w:p>
    <w:p>
      <w:pPr>
        <w:pStyle w:val="4"/>
        <w:rPr>
          <w:rFonts w:cs="Times New Roman"/>
          <w:color w:val="000000" w:themeColor="text1"/>
          <w14:textFill>
            <w14:solidFill>
              <w14:schemeClr w14:val="tx1"/>
            </w14:solidFill>
          </w14:textFill>
        </w:rPr>
      </w:pPr>
      <w:bookmarkStart w:id="384" w:name="_Toc91163888"/>
      <w:r>
        <w:rPr>
          <w:rFonts w:cs="Times New Roman"/>
          <w:color w:val="000000" w:themeColor="text1"/>
          <w14:textFill>
            <w14:solidFill>
              <w14:schemeClr w14:val="tx1"/>
            </w14:solidFill>
          </w14:textFill>
        </w:rPr>
        <w:t>3.6.1 废气污染物排放量</w:t>
      </w:r>
      <w:bookmarkEnd w:id="384"/>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本工程废气污染物排放结果列于表3.6-1。</w:t>
      </w:r>
    </w:p>
    <w:p>
      <w:pPr>
        <w:pStyle w:val="4"/>
        <w:rPr>
          <w:rFonts w:cs="Times New Roman"/>
          <w:color w:val="000000" w:themeColor="text1"/>
          <w14:textFill>
            <w14:solidFill>
              <w14:schemeClr w14:val="tx1"/>
            </w14:solidFill>
          </w14:textFill>
        </w:rPr>
      </w:pPr>
      <w:bookmarkStart w:id="385" w:name="_Toc91163889"/>
      <w:r>
        <w:rPr>
          <w:rFonts w:cs="Times New Roman"/>
          <w:color w:val="000000" w:themeColor="text1"/>
          <w14:textFill>
            <w14:solidFill>
              <w14:schemeClr w14:val="tx1"/>
            </w14:solidFill>
          </w14:textFill>
        </w:rPr>
        <w:t>3.6.2 废物污染物排放量</w:t>
      </w:r>
      <w:bookmarkEnd w:id="38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本工程废水污染物排放结果列于表3.6-2。</w:t>
      </w:r>
    </w:p>
    <w:p>
      <w:pPr>
        <w:pStyle w:val="4"/>
        <w:rPr>
          <w:rFonts w:cs="Times New Roman"/>
          <w:color w:val="000000" w:themeColor="text1"/>
          <w14:textFill>
            <w14:solidFill>
              <w14:schemeClr w14:val="tx1"/>
            </w14:solidFill>
          </w14:textFill>
        </w:rPr>
      </w:pPr>
      <w:bookmarkStart w:id="386" w:name="_Toc91163890"/>
      <w:r>
        <w:rPr>
          <w:rFonts w:cs="Times New Roman"/>
          <w:color w:val="000000" w:themeColor="text1"/>
          <w14:textFill>
            <w14:solidFill>
              <w14:schemeClr w14:val="tx1"/>
            </w14:solidFill>
          </w14:textFill>
        </w:rPr>
        <w:t>3.6.3 固体废物排放量</w:t>
      </w:r>
      <w:bookmarkEnd w:id="386"/>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本工程固废排放情况见表3.6-3。</w:t>
      </w:r>
    </w:p>
    <w:p>
      <w:pPr>
        <w:pStyle w:val="3"/>
        <w:spacing w:before="120" w:after="120"/>
        <w:rPr>
          <w:rFonts w:cs="Times New Roman"/>
          <w:color w:val="000000" w:themeColor="text1"/>
          <w14:textFill>
            <w14:solidFill>
              <w14:schemeClr w14:val="tx1"/>
            </w14:solidFill>
          </w14:textFill>
        </w:rPr>
      </w:pPr>
      <w:bookmarkStart w:id="387" w:name="_Toc91163891"/>
      <w:r>
        <w:rPr>
          <w:rFonts w:cs="Times New Roman"/>
          <w:color w:val="000000" w:themeColor="text1"/>
          <w14:textFill>
            <w14:solidFill>
              <w14:schemeClr w14:val="tx1"/>
            </w14:solidFill>
          </w14:textFill>
        </w:rPr>
        <w:t>3.7  总量控制</w:t>
      </w:r>
      <w:bookmarkEnd w:id="387"/>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污染物排放总量控制是控制区域污染、保证环境质量的重要举措，同时也是保证区域经济可持续发展的重要措施。总量控制的原则是以当地环境容量及污染物达标排放为基础，新建项目增加的污染物排放量应不影响当地环境保护目标的实现，不会对周围地区环境造成有害影响。通过落实污染物总量控制，实现区域环境质量达标和区域可持续发展。</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根据山西省环境保护厅晋环发〔2015〕25号《山西省环境保护厅建设项目主要污染物排放总量核定办法》，本项目为养殖类项目，不属于环境统计重点工业源调查行业范围内（《国民经济行业分类》（GB/T4754）中采矿业、制造业，电力、燃气及水的生产和供应业，3个门类39个行业）的建设项目，暂不纳入总量核定范围。</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同时中华人民共和国生态环境部办公厅《关于进一步做好当前生猪规模养殖环评管理相关工作的通知》（环办环评函【2019】872号）中明确规定：“统筹做好生猪养殖项目环评服务和指导中明确做好环评与排污许可、主要污染物排放总量管理的衔接，对于不设置污水排放口的规模以上生猪养殖项目，不要求申领排污证和取得总量指标”。</w:t>
      </w:r>
    </w:p>
    <w:p>
      <w:pPr>
        <w:ind w:firstLine="480"/>
        <w:rPr>
          <w:rFonts w:cs="Times New Roman"/>
          <w:bCs/>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因此本项目不需要申请总量控制指标。项目实施过程中，应严格执行环评中提出的环保措施，减少污染物的排放。</w:t>
      </w:r>
    </w:p>
    <w:p>
      <w:pPr>
        <w:ind w:firstLine="480"/>
        <w:rPr>
          <w:rFonts w:cs="Times New Roman"/>
          <w:color w:val="000000" w:themeColor="text1"/>
          <w14:textFill>
            <w14:solidFill>
              <w14:schemeClr w14:val="tx1"/>
            </w14:solidFill>
          </w14:textFill>
        </w:rPr>
      </w:pPr>
    </w:p>
    <w:p>
      <w:pPr>
        <w:ind w:firstLine="480"/>
        <w:rPr>
          <w:rFonts w:cs="Times New Roman"/>
          <w:color w:val="000000" w:themeColor="text1"/>
          <w14:textFill>
            <w14:solidFill>
              <w14:schemeClr w14:val="tx1"/>
            </w14:solidFill>
          </w14:textFill>
        </w:rPr>
        <w:sectPr>
          <w:pgSz w:w="11907" w:h="16840"/>
          <w:pgMar w:top="1418" w:right="1531" w:bottom="1418" w:left="1531" w:header="1021" w:footer="1134" w:gutter="0"/>
          <w:pgNumType w:fmt="numberInDash"/>
          <w:cols w:space="720" w:num="1"/>
          <w:docGrid w:linePitch="312" w:charSpace="0"/>
        </w:sectPr>
      </w:pP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表3.6-1 本项目废气污染源源强核算结果及相关参数一览表</w:t>
      </w:r>
    </w:p>
    <w:tbl>
      <w:tblPr>
        <w:tblStyle w:val="54"/>
        <w:tblW w:w="5275" w:type="pct"/>
        <w:tblInd w:w="-44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859"/>
        <w:gridCol w:w="940"/>
        <w:gridCol w:w="919"/>
        <w:gridCol w:w="1147"/>
        <w:gridCol w:w="853"/>
        <w:gridCol w:w="859"/>
        <w:gridCol w:w="1109"/>
        <w:gridCol w:w="3166"/>
        <w:gridCol w:w="722"/>
        <w:gridCol w:w="992"/>
        <w:gridCol w:w="785"/>
        <w:gridCol w:w="1121"/>
        <w:gridCol w:w="6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工序</w:t>
            </w:r>
          </w:p>
        </w:tc>
        <w:tc>
          <w:tcPr>
            <w:tcW w:w="28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装置</w:t>
            </w:r>
          </w:p>
        </w:tc>
        <w:tc>
          <w:tcPr>
            <w:tcW w:w="316"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排放</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方式</w:t>
            </w:r>
          </w:p>
        </w:tc>
        <w:tc>
          <w:tcPr>
            <w:tcW w:w="30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297" w:type="pct"/>
            <w:gridSpan w:val="4"/>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污染物产生量</w:t>
            </w:r>
          </w:p>
        </w:tc>
        <w:tc>
          <w:tcPr>
            <w:tcW w:w="1301" w:type="pct"/>
            <w:gridSpan w:val="2"/>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治理措施</w:t>
            </w:r>
          </w:p>
        </w:tc>
        <w:tc>
          <w:tcPr>
            <w:tcW w:w="973" w:type="pct"/>
            <w:gridSpan w:val="3"/>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污染物排放量</w:t>
            </w:r>
          </w:p>
        </w:tc>
        <w:tc>
          <w:tcPr>
            <w:tcW w:w="226"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排放时间</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h/a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bottom w:val="single" w:color="auto" w:sz="12" w:space="0"/>
            </w:tcBorders>
            <w:vAlign w:val="center"/>
          </w:tcPr>
          <w:p>
            <w:pPr>
              <w:pStyle w:val="332"/>
              <w:widowControl w:val="0"/>
              <w:rPr>
                <w:color w:val="000000" w:themeColor="text1"/>
                <w14:textFill>
                  <w14:solidFill>
                    <w14:schemeClr w14:val="tx1"/>
                  </w14:solidFill>
                </w14:textFill>
              </w:rPr>
            </w:pPr>
          </w:p>
        </w:tc>
        <w:tc>
          <w:tcPr>
            <w:tcW w:w="289" w:type="pct"/>
            <w:vMerge w:val="continue"/>
            <w:tcBorders>
              <w:bottom w:val="single" w:color="auto" w:sz="12" w:space="0"/>
            </w:tcBorders>
            <w:vAlign w:val="center"/>
          </w:tcPr>
          <w:p>
            <w:pPr>
              <w:pStyle w:val="332"/>
              <w:widowControl w:val="0"/>
              <w:rPr>
                <w:color w:val="000000" w:themeColor="text1"/>
                <w14:textFill>
                  <w14:solidFill>
                    <w14:schemeClr w14:val="tx1"/>
                  </w14:solidFill>
                </w14:textFill>
              </w:rPr>
            </w:pPr>
          </w:p>
        </w:tc>
        <w:tc>
          <w:tcPr>
            <w:tcW w:w="316" w:type="pct"/>
            <w:vMerge w:val="continue"/>
            <w:tcBorders>
              <w:bottom w:val="single" w:color="auto" w:sz="12" w:space="0"/>
            </w:tcBorders>
            <w:vAlign w:val="center"/>
          </w:tcPr>
          <w:p>
            <w:pPr>
              <w:pStyle w:val="332"/>
              <w:widowControl w:val="0"/>
              <w:rPr>
                <w:color w:val="000000" w:themeColor="text1"/>
                <w14:textFill>
                  <w14:solidFill>
                    <w14:schemeClr w14:val="tx1"/>
                  </w14:solidFill>
                </w14:textFill>
              </w:rPr>
            </w:pPr>
          </w:p>
        </w:tc>
        <w:tc>
          <w:tcPr>
            <w:tcW w:w="309" w:type="pct"/>
            <w:vMerge w:val="continue"/>
            <w:tcBorders>
              <w:bottom w:val="single" w:color="auto" w:sz="12" w:space="0"/>
            </w:tcBorders>
            <w:vAlign w:val="center"/>
          </w:tcPr>
          <w:p>
            <w:pPr>
              <w:pStyle w:val="332"/>
              <w:widowControl w:val="0"/>
              <w:rPr>
                <w:color w:val="000000" w:themeColor="text1"/>
                <w14:textFill>
                  <w14:solidFill>
                    <w14:schemeClr w14:val="tx1"/>
                  </w14:solidFill>
                </w14:textFill>
              </w:rPr>
            </w:pPr>
          </w:p>
        </w:tc>
        <w:tc>
          <w:tcPr>
            <w:tcW w:w="385" w:type="pct"/>
            <w:tcBorders>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核算方法</w:t>
            </w:r>
          </w:p>
        </w:tc>
        <w:tc>
          <w:tcPr>
            <w:tcW w:w="287" w:type="pct"/>
            <w:tcBorders>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废气量</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289" w:type="pct"/>
            <w:tcBorders>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产生</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浓度</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c>
          <w:tcPr>
            <w:tcW w:w="336" w:type="pct"/>
            <w:tcBorders>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产生量</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058" w:type="pct"/>
            <w:tcBorders>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工艺</w:t>
            </w:r>
          </w:p>
        </w:tc>
        <w:tc>
          <w:tcPr>
            <w:tcW w:w="243" w:type="pct"/>
            <w:tcBorders>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效率</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33" w:type="pct"/>
            <w:tcBorders>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废气量</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p>
        </w:tc>
        <w:tc>
          <w:tcPr>
            <w:tcW w:w="264" w:type="pct"/>
            <w:tcBorders>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排放</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浓度</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c>
          <w:tcPr>
            <w:tcW w:w="376" w:type="pct"/>
            <w:tcBorders>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排放量</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t/a</w:t>
            </w:r>
          </w:p>
        </w:tc>
        <w:tc>
          <w:tcPr>
            <w:tcW w:w="226" w:type="pct"/>
            <w:vMerge w:val="continue"/>
            <w:tcBorders>
              <w:bottom w:val="single" w:color="auto" w:sz="12" w:space="0"/>
            </w:tcBorders>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restar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养殖</w:t>
            </w:r>
          </w:p>
        </w:tc>
        <w:tc>
          <w:tcPr>
            <w:tcW w:w="289" w:type="pct"/>
            <w:vMerge w:val="restar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316" w:type="pct"/>
            <w:vMerge w:val="restar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309" w:type="pc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385" w:type="pc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产污系数</w:t>
            </w:r>
          </w:p>
        </w:tc>
        <w:tc>
          <w:tcPr>
            <w:tcW w:w="287"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289" w:type="pc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36" w:type="pc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0.399</w:t>
            </w:r>
          </w:p>
        </w:tc>
        <w:tc>
          <w:tcPr>
            <w:tcW w:w="1058" w:type="pct"/>
            <w:vMerge w:val="restart"/>
            <w:tcBorders>
              <w:top w:val="single" w:color="auto" w:sz="12" w:space="0"/>
              <w:bottom w:val="single" w:color="auto" w:sz="4"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控制饲养密度，全漏缝地板并及时清粪，喷洒除臭剂，饲料添加EM，加强通风，出风口处设置喷淋除臭网</w:t>
            </w:r>
          </w:p>
        </w:tc>
        <w:tc>
          <w:tcPr>
            <w:tcW w:w="243" w:type="pct"/>
            <w:vMerge w:val="restar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除臭效率85%</w:t>
            </w:r>
          </w:p>
        </w:tc>
        <w:tc>
          <w:tcPr>
            <w:tcW w:w="333"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264" w:type="pc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76" w:type="pc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0.060</w:t>
            </w:r>
          </w:p>
        </w:tc>
        <w:tc>
          <w:tcPr>
            <w:tcW w:w="226" w:type="pct"/>
            <w:vMerge w:val="restar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op w:val="single" w:color="auto" w:sz="4" w:space="0"/>
            </w:tcBorders>
            <w:vAlign w:val="center"/>
          </w:tcPr>
          <w:p>
            <w:pPr>
              <w:pStyle w:val="332"/>
              <w:widowControl w:val="0"/>
              <w:rPr>
                <w:color w:val="000000" w:themeColor="text1"/>
                <w14:textFill>
                  <w14:solidFill>
                    <w14:schemeClr w14:val="tx1"/>
                  </w14:solidFill>
                </w14:textFill>
              </w:rPr>
            </w:pPr>
          </w:p>
        </w:tc>
        <w:tc>
          <w:tcPr>
            <w:tcW w:w="289" w:type="pct"/>
            <w:vMerge w:val="continue"/>
            <w:tcBorders>
              <w:top w:val="single" w:color="auto" w:sz="4" w:space="0"/>
            </w:tcBorders>
            <w:vAlign w:val="center"/>
          </w:tcPr>
          <w:p>
            <w:pPr>
              <w:pStyle w:val="332"/>
              <w:widowControl w:val="0"/>
              <w:rPr>
                <w:color w:val="000000" w:themeColor="text1"/>
                <w14:textFill>
                  <w14:solidFill>
                    <w14:schemeClr w14:val="tx1"/>
                  </w14:solidFill>
                </w14:textFill>
              </w:rPr>
            </w:pPr>
          </w:p>
        </w:tc>
        <w:tc>
          <w:tcPr>
            <w:tcW w:w="316" w:type="pct"/>
            <w:vMerge w:val="continue"/>
            <w:tcBorders>
              <w:top w:val="single" w:color="auto" w:sz="4" w:space="0"/>
            </w:tcBorders>
            <w:vAlign w:val="center"/>
          </w:tcPr>
          <w:p>
            <w:pPr>
              <w:pStyle w:val="332"/>
              <w:widowControl w:val="0"/>
              <w:rPr>
                <w:color w:val="000000" w:themeColor="text1"/>
                <w14:textFill>
                  <w14:solidFill>
                    <w14:schemeClr w14:val="tx1"/>
                  </w14:solidFill>
                </w14:textFill>
              </w:rPr>
            </w:pPr>
          </w:p>
        </w:tc>
        <w:tc>
          <w:tcPr>
            <w:tcW w:w="309" w:type="pct"/>
            <w:tcBorders>
              <w:top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385" w:type="pct"/>
            <w:tcBorders>
              <w:top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产污系数</w:t>
            </w:r>
          </w:p>
        </w:tc>
        <w:tc>
          <w:tcPr>
            <w:tcW w:w="287" w:type="pct"/>
            <w:vMerge w:val="continue"/>
            <w:vAlign w:val="center"/>
          </w:tcPr>
          <w:p>
            <w:pPr>
              <w:pStyle w:val="332"/>
              <w:widowControl w:val="0"/>
              <w:rPr>
                <w:color w:val="000000" w:themeColor="text1"/>
                <w14:textFill>
                  <w14:solidFill>
                    <w14:schemeClr w14:val="tx1"/>
                  </w14:solidFill>
                </w14:textFill>
              </w:rPr>
            </w:pPr>
          </w:p>
        </w:tc>
        <w:tc>
          <w:tcPr>
            <w:tcW w:w="289" w:type="pct"/>
            <w:tcBorders>
              <w:top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36" w:type="pct"/>
            <w:tcBorders>
              <w:top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0.038</w:t>
            </w:r>
          </w:p>
        </w:tc>
        <w:tc>
          <w:tcPr>
            <w:tcW w:w="1058" w:type="pct"/>
            <w:vMerge w:val="continue"/>
            <w:tcBorders>
              <w:top w:val="single" w:color="auto" w:sz="4" w:space="0"/>
            </w:tcBorders>
            <w:vAlign w:val="center"/>
          </w:tcPr>
          <w:p>
            <w:pPr>
              <w:pStyle w:val="332"/>
              <w:widowControl w:val="0"/>
              <w:rPr>
                <w:color w:val="000000" w:themeColor="text1"/>
                <w14:textFill>
                  <w14:solidFill>
                    <w14:schemeClr w14:val="tx1"/>
                  </w14:solidFill>
                </w14:textFill>
              </w:rPr>
            </w:pPr>
          </w:p>
        </w:tc>
        <w:tc>
          <w:tcPr>
            <w:tcW w:w="243" w:type="pct"/>
            <w:vMerge w:val="continue"/>
            <w:tcBorders>
              <w:top w:val="single" w:color="auto" w:sz="4" w:space="0"/>
            </w:tcBorders>
            <w:vAlign w:val="center"/>
          </w:tcPr>
          <w:p>
            <w:pPr>
              <w:pStyle w:val="332"/>
              <w:widowControl w:val="0"/>
              <w:rPr>
                <w:color w:val="000000" w:themeColor="text1"/>
                <w14:textFill>
                  <w14:solidFill>
                    <w14:schemeClr w14:val="tx1"/>
                  </w14:solidFill>
                </w14:textFill>
              </w:rPr>
            </w:pPr>
          </w:p>
        </w:tc>
        <w:tc>
          <w:tcPr>
            <w:tcW w:w="333" w:type="pct"/>
            <w:vMerge w:val="continue"/>
            <w:vAlign w:val="center"/>
          </w:tcPr>
          <w:p>
            <w:pPr>
              <w:pStyle w:val="332"/>
              <w:widowControl w:val="0"/>
              <w:rPr>
                <w:color w:val="000000" w:themeColor="text1"/>
                <w14:textFill>
                  <w14:solidFill>
                    <w14:schemeClr w14:val="tx1"/>
                  </w14:solidFill>
                </w14:textFill>
              </w:rPr>
            </w:pPr>
          </w:p>
        </w:tc>
        <w:tc>
          <w:tcPr>
            <w:tcW w:w="264" w:type="pct"/>
            <w:tcBorders>
              <w:top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76" w:type="pct"/>
            <w:tcBorders>
              <w:top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0.0058</w:t>
            </w:r>
          </w:p>
        </w:tc>
        <w:tc>
          <w:tcPr>
            <w:tcW w:w="226" w:type="pct"/>
            <w:vMerge w:val="continue"/>
            <w:tcBorders>
              <w:top w:val="single" w:color="auto" w:sz="4" w:space="0"/>
            </w:tcBorders>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污水处理</w:t>
            </w:r>
          </w:p>
        </w:tc>
        <w:tc>
          <w:tcPr>
            <w:tcW w:w="289" w:type="pct"/>
            <w:vMerge w:val="restart"/>
            <w:vAlign w:val="center"/>
          </w:tcPr>
          <w:p>
            <w:pPr>
              <w:pStyle w:val="332"/>
              <w:widowControl w:val="0"/>
              <w:rPr>
                <w:color w:val="000000" w:themeColor="text1"/>
                <w14:textFill>
                  <w14:solidFill>
                    <w14:schemeClr w14:val="tx1"/>
                  </w14:solidFill>
                </w14:textFill>
              </w:rPr>
            </w:pPr>
            <w:r>
              <w:rPr>
                <w:color w:val="000000" w:themeColor="text1"/>
                <w:spacing w:val="-11"/>
                <w14:textFill>
                  <w14:solidFill>
                    <w14:schemeClr w14:val="tx1"/>
                  </w14:solidFill>
                </w14:textFill>
              </w:rPr>
              <w:t>黑膜沼气池</w:t>
            </w:r>
          </w:p>
        </w:tc>
        <w:tc>
          <w:tcPr>
            <w:tcW w:w="316"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30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38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产污系数</w:t>
            </w:r>
          </w:p>
        </w:tc>
        <w:tc>
          <w:tcPr>
            <w:tcW w:w="287"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28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3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0.31</w:t>
            </w:r>
          </w:p>
        </w:tc>
        <w:tc>
          <w:tcPr>
            <w:tcW w:w="1058" w:type="pct"/>
            <w:vMerge w:val="restar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黑膜沼气池密闭，定期喷洒除臭剂，加强绿化</w:t>
            </w:r>
          </w:p>
        </w:tc>
        <w:tc>
          <w:tcPr>
            <w:tcW w:w="24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除臭效率90%</w:t>
            </w:r>
          </w:p>
        </w:tc>
        <w:tc>
          <w:tcPr>
            <w:tcW w:w="33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2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0.031</w:t>
            </w:r>
          </w:p>
        </w:tc>
        <w:tc>
          <w:tcPr>
            <w:tcW w:w="226"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vAlign w:val="center"/>
          </w:tcPr>
          <w:p>
            <w:pPr>
              <w:pStyle w:val="332"/>
              <w:widowControl w:val="0"/>
              <w:rPr>
                <w:color w:val="000000" w:themeColor="text1"/>
                <w14:textFill>
                  <w14:solidFill>
                    <w14:schemeClr w14:val="tx1"/>
                  </w14:solidFill>
                </w14:textFill>
              </w:rPr>
            </w:pPr>
          </w:p>
        </w:tc>
        <w:tc>
          <w:tcPr>
            <w:tcW w:w="289" w:type="pct"/>
            <w:vMerge w:val="continue"/>
            <w:vAlign w:val="center"/>
          </w:tcPr>
          <w:p>
            <w:pPr>
              <w:pStyle w:val="332"/>
              <w:widowControl w:val="0"/>
              <w:rPr>
                <w:color w:val="000000" w:themeColor="text1"/>
                <w14:textFill>
                  <w14:solidFill>
                    <w14:schemeClr w14:val="tx1"/>
                  </w14:solidFill>
                </w14:textFill>
              </w:rPr>
            </w:pPr>
          </w:p>
        </w:tc>
        <w:tc>
          <w:tcPr>
            <w:tcW w:w="316" w:type="pct"/>
            <w:vMerge w:val="continue"/>
            <w:vAlign w:val="center"/>
          </w:tcPr>
          <w:p>
            <w:pPr>
              <w:pStyle w:val="332"/>
              <w:widowControl w:val="0"/>
              <w:rPr>
                <w:color w:val="000000" w:themeColor="text1"/>
                <w14:textFill>
                  <w14:solidFill>
                    <w14:schemeClr w14:val="tx1"/>
                  </w14:solidFill>
                </w14:textFill>
              </w:rPr>
            </w:pPr>
          </w:p>
        </w:tc>
        <w:tc>
          <w:tcPr>
            <w:tcW w:w="30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38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产污系数</w:t>
            </w:r>
          </w:p>
        </w:tc>
        <w:tc>
          <w:tcPr>
            <w:tcW w:w="287" w:type="pct"/>
            <w:vMerge w:val="continue"/>
            <w:vAlign w:val="center"/>
          </w:tcPr>
          <w:p>
            <w:pPr>
              <w:pStyle w:val="332"/>
              <w:widowControl w:val="0"/>
              <w:rPr>
                <w:color w:val="000000" w:themeColor="text1"/>
                <w14:textFill>
                  <w14:solidFill>
                    <w14:schemeClr w14:val="tx1"/>
                  </w14:solidFill>
                </w14:textFill>
              </w:rPr>
            </w:pPr>
          </w:p>
        </w:tc>
        <w:tc>
          <w:tcPr>
            <w:tcW w:w="28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3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0.00076</w:t>
            </w:r>
          </w:p>
        </w:tc>
        <w:tc>
          <w:tcPr>
            <w:tcW w:w="1058" w:type="pct"/>
            <w:vMerge w:val="continue"/>
            <w:vAlign w:val="center"/>
          </w:tcPr>
          <w:p>
            <w:pPr>
              <w:pStyle w:val="332"/>
              <w:widowControl w:val="0"/>
              <w:rPr>
                <w:color w:val="000000" w:themeColor="text1"/>
                <w14:textFill>
                  <w14:solidFill>
                    <w14:schemeClr w14:val="tx1"/>
                  </w14:solidFill>
                </w14:textFill>
              </w:rPr>
            </w:pPr>
          </w:p>
        </w:tc>
        <w:tc>
          <w:tcPr>
            <w:tcW w:w="243" w:type="pct"/>
            <w:vMerge w:val="continue"/>
            <w:vAlign w:val="center"/>
          </w:tcPr>
          <w:p>
            <w:pPr>
              <w:pStyle w:val="332"/>
              <w:widowControl w:val="0"/>
              <w:rPr>
                <w:color w:val="000000" w:themeColor="text1"/>
                <w14:textFill>
                  <w14:solidFill>
                    <w14:schemeClr w14:val="tx1"/>
                  </w14:solidFill>
                </w14:textFill>
              </w:rPr>
            </w:pPr>
          </w:p>
        </w:tc>
        <w:tc>
          <w:tcPr>
            <w:tcW w:w="333" w:type="pct"/>
            <w:vMerge w:val="continue"/>
            <w:vAlign w:val="center"/>
          </w:tcPr>
          <w:p>
            <w:pPr>
              <w:pStyle w:val="332"/>
              <w:widowControl w:val="0"/>
              <w:rPr>
                <w:color w:val="000000" w:themeColor="text1"/>
                <w14:textFill>
                  <w14:solidFill>
                    <w14:schemeClr w14:val="tx1"/>
                  </w14:solidFill>
                </w14:textFill>
              </w:rPr>
            </w:pPr>
          </w:p>
        </w:tc>
        <w:tc>
          <w:tcPr>
            <w:tcW w:w="2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0.000076</w:t>
            </w:r>
          </w:p>
        </w:tc>
        <w:tc>
          <w:tcPr>
            <w:tcW w:w="226"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vAlign w:val="center"/>
          </w:tcPr>
          <w:p>
            <w:pPr>
              <w:pStyle w:val="332"/>
              <w:widowControl w:val="0"/>
              <w:rPr>
                <w:color w:val="000000" w:themeColor="text1"/>
                <w14:textFill>
                  <w14:solidFill>
                    <w14:schemeClr w14:val="tx1"/>
                  </w14:solidFill>
                </w14:textFill>
              </w:rPr>
            </w:pPr>
          </w:p>
        </w:tc>
        <w:tc>
          <w:tcPr>
            <w:tcW w:w="289" w:type="pct"/>
            <w:vMerge w:val="restart"/>
            <w:vAlign w:val="center"/>
          </w:tcPr>
          <w:p>
            <w:pPr>
              <w:pStyle w:val="332"/>
              <w:widowControl w:val="0"/>
              <w:rPr>
                <w:color w:val="000000" w:themeColor="text1"/>
                <w14:textFill>
                  <w14:solidFill>
                    <w14:schemeClr w14:val="tx1"/>
                  </w14:solidFill>
                </w14:textFill>
              </w:rPr>
            </w:pPr>
            <w:r>
              <w:rPr>
                <w:color w:val="000000" w:themeColor="text1"/>
                <w:spacing w:val="-11"/>
                <w14:textFill>
                  <w14:solidFill>
                    <w14:schemeClr w14:val="tx1"/>
                  </w14:solidFill>
                </w14:textFill>
              </w:rPr>
              <w:t>沼</w:t>
            </w:r>
            <w:r>
              <w:rPr>
                <w:color w:val="000000" w:themeColor="text1"/>
                <w14:textFill>
                  <w14:solidFill>
                    <w14:schemeClr w14:val="tx1"/>
                  </w14:solidFill>
                </w14:textFill>
              </w:rPr>
              <w:t>液储存池</w:t>
            </w:r>
          </w:p>
        </w:tc>
        <w:tc>
          <w:tcPr>
            <w:tcW w:w="316"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30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38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产污系数</w:t>
            </w:r>
          </w:p>
        </w:tc>
        <w:tc>
          <w:tcPr>
            <w:tcW w:w="287"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28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3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0.092</w:t>
            </w:r>
          </w:p>
        </w:tc>
        <w:tc>
          <w:tcPr>
            <w:tcW w:w="1058" w:type="pct"/>
            <w:vMerge w:val="restar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沼液储存池顶部覆盖HDPE膜进行封闭，喷洒除臭剂，加强场区绿化</w:t>
            </w:r>
          </w:p>
        </w:tc>
        <w:tc>
          <w:tcPr>
            <w:tcW w:w="24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除臭效率90%</w:t>
            </w:r>
          </w:p>
        </w:tc>
        <w:tc>
          <w:tcPr>
            <w:tcW w:w="33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2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0.009</w:t>
            </w:r>
          </w:p>
        </w:tc>
        <w:tc>
          <w:tcPr>
            <w:tcW w:w="226"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vAlign w:val="center"/>
          </w:tcPr>
          <w:p>
            <w:pPr>
              <w:pStyle w:val="332"/>
              <w:widowControl w:val="0"/>
              <w:rPr>
                <w:color w:val="000000" w:themeColor="text1"/>
                <w14:textFill>
                  <w14:solidFill>
                    <w14:schemeClr w14:val="tx1"/>
                  </w14:solidFill>
                </w14:textFill>
              </w:rPr>
            </w:pPr>
          </w:p>
        </w:tc>
        <w:tc>
          <w:tcPr>
            <w:tcW w:w="289" w:type="pct"/>
            <w:vMerge w:val="continue"/>
            <w:vAlign w:val="center"/>
          </w:tcPr>
          <w:p>
            <w:pPr>
              <w:pStyle w:val="332"/>
              <w:widowControl w:val="0"/>
              <w:rPr>
                <w:color w:val="000000" w:themeColor="text1"/>
                <w14:textFill>
                  <w14:solidFill>
                    <w14:schemeClr w14:val="tx1"/>
                  </w14:solidFill>
                </w14:textFill>
              </w:rPr>
            </w:pPr>
          </w:p>
        </w:tc>
        <w:tc>
          <w:tcPr>
            <w:tcW w:w="316" w:type="pct"/>
            <w:vMerge w:val="continue"/>
            <w:vAlign w:val="center"/>
          </w:tcPr>
          <w:p>
            <w:pPr>
              <w:pStyle w:val="332"/>
              <w:widowControl w:val="0"/>
              <w:rPr>
                <w:color w:val="000000" w:themeColor="text1"/>
                <w14:textFill>
                  <w14:solidFill>
                    <w14:schemeClr w14:val="tx1"/>
                  </w14:solidFill>
                </w14:textFill>
              </w:rPr>
            </w:pPr>
          </w:p>
        </w:tc>
        <w:tc>
          <w:tcPr>
            <w:tcW w:w="30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38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产污系数</w:t>
            </w:r>
          </w:p>
        </w:tc>
        <w:tc>
          <w:tcPr>
            <w:tcW w:w="287" w:type="pct"/>
            <w:vMerge w:val="continue"/>
            <w:vAlign w:val="center"/>
          </w:tcPr>
          <w:p>
            <w:pPr>
              <w:pStyle w:val="332"/>
              <w:widowControl w:val="0"/>
              <w:rPr>
                <w:color w:val="000000" w:themeColor="text1"/>
                <w14:textFill>
                  <w14:solidFill>
                    <w14:schemeClr w14:val="tx1"/>
                  </w14:solidFill>
                </w14:textFill>
              </w:rPr>
            </w:pPr>
          </w:p>
        </w:tc>
        <w:tc>
          <w:tcPr>
            <w:tcW w:w="28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3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0.013</w:t>
            </w:r>
          </w:p>
        </w:tc>
        <w:tc>
          <w:tcPr>
            <w:tcW w:w="1058" w:type="pct"/>
            <w:vMerge w:val="continue"/>
            <w:vAlign w:val="center"/>
          </w:tcPr>
          <w:p>
            <w:pPr>
              <w:pStyle w:val="332"/>
              <w:widowControl w:val="0"/>
              <w:rPr>
                <w:color w:val="000000" w:themeColor="text1"/>
                <w14:textFill>
                  <w14:solidFill>
                    <w14:schemeClr w14:val="tx1"/>
                  </w14:solidFill>
                </w14:textFill>
              </w:rPr>
            </w:pPr>
          </w:p>
        </w:tc>
        <w:tc>
          <w:tcPr>
            <w:tcW w:w="243" w:type="pct"/>
            <w:vMerge w:val="continue"/>
            <w:vAlign w:val="center"/>
          </w:tcPr>
          <w:p>
            <w:pPr>
              <w:pStyle w:val="332"/>
              <w:widowControl w:val="0"/>
              <w:rPr>
                <w:color w:val="000000" w:themeColor="text1"/>
                <w14:textFill>
                  <w14:solidFill>
                    <w14:schemeClr w14:val="tx1"/>
                  </w14:solidFill>
                </w14:textFill>
              </w:rPr>
            </w:pPr>
          </w:p>
        </w:tc>
        <w:tc>
          <w:tcPr>
            <w:tcW w:w="333" w:type="pct"/>
            <w:vMerge w:val="continue"/>
            <w:vAlign w:val="center"/>
          </w:tcPr>
          <w:p>
            <w:pPr>
              <w:pStyle w:val="332"/>
              <w:widowControl w:val="0"/>
              <w:rPr>
                <w:color w:val="000000" w:themeColor="text1"/>
                <w14:textFill>
                  <w14:solidFill>
                    <w14:schemeClr w14:val="tx1"/>
                  </w14:solidFill>
                </w14:textFill>
              </w:rPr>
            </w:pPr>
          </w:p>
        </w:tc>
        <w:tc>
          <w:tcPr>
            <w:tcW w:w="2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226"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固体粪污处理</w:t>
            </w:r>
          </w:p>
        </w:tc>
        <w:tc>
          <w:tcPr>
            <w:tcW w:w="28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堆肥发酵</w:t>
            </w:r>
          </w:p>
        </w:tc>
        <w:tc>
          <w:tcPr>
            <w:tcW w:w="316"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30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38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产污系数</w:t>
            </w:r>
          </w:p>
        </w:tc>
        <w:tc>
          <w:tcPr>
            <w:tcW w:w="287"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28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36"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0.072</w:t>
            </w:r>
          </w:p>
        </w:tc>
        <w:tc>
          <w:tcPr>
            <w:tcW w:w="1058" w:type="pct"/>
            <w:vMerge w:val="restart"/>
            <w:vAlign w:val="center"/>
          </w:tcPr>
          <w:p>
            <w:pPr>
              <w:pStyle w:val="332"/>
              <w:widowControl w:val="0"/>
              <w:jc w:val="both"/>
              <w:rPr>
                <w:color w:val="000000" w:themeColor="text1"/>
                <w14:textFill>
                  <w14:solidFill>
                    <w14:schemeClr w14:val="tx1"/>
                  </w14:solidFill>
                </w14:textFill>
              </w:rPr>
            </w:pPr>
            <w:r>
              <w:rPr>
                <w:color w:val="000000" w:themeColor="text1"/>
                <w:lang w:bidi="en-US"/>
                <w14:textFill>
                  <w14:solidFill>
                    <w14:schemeClr w14:val="tx1"/>
                  </w14:solidFill>
                </w14:textFill>
              </w:rPr>
              <w:t>设置为封闭阳光房，</w:t>
            </w:r>
            <w:r>
              <w:rPr>
                <w:color w:val="000000" w:themeColor="text1"/>
                <w14:textFill>
                  <w14:solidFill>
                    <w14:schemeClr w14:val="tx1"/>
                  </w14:solidFill>
                </w14:textFill>
              </w:rPr>
              <w:t>加强通风，</w:t>
            </w:r>
            <w:r>
              <w:rPr>
                <w:color w:val="000000" w:themeColor="text1"/>
                <w:lang w:bidi="en-US"/>
                <w14:textFill>
                  <w14:solidFill>
                    <w14:schemeClr w14:val="tx1"/>
                  </w14:solidFill>
                </w14:textFill>
              </w:rPr>
              <w:t>出风口</w:t>
            </w:r>
            <w:r>
              <w:rPr>
                <w:color w:val="000000" w:themeColor="text1"/>
                <w14:textFill>
                  <w14:solidFill>
                    <w14:schemeClr w14:val="tx1"/>
                  </w14:solidFill>
                </w14:textFill>
              </w:rPr>
              <w:t>处设置喷淋除臭网，</w:t>
            </w:r>
            <w:r>
              <w:rPr>
                <w:color w:val="000000" w:themeColor="text1"/>
                <w:lang w:bidi="en-US"/>
                <w14:textFill>
                  <w14:solidFill>
                    <w14:schemeClr w14:val="tx1"/>
                  </w14:solidFill>
                </w14:textFill>
              </w:rPr>
              <w:t>喷洒除臭剂，</w:t>
            </w:r>
            <w:r>
              <w:rPr>
                <w:color w:val="000000" w:themeColor="text1"/>
                <w:spacing w:val="-3"/>
                <w14:textFill>
                  <w14:solidFill>
                    <w14:schemeClr w14:val="tx1"/>
                  </w14:solidFill>
                </w14:textFill>
              </w:rPr>
              <w:t>加强绿化</w:t>
            </w:r>
          </w:p>
        </w:tc>
        <w:tc>
          <w:tcPr>
            <w:tcW w:w="24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除臭效率90%</w:t>
            </w:r>
          </w:p>
        </w:tc>
        <w:tc>
          <w:tcPr>
            <w:tcW w:w="33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2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76"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0.007</w:t>
            </w:r>
          </w:p>
        </w:tc>
        <w:tc>
          <w:tcPr>
            <w:tcW w:w="226"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vAlign w:val="center"/>
          </w:tcPr>
          <w:p>
            <w:pPr>
              <w:pStyle w:val="332"/>
              <w:widowControl w:val="0"/>
              <w:rPr>
                <w:color w:val="000000" w:themeColor="text1"/>
                <w14:textFill>
                  <w14:solidFill>
                    <w14:schemeClr w14:val="tx1"/>
                  </w14:solidFill>
                </w14:textFill>
              </w:rPr>
            </w:pPr>
          </w:p>
        </w:tc>
        <w:tc>
          <w:tcPr>
            <w:tcW w:w="289" w:type="pct"/>
            <w:vMerge w:val="continue"/>
            <w:vAlign w:val="center"/>
          </w:tcPr>
          <w:p>
            <w:pPr>
              <w:pStyle w:val="332"/>
              <w:widowControl w:val="0"/>
              <w:rPr>
                <w:color w:val="000000" w:themeColor="text1"/>
                <w14:textFill>
                  <w14:solidFill>
                    <w14:schemeClr w14:val="tx1"/>
                  </w14:solidFill>
                </w14:textFill>
              </w:rPr>
            </w:pPr>
          </w:p>
        </w:tc>
        <w:tc>
          <w:tcPr>
            <w:tcW w:w="316" w:type="pct"/>
            <w:vMerge w:val="continue"/>
            <w:vAlign w:val="center"/>
          </w:tcPr>
          <w:p>
            <w:pPr>
              <w:pStyle w:val="332"/>
              <w:widowControl w:val="0"/>
              <w:rPr>
                <w:color w:val="000000" w:themeColor="text1"/>
                <w14:textFill>
                  <w14:solidFill>
                    <w14:schemeClr w14:val="tx1"/>
                  </w14:solidFill>
                </w14:textFill>
              </w:rPr>
            </w:pPr>
          </w:p>
        </w:tc>
        <w:tc>
          <w:tcPr>
            <w:tcW w:w="30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38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产污系数</w:t>
            </w:r>
          </w:p>
        </w:tc>
        <w:tc>
          <w:tcPr>
            <w:tcW w:w="287" w:type="pct"/>
            <w:vMerge w:val="continue"/>
            <w:vAlign w:val="center"/>
          </w:tcPr>
          <w:p>
            <w:pPr>
              <w:pStyle w:val="332"/>
              <w:widowControl w:val="0"/>
              <w:rPr>
                <w:color w:val="000000" w:themeColor="text1"/>
                <w14:textFill>
                  <w14:solidFill>
                    <w14:schemeClr w14:val="tx1"/>
                  </w14:solidFill>
                </w14:textFill>
              </w:rPr>
            </w:pPr>
          </w:p>
        </w:tc>
        <w:tc>
          <w:tcPr>
            <w:tcW w:w="28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36"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0.0032</w:t>
            </w:r>
          </w:p>
        </w:tc>
        <w:tc>
          <w:tcPr>
            <w:tcW w:w="1058" w:type="pct"/>
            <w:vMerge w:val="continue"/>
            <w:vAlign w:val="center"/>
          </w:tcPr>
          <w:p>
            <w:pPr>
              <w:pStyle w:val="332"/>
              <w:widowControl w:val="0"/>
              <w:rPr>
                <w:color w:val="000000" w:themeColor="text1"/>
                <w14:textFill>
                  <w14:solidFill>
                    <w14:schemeClr w14:val="tx1"/>
                  </w14:solidFill>
                </w14:textFill>
              </w:rPr>
            </w:pPr>
          </w:p>
        </w:tc>
        <w:tc>
          <w:tcPr>
            <w:tcW w:w="243" w:type="pct"/>
            <w:vMerge w:val="continue"/>
            <w:vAlign w:val="center"/>
          </w:tcPr>
          <w:p>
            <w:pPr>
              <w:pStyle w:val="332"/>
              <w:widowControl w:val="0"/>
              <w:rPr>
                <w:color w:val="000000" w:themeColor="text1"/>
                <w14:textFill>
                  <w14:solidFill>
                    <w14:schemeClr w14:val="tx1"/>
                  </w14:solidFill>
                </w14:textFill>
              </w:rPr>
            </w:pPr>
          </w:p>
        </w:tc>
        <w:tc>
          <w:tcPr>
            <w:tcW w:w="333" w:type="pct"/>
            <w:vMerge w:val="continue"/>
            <w:vAlign w:val="center"/>
          </w:tcPr>
          <w:p>
            <w:pPr>
              <w:pStyle w:val="332"/>
              <w:widowControl w:val="0"/>
              <w:rPr>
                <w:color w:val="000000" w:themeColor="text1"/>
                <w14:textFill>
                  <w14:solidFill>
                    <w14:schemeClr w14:val="tx1"/>
                  </w14:solidFill>
                </w14:textFill>
              </w:rPr>
            </w:pPr>
          </w:p>
        </w:tc>
        <w:tc>
          <w:tcPr>
            <w:tcW w:w="2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76" w:type="pct"/>
            <w:vAlign w:val="center"/>
          </w:tcPr>
          <w:p>
            <w:pPr>
              <w:pStyle w:val="332"/>
              <w:widowControl w:val="0"/>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0.0003</w:t>
            </w:r>
          </w:p>
        </w:tc>
        <w:tc>
          <w:tcPr>
            <w:tcW w:w="226"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无害化处理设备</w:t>
            </w:r>
          </w:p>
        </w:tc>
        <w:tc>
          <w:tcPr>
            <w:tcW w:w="28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无害化处理装置</w:t>
            </w:r>
          </w:p>
        </w:tc>
        <w:tc>
          <w:tcPr>
            <w:tcW w:w="316"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30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38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类比法</w:t>
            </w:r>
          </w:p>
        </w:tc>
        <w:tc>
          <w:tcPr>
            <w:tcW w:w="287"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251.85万</w:t>
            </w:r>
          </w:p>
        </w:tc>
        <w:tc>
          <w:tcPr>
            <w:tcW w:w="28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9.98</w:t>
            </w:r>
          </w:p>
        </w:tc>
        <w:tc>
          <w:tcPr>
            <w:tcW w:w="33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0.00043</w:t>
            </w:r>
          </w:p>
        </w:tc>
        <w:tc>
          <w:tcPr>
            <w:tcW w:w="1058" w:type="pct"/>
            <w:vMerge w:val="restar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自带喷淋除臭装置（洗涤塔喷淋石灰水）</w:t>
            </w:r>
          </w:p>
        </w:tc>
        <w:tc>
          <w:tcPr>
            <w:tcW w:w="24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除臭效率60%</w:t>
            </w:r>
          </w:p>
        </w:tc>
        <w:tc>
          <w:tcPr>
            <w:tcW w:w="33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251.85万</w:t>
            </w:r>
          </w:p>
        </w:tc>
        <w:tc>
          <w:tcPr>
            <w:tcW w:w="2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3.99</w:t>
            </w:r>
          </w:p>
        </w:tc>
        <w:tc>
          <w:tcPr>
            <w:tcW w:w="3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0.00017</w:t>
            </w:r>
          </w:p>
        </w:tc>
        <w:tc>
          <w:tcPr>
            <w:tcW w:w="226"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vAlign w:val="center"/>
          </w:tcPr>
          <w:p>
            <w:pPr>
              <w:pStyle w:val="332"/>
              <w:widowControl w:val="0"/>
              <w:rPr>
                <w:color w:val="000000" w:themeColor="text1"/>
                <w14:textFill>
                  <w14:solidFill>
                    <w14:schemeClr w14:val="tx1"/>
                  </w14:solidFill>
                </w14:textFill>
              </w:rPr>
            </w:pPr>
          </w:p>
        </w:tc>
        <w:tc>
          <w:tcPr>
            <w:tcW w:w="289" w:type="pct"/>
            <w:vMerge w:val="continue"/>
            <w:vAlign w:val="center"/>
          </w:tcPr>
          <w:p>
            <w:pPr>
              <w:pStyle w:val="332"/>
              <w:widowControl w:val="0"/>
              <w:rPr>
                <w:color w:val="000000" w:themeColor="text1"/>
                <w14:textFill>
                  <w14:solidFill>
                    <w14:schemeClr w14:val="tx1"/>
                  </w14:solidFill>
                </w14:textFill>
              </w:rPr>
            </w:pPr>
          </w:p>
        </w:tc>
        <w:tc>
          <w:tcPr>
            <w:tcW w:w="316" w:type="pct"/>
            <w:vMerge w:val="continue"/>
            <w:vAlign w:val="center"/>
          </w:tcPr>
          <w:p>
            <w:pPr>
              <w:pStyle w:val="332"/>
              <w:widowControl w:val="0"/>
              <w:rPr>
                <w:color w:val="000000" w:themeColor="text1"/>
                <w14:textFill>
                  <w14:solidFill>
                    <w14:schemeClr w14:val="tx1"/>
                  </w14:solidFill>
                </w14:textFill>
              </w:rPr>
            </w:pPr>
          </w:p>
        </w:tc>
        <w:tc>
          <w:tcPr>
            <w:tcW w:w="30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38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类比法</w:t>
            </w:r>
          </w:p>
        </w:tc>
        <w:tc>
          <w:tcPr>
            <w:tcW w:w="287" w:type="pct"/>
            <w:vMerge w:val="continue"/>
            <w:vAlign w:val="center"/>
          </w:tcPr>
          <w:p>
            <w:pPr>
              <w:pStyle w:val="332"/>
              <w:widowControl w:val="0"/>
              <w:rPr>
                <w:color w:val="000000" w:themeColor="text1"/>
                <w14:textFill>
                  <w14:solidFill>
                    <w14:schemeClr w14:val="tx1"/>
                  </w14:solidFill>
                </w14:textFill>
              </w:rPr>
            </w:pPr>
          </w:p>
        </w:tc>
        <w:tc>
          <w:tcPr>
            <w:tcW w:w="28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0.083</w:t>
            </w:r>
          </w:p>
        </w:tc>
        <w:tc>
          <w:tcPr>
            <w:tcW w:w="33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0.0000035</w:t>
            </w:r>
          </w:p>
        </w:tc>
        <w:tc>
          <w:tcPr>
            <w:tcW w:w="1058" w:type="pct"/>
            <w:vMerge w:val="continue"/>
            <w:vAlign w:val="center"/>
          </w:tcPr>
          <w:p>
            <w:pPr>
              <w:pStyle w:val="332"/>
              <w:widowControl w:val="0"/>
              <w:rPr>
                <w:color w:val="000000" w:themeColor="text1"/>
                <w14:textFill>
                  <w14:solidFill>
                    <w14:schemeClr w14:val="tx1"/>
                  </w14:solidFill>
                </w14:textFill>
              </w:rPr>
            </w:pPr>
          </w:p>
        </w:tc>
        <w:tc>
          <w:tcPr>
            <w:tcW w:w="243" w:type="pct"/>
            <w:vMerge w:val="continue"/>
            <w:vAlign w:val="center"/>
          </w:tcPr>
          <w:p>
            <w:pPr>
              <w:pStyle w:val="332"/>
              <w:widowControl w:val="0"/>
              <w:rPr>
                <w:color w:val="000000" w:themeColor="text1"/>
                <w14:textFill>
                  <w14:solidFill>
                    <w14:schemeClr w14:val="tx1"/>
                  </w14:solidFill>
                </w14:textFill>
              </w:rPr>
            </w:pPr>
          </w:p>
        </w:tc>
        <w:tc>
          <w:tcPr>
            <w:tcW w:w="333" w:type="pct"/>
            <w:vMerge w:val="continue"/>
            <w:vAlign w:val="center"/>
          </w:tcPr>
          <w:p>
            <w:pPr>
              <w:pStyle w:val="332"/>
              <w:widowControl w:val="0"/>
              <w:rPr>
                <w:color w:val="000000" w:themeColor="text1"/>
                <w14:textFill>
                  <w14:solidFill>
                    <w14:schemeClr w14:val="tx1"/>
                  </w14:solidFill>
                </w14:textFill>
              </w:rPr>
            </w:pPr>
          </w:p>
        </w:tc>
        <w:tc>
          <w:tcPr>
            <w:tcW w:w="2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0.033</w:t>
            </w:r>
          </w:p>
        </w:tc>
        <w:tc>
          <w:tcPr>
            <w:tcW w:w="3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0.0000014</w:t>
            </w:r>
          </w:p>
        </w:tc>
        <w:tc>
          <w:tcPr>
            <w:tcW w:w="226"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沼气发电</w:t>
            </w:r>
          </w:p>
        </w:tc>
        <w:tc>
          <w:tcPr>
            <w:tcW w:w="289"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沼气发电机</w:t>
            </w:r>
          </w:p>
        </w:tc>
        <w:tc>
          <w:tcPr>
            <w:tcW w:w="316"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30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38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产污系数</w:t>
            </w:r>
          </w:p>
        </w:tc>
        <w:tc>
          <w:tcPr>
            <w:tcW w:w="287"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30.38万</w:t>
            </w:r>
          </w:p>
        </w:tc>
        <w:tc>
          <w:tcPr>
            <w:tcW w:w="28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33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0.0015</w:t>
            </w:r>
          </w:p>
        </w:tc>
        <w:tc>
          <w:tcPr>
            <w:tcW w:w="1058" w:type="pct"/>
            <w:vMerge w:val="restar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燃烧脱硫后的沼气</w:t>
            </w:r>
          </w:p>
        </w:tc>
        <w:tc>
          <w:tcPr>
            <w:tcW w:w="24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脱硫效率95%</w:t>
            </w:r>
          </w:p>
        </w:tc>
        <w:tc>
          <w:tcPr>
            <w:tcW w:w="333"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30.38万</w:t>
            </w:r>
          </w:p>
        </w:tc>
        <w:tc>
          <w:tcPr>
            <w:tcW w:w="2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3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0.0015</w:t>
            </w:r>
          </w:p>
        </w:tc>
        <w:tc>
          <w:tcPr>
            <w:tcW w:w="226"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vAlign w:val="center"/>
          </w:tcPr>
          <w:p>
            <w:pPr>
              <w:pStyle w:val="332"/>
              <w:widowControl w:val="0"/>
              <w:rPr>
                <w:color w:val="000000" w:themeColor="text1"/>
                <w14:textFill>
                  <w14:solidFill>
                    <w14:schemeClr w14:val="tx1"/>
                  </w14:solidFill>
                </w14:textFill>
              </w:rPr>
            </w:pPr>
          </w:p>
        </w:tc>
        <w:tc>
          <w:tcPr>
            <w:tcW w:w="289" w:type="pct"/>
            <w:vMerge w:val="continue"/>
            <w:vAlign w:val="center"/>
          </w:tcPr>
          <w:p>
            <w:pPr>
              <w:pStyle w:val="332"/>
              <w:widowControl w:val="0"/>
              <w:rPr>
                <w:color w:val="000000" w:themeColor="text1"/>
                <w14:textFill>
                  <w14:solidFill>
                    <w14:schemeClr w14:val="tx1"/>
                  </w14:solidFill>
                </w14:textFill>
              </w:rPr>
            </w:pPr>
          </w:p>
        </w:tc>
        <w:tc>
          <w:tcPr>
            <w:tcW w:w="316" w:type="pct"/>
            <w:vMerge w:val="continue"/>
            <w:vAlign w:val="center"/>
          </w:tcPr>
          <w:p>
            <w:pPr>
              <w:pStyle w:val="332"/>
              <w:widowControl w:val="0"/>
              <w:rPr>
                <w:color w:val="000000" w:themeColor="text1"/>
                <w14:textFill>
                  <w14:solidFill>
                    <w14:schemeClr w14:val="tx1"/>
                  </w14:solidFill>
                </w14:textFill>
              </w:rPr>
            </w:pPr>
          </w:p>
        </w:tc>
        <w:tc>
          <w:tcPr>
            <w:tcW w:w="309" w:type="pct"/>
            <w:vAlign w:val="center"/>
          </w:tcPr>
          <w:p>
            <w:pPr>
              <w:pStyle w:val="332"/>
              <w:widowControl w:val="0"/>
              <w:rPr>
                <w:color w:val="000000" w:themeColor="text1"/>
                <w14:textFill>
                  <w14:solidFill>
                    <w14:schemeClr w14:val="tx1"/>
                  </w14:solidFill>
                </w14:textFill>
              </w:rPr>
            </w:pPr>
            <w:r>
              <w:rPr>
                <w:color w:val="000000" w:themeColor="text1"/>
                <w:spacing w:val="-1"/>
                <w:w w:val="99"/>
                <w:position w:val="2"/>
                <w14:textFill>
                  <w14:solidFill>
                    <w14:schemeClr w14:val="tx1"/>
                  </w14:solidFill>
                </w14:textFill>
              </w:rPr>
              <w:t>SO</w:t>
            </w:r>
            <w:r>
              <w:rPr>
                <w:color w:val="000000" w:themeColor="text1"/>
                <w:spacing w:val="-1"/>
                <w:w w:val="99"/>
                <w:position w:val="2"/>
                <w:vertAlign w:val="subscript"/>
                <w14:textFill>
                  <w14:solidFill>
                    <w14:schemeClr w14:val="tx1"/>
                  </w14:solidFill>
                </w14:textFill>
              </w:rPr>
              <w:t>2</w:t>
            </w:r>
          </w:p>
        </w:tc>
        <w:tc>
          <w:tcPr>
            <w:tcW w:w="38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物料衡算</w:t>
            </w:r>
          </w:p>
        </w:tc>
        <w:tc>
          <w:tcPr>
            <w:tcW w:w="287" w:type="pct"/>
            <w:vMerge w:val="continue"/>
            <w:vAlign w:val="center"/>
          </w:tcPr>
          <w:p>
            <w:pPr>
              <w:pStyle w:val="332"/>
              <w:widowControl w:val="0"/>
              <w:rPr>
                <w:color w:val="000000" w:themeColor="text1"/>
                <w14:textFill>
                  <w14:solidFill>
                    <w14:schemeClr w14:val="tx1"/>
                  </w14:solidFill>
                </w14:textFill>
              </w:rPr>
            </w:pPr>
          </w:p>
        </w:tc>
        <w:tc>
          <w:tcPr>
            <w:tcW w:w="28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4.72</w:t>
            </w:r>
          </w:p>
        </w:tc>
        <w:tc>
          <w:tcPr>
            <w:tcW w:w="33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0.0014</w:t>
            </w:r>
          </w:p>
        </w:tc>
        <w:tc>
          <w:tcPr>
            <w:tcW w:w="1058" w:type="pct"/>
            <w:vMerge w:val="continue"/>
            <w:vAlign w:val="center"/>
          </w:tcPr>
          <w:p>
            <w:pPr>
              <w:pStyle w:val="332"/>
              <w:widowControl w:val="0"/>
              <w:rPr>
                <w:color w:val="000000" w:themeColor="text1"/>
                <w14:textFill>
                  <w14:solidFill>
                    <w14:schemeClr w14:val="tx1"/>
                  </w14:solidFill>
                </w14:textFill>
              </w:rPr>
            </w:pPr>
          </w:p>
        </w:tc>
        <w:tc>
          <w:tcPr>
            <w:tcW w:w="243" w:type="pct"/>
            <w:vMerge w:val="continue"/>
            <w:vAlign w:val="center"/>
          </w:tcPr>
          <w:p>
            <w:pPr>
              <w:pStyle w:val="332"/>
              <w:widowControl w:val="0"/>
              <w:rPr>
                <w:color w:val="000000" w:themeColor="text1"/>
                <w14:textFill>
                  <w14:solidFill>
                    <w14:schemeClr w14:val="tx1"/>
                  </w14:solidFill>
                </w14:textFill>
              </w:rPr>
            </w:pPr>
          </w:p>
        </w:tc>
        <w:tc>
          <w:tcPr>
            <w:tcW w:w="333" w:type="pct"/>
            <w:vMerge w:val="continue"/>
            <w:vAlign w:val="center"/>
          </w:tcPr>
          <w:p>
            <w:pPr>
              <w:pStyle w:val="332"/>
              <w:widowControl w:val="0"/>
              <w:rPr>
                <w:color w:val="000000" w:themeColor="text1"/>
                <w14:textFill>
                  <w14:solidFill>
                    <w14:schemeClr w14:val="tx1"/>
                  </w14:solidFill>
                </w14:textFill>
              </w:rPr>
            </w:pPr>
          </w:p>
        </w:tc>
        <w:tc>
          <w:tcPr>
            <w:tcW w:w="2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4.72</w:t>
            </w:r>
          </w:p>
        </w:tc>
        <w:tc>
          <w:tcPr>
            <w:tcW w:w="3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0.0014</w:t>
            </w:r>
          </w:p>
        </w:tc>
        <w:tc>
          <w:tcPr>
            <w:tcW w:w="226"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vAlign w:val="center"/>
          </w:tcPr>
          <w:p>
            <w:pPr>
              <w:pStyle w:val="332"/>
              <w:widowControl w:val="0"/>
              <w:rPr>
                <w:color w:val="000000" w:themeColor="text1"/>
                <w14:textFill>
                  <w14:solidFill>
                    <w14:schemeClr w14:val="tx1"/>
                  </w14:solidFill>
                </w14:textFill>
              </w:rPr>
            </w:pPr>
          </w:p>
        </w:tc>
        <w:tc>
          <w:tcPr>
            <w:tcW w:w="289" w:type="pct"/>
            <w:vMerge w:val="continue"/>
            <w:vAlign w:val="center"/>
          </w:tcPr>
          <w:p>
            <w:pPr>
              <w:pStyle w:val="332"/>
              <w:widowControl w:val="0"/>
              <w:rPr>
                <w:color w:val="000000" w:themeColor="text1"/>
                <w14:textFill>
                  <w14:solidFill>
                    <w14:schemeClr w14:val="tx1"/>
                  </w14:solidFill>
                </w14:textFill>
              </w:rPr>
            </w:pPr>
          </w:p>
        </w:tc>
        <w:tc>
          <w:tcPr>
            <w:tcW w:w="316" w:type="pct"/>
            <w:vMerge w:val="continue"/>
            <w:vAlign w:val="center"/>
          </w:tcPr>
          <w:p>
            <w:pPr>
              <w:pStyle w:val="332"/>
              <w:widowControl w:val="0"/>
              <w:rPr>
                <w:color w:val="000000" w:themeColor="text1"/>
                <w14:textFill>
                  <w14:solidFill>
                    <w14:schemeClr w14:val="tx1"/>
                  </w14:solidFill>
                </w14:textFill>
              </w:rPr>
            </w:pPr>
          </w:p>
        </w:tc>
        <w:tc>
          <w:tcPr>
            <w:tcW w:w="309" w:type="pct"/>
            <w:vAlign w:val="center"/>
          </w:tcPr>
          <w:p>
            <w:pPr>
              <w:pStyle w:val="332"/>
              <w:widowControl w:val="0"/>
              <w:rPr>
                <w:color w:val="000000" w:themeColor="text1"/>
                <w14:textFill>
                  <w14:solidFill>
                    <w14:schemeClr w14:val="tx1"/>
                  </w14:solidFill>
                </w14:textFill>
              </w:rPr>
            </w:pPr>
            <w:r>
              <w:rPr>
                <w:color w:val="000000" w:themeColor="text1"/>
                <w:w w:val="99"/>
                <w:position w:val="2"/>
                <w14:textFill>
                  <w14:solidFill>
                    <w14:schemeClr w14:val="tx1"/>
                  </w14:solidFill>
                </w14:textFill>
              </w:rPr>
              <w:t>N</w:t>
            </w:r>
            <w:r>
              <w:rPr>
                <w:color w:val="000000" w:themeColor="text1"/>
                <w:spacing w:val="2"/>
                <w:w w:val="99"/>
                <w:position w:val="2"/>
                <w14:textFill>
                  <w14:solidFill>
                    <w14:schemeClr w14:val="tx1"/>
                  </w14:solidFill>
                </w14:textFill>
              </w:rPr>
              <w:t>O</w:t>
            </w:r>
            <w:r>
              <w:rPr>
                <w:color w:val="000000" w:themeColor="text1"/>
                <w:w w:val="105"/>
                <w:sz w:val="13"/>
                <w:szCs w:val="13"/>
                <w:vertAlign w:val="subscript"/>
                <w14:textFill>
                  <w14:solidFill>
                    <w14:schemeClr w14:val="tx1"/>
                  </w14:solidFill>
                </w14:textFill>
              </w:rPr>
              <w:t>X</w:t>
            </w:r>
          </w:p>
        </w:tc>
        <w:tc>
          <w:tcPr>
            <w:tcW w:w="38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产污系数</w:t>
            </w:r>
          </w:p>
        </w:tc>
        <w:tc>
          <w:tcPr>
            <w:tcW w:w="287" w:type="pct"/>
            <w:vMerge w:val="continue"/>
            <w:vAlign w:val="center"/>
          </w:tcPr>
          <w:p>
            <w:pPr>
              <w:pStyle w:val="332"/>
              <w:widowControl w:val="0"/>
              <w:rPr>
                <w:color w:val="000000" w:themeColor="text1"/>
                <w14:textFill>
                  <w14:solidFill>
                    <w14:schemeClr w14:val="tx1"/>
                  </w14:solidFill>
                </w14:textFill>
              </w:rPr>
            </w:pPr>
          </w:p>
        </w:tc>
        <w:tc>
          <w:tcPr>
            <w:tcW w:w="28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148</w:t>
            </w:r>
          </w:p>
        </w:tc>
        <w:tc>
          <w:tcPr>
            <w:tcW w:w="33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0.045</w:t>
            </w:r>
          </w:p>
        </w:tc>
        <w:tc>
          <w:tcPr>
            <w:tcW w:w="1058" w:type="pct"/>
            <w:vMerge w:val="continue"/>
            <w:vAlign w:val="center"/>
          </w:tcPr>
          <w:p>
            <w:pPr>
              <w:pStyle w:val="332"/>
              <w:widowControl w:val="0"/>
              <w:rPr>
                <w:color w:val="000000" w:themeColor="text1"/>
                <w14:textFill>
                  <w14:solidFill>
                    <w14:schemeClr w14:val="tx1"/>
                  </w14:solidFill>
                </w14:textFill>
              </w:rPr>
            </w:pPr>
          </w:p>
        </w:tc>
        <w:tc>
          <w:tcPr>
            <w:tcW w:w="243" w:type="pct"/>
            <w:vMerge w:val="continue"/>
            <w:vAlign w:val="center"/>
          </w:tcPr>
          <w:p>
            <w:pPr>
              <w:pStyle w:val="332"/>
              <w:widowControl w:val="0"/>
              <w:rPr>
                <w:color w:val="000000" w:themeColor="text1"/>
                <w14:textFill>
                  <w14:solidFill>
                    <w14:schemeClr w14:val="tx1"/>
                  </w14:solidFill>
                </w14:textFill>
              </w:rPr>
            </w:pPr>
          </w:p>
        </w:tc>
        <w:tc>
          <w:tcPr>
            <w:tcW w:w="333" w:type="pct"/>
            <w:vMerge w:val="continue"/>
            <w:vAlign w:val="center"/>
          </w:tcPr>
          <w:p>
            <w:pPr>
              <w:pStyle w:val="332"/>
              <w:widowControl w:val="0"/>
              <w:rPr>
                <w:color w:val="000000" w:themeColor="text1"/>
                <w14:textFill>
                  <w14:solidFill>
                    <w14:schemeClr w14:val="tx1"/>
                  </w14:solidFill>
                </w14:textFill>
              </w:rPr>
            </w:pPr>
          </w:p>
        </w:tc>
        <w:tc>
          <w:tcPr>
            <w:tcW w:w="2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148</w:t>
            </w:r>
          </w:p>
        </w:tc>
        <w:tc>
          <w:tcPr>
            <w:tcW w:w="3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0.045</w:t>
            </w:r>
          </w:p>
        </w:tc>
        <w:tc>
          <w:tcPr>
            <w:tcW w:w="226"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食堂</w:t>
            </w:r>
          </w:p>
        </w:tc>
        <w:tc>
          <w:tcPr>
            <w:tcW w:w="28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食堂</w:t>
            </w:r>
          </w:p>
        </w:tc>
        <w:tc>
          <w:tcPr>
            <w:tcW w:w="31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30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油烟</w:t>
            </w:r>
          </w:p>
        </w:tc>
        <w:tc>
          <w:tcPr>
            <w:tcW w:w="38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产污系数</w:t>
            </w:r>
          </w:p>
        </w:tc>
        <w:tc>
          <w:tcPr>
            <w:tcW w:w="28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730万</w:t>
            </w:r>
          </w:p>
        </w:tc>
        <w:tc>
          <w:tcPr>
            <w:tcW w:w="28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33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0.0091</w:t>
            </w:r>
          </w:p>
        </w:tc>
        <w:tc>
          <w:tcPr>
            <w:tcW w:w="1058"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2个基准灶头，每个灶头排风量为2000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/h，安装一台油烟净化装置</w:t>
            </w:r>
          </w:p>
        </w:tc>
        <w:tc>
          <w:tcPr>
            <w:tcW w:w="24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处理效率60%</w:t>
            </w:r>
          </w:p>
        </w:tc>
        <w:tc>
          <w:tcPr>
            <w:tcW w:w="333"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730万</w:t>
            </w:r>
          </w:p>
        </w:tc>
        <w:tc>
          <w:tcPr>
            <w:tcW w:w="26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0.50</w:t>
            </w:r>
          </w:p>
        </w:tc>
        <w:tc>
          <w:tcPr>
            <w:tcW w:w="37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0.0036</w:t>
            </w:r>
          </w:p>
        </w:tc>
        <w:tc>
          <w:tcPr>
            <w:tcW w:w="22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1825</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kern w:val="0"/>
          <w:szCs w:val="21"/>
          <w14:textFill>
            <w14:solidFill>
              <w14:schemeClr w14:val="tx1"/>
            </w14:solidFill>
          </w14:textFill>
        </w:rPr>
      </w:pPr>
      <w:r>
        <w:rPr>
          <w:rFonts w:cs="Times New Roman"/>
          <w:color w:val="000000" w:themeColor="text1"/>
          <w14:textFill>
            <w14:solidFill>
              <w14:schemeClr w14:val="tx1"/>
            </w14:solidFill>
          </w14:textFill>
        </w:rPr>
        <w:t xml:space="preserve">表3.6-2 </w:t>
      </w:r>
      <w:r>
        <w:rPr>
          <w:rFonts w:cs="Times New Roman"/>
          <w:color w:val="000000" w:themeColor="text1"/>
          <w:kern w:val="0"/>
          <w:szCs w:val="21"/>
          <w14:textFill>
            <w14:solidFill>
              <w14:schemeClr w14:val="tx1"/>
            </w14:solidFill>
          </w14:textFill>
        </w:rPr>
        <w:t>本项目废水污染源源强核算结果及相关参数一览表</w:t>
      </w:r>
    </w:p>
    <w:p>
      <w:pPr>
        <w:kinsoku w:val="0"/>
        <w:overflowPunct w:val="0"/>
        <w:autoSpaceDE w:val="0"/>
        <w:autoSpaceDN w:val="0"/>
        <w:adjustRightInd w:val="0"/>
        <w:spacing w:before="4" w:line="240" w:lineRule="auto"/>
        <w:ind w:firstLine="0" w:firstLineChars="0"/>
        <w:jc w:val="left"/>
        <w:rPr>
          <w:rFonts w:cs="Times New Roman"/>
          <w:color w:val="000000" w:themeColor="text1"/>
          <w:kern w:val="0"/>
          <w:sz w:val="4"/>
          <w:szCs w:val="4"/>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1072"/>
        <w:gridCol w:w="763"/>
        <w:gridCol w:w="1260"/>
        <w:gridCol w:w="898"/>
        <w:gridCol w:w="1249"/>
        <w:gridCol w:w="1010"/>
        <w:gridCol w:w="1145"/>
        <w:gridCol w:w="1732"/>
        <w:gridCol w:w="693"/>
        <w:gridCol w:w="1249"/>
        <w:gridCol w:w="1039"/>
        <w:gridCol w:w="1117"/>
        <w:gridCol w:w="807"/>
      </w:tblGrid>
      <w:tr>
        <w:tblPrEx>
          <w:tblCellMar>
            <w:top w:w="0" w:type="dxa"/>
            <w:left w:w="0" w:type="dxa"/>
            <w:bottom w:w="0" w:type="dxa"/>
            <w:right w:w="0" w:type="dxa"/>
          </w:tblCellMar>
        </w:tblPrEx>
        <w:trPr>
          <w:trHeight w:val="397" w:hRule="atLeast"/>
        </w:trPr>
        <w:tc>
          <w:tcPr>
            <w:tcW w:w="382" w:type="pct"/>
            <w:vMerge w:val="restart"/>
            <w:tcBorders>
              <w:top w:val="single" w:color="auto" w:sz="12" w:space="0"/>
              <w:left w:val="single" w:color="auto" w:sz="1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工序</w:t>
            </w:r>
          </w:p>
        </w:tc>
        <w:tc>
          <w:tcPr>
            <w:tcW w:w="272" w:type="pct"/>
            <w:vMerge w:val="restart"/>
            <w:tcBorders>
              <w:top w:val="single" w:color="auto" w:sz="1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装置</w:t>
            </w:r>
          </w:p>
        </w:tc>
        <w:tc>
          <w:tcPr>
            <w:tcW w:w="449" w:type="pct"/>
            <w:vMerge w:val="restart"/>
            <w:tcBorders>
              <w:top w:val="single" w:color="auto" w:sz="1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排放源</w:t>
            </w:r>
          </w:p>
        </w:tc>
        <w:tc>
          <w:tcPr>
            <w:tcW w:w="320" w:type="pct"/>
            <w:vMerge w:val="restart"/>
            <w:tcBorders>
              <w:top w:val="single" w:color="auto" w:sz="1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污染物</w:t>
            </w:r>
          </w:p>
        </w:tc>
        <w:tc>
          <w:tcPr>
            <w:tcW w:w="1213" w:type="pct"/>
            <w:gridSpan w:val="3"/>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污染物产生</w:t>
            </w:r>
          </w:p>
        </w:tc>
        <w:tc>
          <w:tcPr>
            <w:tcW w:w="864" w:type="pct"/>
            <w:gridSpan w:val="2"/>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治理措施</w:t>
            </w:r>
          </w:p>
        </w:tc>
        <w:tc>
          <w:tcPr>
            <w:tcW w:w="1213" w:type="pct"/>
            <w:gridSpan w:val="3"/>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污染物排放</w:t>
            </w:r>
          </w:p>
        </w:tc>
        <w:tc>
          <w:tcPr>
            <w:tcW w:w="287" w:type="pct"/>
            <w:vMerge w:val="restart"/>
            <w:tcBorders>
              <w:top w:val="single" w:color="auto" w:sz="12" w:space="0"/>
              <w:left w:val="single" w:color="000000" w:sz="2" w:space="0"/>
              <w:bottom w:val="single" w:color="auto" w:sz="12" w:space="0"/>
              <w:right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排放</w:t>
            </w:r>
          </w:p>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时间</w:t>
            </w:r>
          </w:p>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（h/a）</w:t>
            </w:r>
          </w:p>
        </w:tc>
      </w:tr>
      <w:tr>
        <w:tblPrEx>
          <w:tblCellMar>
            <w:top w:w="0" w:type="dxa"/>
            <w:left w:w="0" w:type="dxa"/>
            <w:bottom w:w="0" w:type="dxa"/>
            <w:right w:w="0" w:type="dxa"/>
          </w:tblCellMar>
        </w:tblPrEx>
        <w:trPr>
          <w:trHeight w:val="397" w:hRule="atLeast"/>
        </w:trPr>
        <w:tc>
          <w:tcPr>
            <w:tcW w:w="382" w:type="pct"/>
            <w:vMerge w:val="continue"/>
            <w:tcBorders>
              <w:top w:val="single" w:color="000000" w:sz="2" w:space="0"/>
              <w:left w:val="single" w:color="auto" w:sz="1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p>
        </w:tc>
        <w:tc>
          <w:tcPr>
            <w:tcW w:w="272" w:type="pct"/>
            <w:vMerge w:val="continue"/>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p>
        </w:tc>
        <w:tc>
          <w:tcPr>
            <w:tcW w:w="449" w:type="pct"/>
            <w:vMerge w:val="continue"/>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p>
        </w:tc>
        <w:tc>
          <w:tcPr>
            <w:tcW w:w="320" w:type="pct"/>
            <w:vMerge w:val="continue"/>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p>
        </w:tc>
        <w:tc>
          <w:tcPr>
            <w:tcW w:w="445"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核算方法</w:t>
            </w:r>
          </w:p>
        </w:tc>
        <w:tc>
          <w:tcPr>
            <w:tcW w:w="360"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产生浓</w:t>
            </w:r>
          </w:p>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度</w:t>
            </w:r>
            <w:r>
              <w:rPr>
                <w:color w:val="000000" w:themeColor="text1"/>
                <w:spacing w:val="-58"/>
                <w:szCs w:val="21"/>
                <w14:textFill>
                  <w14:solidFill>
                    <w14:schemeClr w14:val="tx1"/>
                  </w14:solidFill>
                </w14:textFill>
              </w:rPr>
              <w:t xml:space="preserve"> </w:t>
            </w:r>
            <w:r>
              <w:rPr>
                <w:color w:val="000000" w:themeColor="text1"/>
                <w:szCs w:val="21"/>
                <w14:textFill>
                  <w14:solidFill>
                    <w14:schemeClr w14:val="tx1"/>
                  </w14:solidFill>
                </w14:textFill>
              </w:rPr>
              <w:t>mg/m</w:t>
            </w:r>
            <w:r>
              <w:rPr>
                <w:color w:val="000000" w:themeColor="text1"/>
                <w:position w:val="7"/>
                <w:sz w:val="13"/>
                <w:szCs w:val="13"/>
                <w14:textFill>
                  <w14:solidFill>
                    <w14:schemeClr w14:val="tx1"/>
                  </w14:solidFill>
                </w14:textFill>
              </w:rPr>
              <w:t>3</w:t>
            </w:r>
          </w:p>
        </w:tc>
        <w:tc>
          <w:tcPr>
            <w:tcW w:w="408"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w:t>
            </w:r>
          </w:p>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（t/a）</w:t>
            </w:r>
          </w:p>
        </w:tc>
        <w:tc>
          <w:tcPr>
            <w:tcW w:w="617"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工艺</w:t>
            </w:r>
          </w:p>
        </w:tc>
        <w:tc>
          <w:tcPr>
            <w:tcW w:w="247"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w w:val="99"/>
                <w:szCs w:val="21"/>
                <w14:textFill>
                  <w14:solidFill>
                    <w14:schemeClr w14:val="tx1"/>
                  </w14:solidFill>
                </w14:textFill>
              </w:rPr>
              <w:t>效</w:t>
            </w:r>
            <w:r>
              <w:rPr>
                <w:color w:val="000000" w:themeColor="text1"/>
                <w:szCs w:val="21"/>
                <w14:textFill>
                  <w14:solidFill>
                    <w14:schemeClr w14:val="tx1"/>
                  </w14:solidFill>
                </w14:textFill>
              </w:rPr>
              <w:t>率%</w:t>
            </w:r>
          </w:p>
        </w:tc>
        <w:tc>
          <w:tcPr>
            <w:tcW w:w="445"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核算方法</w:t>
            </w:r>
          </w:p>
        </w:tc>
        <w:tc>
          <w:tcPr>
            <w:tcW w:w="370"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排放浓度</w:t>
            </w:r>
          </w:p>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mg/m</w:t>
            </w:r>
            <w:r>
              <w:rPr>
                <w:color w:val="000000" w:themeColor="text1"/>
                <w:position w:val="7"/>
                <w:sz w:val="13"/>
                <w:szCs w:val="13"/>
                <w14:textFill>
                  <w14:solidFill>
                    <w14:schemeClr w14:val="tx1"/>
                  </w14:solidFill>
                </w14:textFill>
              </w:rPr>
              <w:t>3</w:t>
            </w:r>
          </w:p>
        </w:tc>
        <w:tc>
          <w:tcPr>
            <w:tcW w:w="398"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w:t>
            </w:r>
          </w:p>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（t/a）</w:t>
            </w:r>
          </w:p>
        </w:tc>
        <w:tc>
          <w:tcPr>
            <w:tcW w:w="287" w:type="pct"/>
            <w:vMerge w:val="continue"/>
            <w:tcBorders>
              <w:top w:val="single" w:color="000000" w:sz="10" w:space="0"/>
              <w:left w:val="single" w:color="000000" w:sz="2"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82" w:type="pct"/>
            <w:vMerge w:val="restart"/>
            <w:tcBorders>
              <w:top w:val="single" w:color="auto" w:sz="12" w:space="0"/>
              <w:left w:val="single" w:color="auto" w:sz="12" w:space="0"/>
              <w:bottom w:val="single" w:color="000000" w:sz="10"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养殖过程、职工办公生活区</w:t>
            </w:r>
          </w:p>
        </w:tc>
        <w:tc>
          <w:tcPr>
            <w:tcW w:w="272" w:type="pct"/>
            <w:vMerge w:val="restart"/>
            <w:tcBorders>
              <w:top w:val="single" w:color="auto" w:sz="12" w:space="0"/>
              <w:left w:val="single" w:color="000000" w:sz="2" w:space="0"/>
              <w:bottom w:val="single" w:color="000000" w:sz="10"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猪舍、生活区</w:t>
            </w:r>
          </w:p>
        </w:tc>
        <w:tc>
          <w:tcPr>
            <w:tcW w:w="449" w:type="pct"/>
            <w:vMerge w:val="restart"/>
            <w:tcBorders>
              <w:top w:val="single" w:color="auto" w:sz="12" w:space="0"/>
              <w:left w:val="single" w:color="000000" w:sz="2" w:space="0"/>
              <w:bottom w:val="single" w:color="000000" w:sz="10" w:space="0"/>
              <w:right w:val="single" w:color="000000" w:sz="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养殖废水、生活废水、无害化设备冷凝水、堆肥渗滤液</w:t>
            </w:r>
          </w:p>
        </w:tc>
        <w:tc>
          <w:tcPr>
            <w:tcW w:w="320" w:type="pc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废水量</w:t>
            </w:r>
          </w:p>
        </w:tc>
        <w:tc>
          <w:tcPr>
            <w:tcW w:w="445" w:type="pc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产污系数法</w:t>
            </w:r>
          </w:p>
        </w:tc>
        <w:tc>
          <w:tcPr>
            <w:tcW w:w="360" w:type="pc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408" w:type="pc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12719.9</w:t>
            </w:r>
          </w:p>
        </w:tc>
        <w:tc>
          <w:tcPr>
            <w:tcW w:w="617" w:type="pct"/>
            <w:vMerge w:val="restart"/>
            <w:tcBorders>
              <w:top w:val="single" w:color="auto" w:sz="12" w:space="0"/>
              <w:left w:val="single" w:color="000000" w:sz="2" w:space="0"/>
              <w:bottom w:val="single" w:color="000000" w:sz="10" w:space="0"/>
              <w:right w:val="single" w:color="000000" w:sz="2" w:space="0"/>
            </w:tcBorders>
            <w:vAlign w:val="center"/>
          </w:tcPr>
          <w:p>
            <w:pPr>
              <w:pStyle w:val="332"/>
              <w:jc w:val="both"/>
              <w:rPr>
                <w:color w:val="000000" w:themeColor="text1"/>
                <w14:textFill>
                  <w14:solidFill>
                    <w14:schemeClr w14:val="tx1"/>
                  </w14:solidFill>
                </w14:textFill>
              </w:rPr>
            </w:pPr>
            <w:r>
              <w:rPr>
                <w:color w:val="000000" w:themeColor="text1"/>
                <w:szCs w:val="21"/>
                <w14:textFill>
                  <w14:solidFill>
                    <w14:schemeClr w14:val="tx1"/>
                  </w14:solidFill>
                </w14:textFill>
              </w:rPr>
              <w:t>排入场区黑膜沼气池内，经厌氧处理后，产生的沼液作为农肥施用于周围农田；沼渣堆肥后作为有机肥基料外售</w:t>
            </w:r>
          </w:p>
        </w:tc>
        <w:tc>
          <w:tcPr>
            <w:tcW w:w="247" w:type="pc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445" w:type="pc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排污系数法</w:t>
            </w:r>
          </w:p>
        </w:tc>
        <w:tc>
          <w:tcPr>
            <w:tcW w:w="370" w:type="pc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398" w:type="pc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12719.9</w:t>
            </w:r>
          </w:p>
        </w:tc>
        <w:tc>
          <w:tcPr>
            <w:tcW w:w="287" w:type="pct"/>
            <w:vMerge w:val="restart"/>
            <w:tcBorders>
              <w:top w:val="single" w:color="auto" w:sz="12" w:space="0"/>
              <w:left w:val="single" w:color="000000" w:sz="2" w:space="0"/>
              <w:bottom w:val="single" w:color="000000" w:sz="10" w:space="0"/>
              <w:right w:val="single" w:color="auto" w:sz="1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8760</w:t>
            </w:r>
          </w:p>
        </w:tc>
      </w:tr>
      <w:tr>
        <w:tblPrEx>
          <w:tblCellMar>
            <w:top w:w="0" w:type="dxa"/>
            <w:left w:w="0" w:type="dxa"/>
            <w:bottom w:w="0" w:type="dxa"/>
            <w:right w:w="0" w:type="dxa"/>
          </w:tblCellMar>
        </w:tblPrEx>
        <w:trPr>
          <w:trHeight w:val="397" w:hRule="atLeast"/>
        </w:trPr>
        <w:tc>
          <w:tcPr>
            <w:tcW w:w="382" w:type="pct"/>
            <w:vMerge w:val="continue"/>
            <w:tcBorders>
              <w:top w:val="single" w:color="000000" w:sz="2" w:space="0"/>
              <w:left w:val="single" w:color="auto" w:sz="12" w:space="0"/>
              <w:bottom w:val="single" w:color="000000" w:sz="10" w:space="0"/>
              <w:right w:val="single" w:color="000000" w:sz="2" w:space="0"/>
            </w:tcBorders>
            <w:vAlign w:val="center"/>
          </w:tcPr>
          <w:p>
            <w:pPr>
              <w:pStyle w:val="332"/>
              <w:rPr>
                <w:color w:val="000000" w:themeColor="text1"/>
                <w14:textFill>
                  <w14:solidFill>
                    <w14:schemeClr w14:val="tx1"/>
                  </w14:solidFill>
                </w14:textFill>
              </w:rPr>
            </w:pPr>
          </w:p>
        </w:tc>
        <w:tc>
          <w:tcPr>
            <w:tcW w:w="272" w:type="pct"/>
            <w:vMerge w:val="continue"/>
            <w:tcBorders>
              <w:top w:val="single" w:color="000000" w:sz="2" w:space="0"/>
              <w:left w:val="single" w:color="000000" w:sz="2" w:space="0"/>
              <w:bottom w:val="single" w:color="000000" w:sz="10" w:space="0"/>
              <w:right w:val="single" w:color="000000" w:sz="2" w:space="0"/>
            </w:tcBorders>
            <w:vAlign w:val="center"/>
          </w:tcPr>
          <w:p>
            <w:pPr>
              <w:pStyle w:val="332"/>
              <w:rPr>
                <w:color w:val="000000" w:themeColor="text1"/>
                <w14:textFill>
                  <w14:solidFill>
                    <w14:schemeClr w14:val="tx1"/>
                  </w14:solidFill>
                </w14:textFill>
              </w:rPr>
            </w:pPr>
          </w:p>
        </w:tc>
        <w:tc>
          <w:tcPr>
            <w:tcW w:w="449" w:type="pct"/>
            <w:vMerge w:val="continue"/>
            <w:tcBorders>
              <w:top w:val="single" w:color="000000" w:sz="2" w:space="0"/>
              <w:left w:val="single" w:color="000000" w:sz="2" w:space="0"/>
              <w:bottom w:val="single" w:color="000000" w:sz="10" w:space="0"/>
              <w:right w:val="single" w:color="000000" w:sz="2" w:space="0"/>
            </w:tcBorders>
            <w:vAlign w:val="center"/>
          </w:tcPr>
          <w:p>
            <w:pPr>
              <w:pStyle w:val="332"/>
              <w:rPr>
                <w:color w:val="000000" w:themeColor="text1"/>
                <w14:textFill>
                  <w14:solidFill>
                    <w14:schemeClr w14:val="tx1"/>
                  </w14:solidFill>
                </w14:textFill>
              </w:rPr>
            </w:pPr>
          </w:p>
        </w:tc>
        <w:tc>
          <w:tcPr>
            <w:tcW w:w="320"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COD</w:t>
            </w:r>
          </w:p>
        </w:tc>
        <w:tc>
          <w:tcPr>
            <w:tcW w:w="44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产污系数法</w:t>
            </w:r>
          </w:p>
        </w:tc>
        <w:tc>
          <w:tcPr>
            <w:tcW w:w="360"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15000</w:t>
            </w:r>
          </w:p>
        </w:tc>
        <w:tc>
          <w:tcPr>
            <w:tcW w:w="408"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190.8</w:t>
            </w:r>
          </w:p>
        </w:tc>
        <w:tc>
          <w:tcPr>
            <w:tcW w:w="617" w:type="pct"/>
            <w:vMerge w:val="continue"/>
            <w:tcBorders>
              <w:top w:val="single" w:color="000000" w:sz="2" w:space="0"/>
              <w:left w:val="single" w:color="000000" w:sz="2" w:space="0"/>
              <w:bottom w:val="single" w:color="000000" w:sz="10" w:space="0"/>
              <w:right w:val="single" w:color="000000" w:sz="2" w:space="0"/>
            </w:tcBorders>
            <w:vAlign w:val="center"/>
          </w:tcPr>
          <w:p>
            <w:pPr>
              <w:pStyle w:val="332"/>
              <w:rPr>
                <w:color w:val="000000" w:themeColor="text1"/>
                <w14:textFill>
                  <w14:solidFill>
                    <w14:schemeClr w14:val="tx1"/>
                  </w14:solidFill>
                </w14:textFill>
              </w:rPr>
            </w:pPr>
          </w:p>
        </w:tc>
        <w:tc>
          <w:tcPr>
            <w:tcW w:w="247"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80</w:t>
            </w:r>
          </w:p>
        </w:tc>
        <w:tc>
          <w:tcPr>
            <w:tcW w:w="44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排污系数法</w:t>
            </w:r>
          </w:p>
        </w:tc>
        <w:tc>
          <w:tcPr>
            <w:tcW w:w="370"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3000</w:t>
            </w:r>
          </w:p>
        </w:tc>
        <w:tc>
          <w:tcPr>
            <w:tcW w:w="398"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38.16</w:t>
            </w:r>
          </w:p>
        </w:tc>
        <w:tc>
          <w:tcPr>
            <w:tcW w:w="287" w:type="pct"/>
            <w:vMerge w:val="continue"/>
            <w:tcBorders>
              <w:top w:val="single" w:color="000000" w:sz="2" w:space="0"/>
              <w:left w:val="single" w:color="000000" w:sz="2" w:space="0"/>
              <w:bottom w:val="single" w:color="000000" w:sz="10" w:space="0"/>
              <w:right w:val="single" w:color="auto" w:sz="12"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82" w:type="pct"/>
            <w:vMerge w:val="continue"/>
            <w:tcBorders>
              <w:top w:val="single" w:color="000000" w:sz="2" w:space="0"/>
              <w:left w:val="single" w:color="auto" w:sz="12" w:space="0"/>
              <w:bottom w:val="single" w:color="000000" w:sz="10" w:space="0"/>
              <w:right w:val="single" w:color="000000" w:sz="2" w:space="0"/>
            </w:tcBorders>
            <w:vAlign w:val="center"/>
          </w:tcPr>
          <w:p>
            <w:pPr>
              <w:pStyle w:val="332"/>
              <w:rPr>
                <w:color w:val="000000" w:themeColor="text1"/>
                <w14:textFill>
                  <w14:solidFill>
                    <w14:schemeClr w14:val="tx1"/>
                  </w14:solidFill>
                </w14:textFill>
              </w:rPr>
            </w:pPr>
          </w:p>
        </w:tc>
        <w:tc>
          <w:tcPr>
            <w:tcW w:w="272" w:type="pct"/>
            <w:vMerge w:val="continue"/>
            <w:tcBorders>
              <w:top w:val="single" w:color="000000" w:sz="2" w:space="0"/>
              <w:left w:val="single" w:color="000000" w:sz="2" w:space="0"/>
              <w:bottom w:val="single" w:color="000000" w:sz="10" w:space="0"/>
              <w:right w:val="single" w:color="000000" w:sz="2" w:space="0"/>
            </w:tcBorders>
            <w:vAlign w:val="center"/>
          </w:tcPr>
          <w:p>
            <w:pPr>
              <w:pStyle w:val="332"/>
              <w:rPr>
                <w:color w:val="000000" w:themeColor="text1"/>
                <w14:textFill>
                  <w14:solidFill>
                    <w14:schemeClr w14:val="tx1"/>
                  </w14:solidFill>
                </w14:textFill>
              </w:rPr>
            </w:pPr>
          </w:p>
        </w:tc>
        <w:tc>
          <w:tcPr>
            <w:tcW w:w="449" w:type="pct"/>
            <w:vMerge w:val="continue"/>
            <w:tcBorders>
              <w:top w:val="single" w:color="000000" w:sz="2" w:space="0"/>
              <w:left w:val="single" w:color="000000" w:sz="2" w:space="0"/>
              <w:bottom w:val="single" w:color="000000" w:sz="10" w:space="0"/>
              <w:right w:val="single" w:color="000000" w:sz="2" w:space="0"/>
            </w:tcBorders>
            <w:vAlign w:val="center"/>
          </w:tcPr>
          <w:p>
            <w:pPr>
              <w:pStyle w:val="332"/>
              <w:rPr>
                <w:color w:val="000000" w:themeColor="text1"/>
                <w14:textFill>
                  <w14:solidFill>
                    <w14:schemeClr w14:val="tx1"/>
                  </w14:solidFill>
                </w14:textFill>
              </w:rPr>
            </w:pPr>
          </w:p>
        </w:tc>
        <w:tc>
          <w:tcPr>
            <w:tcW w:w="320"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position w:val="2"/>
                <w:szCs w:val="21"/>
                <w14:textFill>
                  <w14:solidFill>
                    <w14:schemeClr w14:val="tx1"/>
                  </w14:solidFill>
                </w14:textFill>
              </w:rPr>
              <w:t>BOD</w:t>
            </w:r>
            <w:r>
              <w:rPr>
                <w:color w:val="000000" w:themeColor="text1"/>
                <w:sz w:val="13"/>
                <w:szCs w:val="13"/>
                <w14:textFill>
                  <w14:solidFill>
                    <w14:schemeClr w14:val="tx1"/>
                  </w14:solidFill>
                </w14:textFill>
              </w:rPr>
              <w:t>5</w:t>
            </w:r>
          </w:p>
        </w:tc>
        <w:tc>
          <w:tcPr>
            <w:tcW w:w="44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产污系数法</w:t>
            </w:r>
          </w:p>
        </w:tc>
        <w:tc>
          <w:tcPr>
            <w:tcW w:w="360"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6000</w:t>
            </w:r>
          </w:p>
        </w:tc>
        <w:tc>
          <w:tcPr>
            <w:tcW w:w="408"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76.32</w:t>
            </w:r>
          </w:p>
        </w:tc>
        <w:tc>
          <w:tcPr>
            <w:tcW w:w="617" w:type="pct"/>
            <w:vMerge w:val="continue"/>
            <w:tcBorders>
              <w:top w:val="single" w:color="000000" w:sz="2" w:space="0"/>
              <w:left w:val="single" w:color="000000" w:sz="2" w:space="0"/>
              <w:bottom w:val="single" w:color="000000" w:sz="10" w:space="0"/>
              <w:right w:val="single" w:color="000000" w:sz="2" w:space="0"/>
            </w:tcBorders>
            <w:vAlign w:val="center"/>
          </w:tcPr>
          <w:p>
            <w:pPr>
              <w:pStyle w:val="332"/>
              <w:rPr>
                <w:color w:val="000000" w:themeColor="text1"/>
                <w14:textFill>
                  <w14:solidFill>
                    <w14:schemeClr w14:val="tx1"/>
                  </w14:solidFill>
                </w14:textFill>
              </w:rPr>
            </w:pPr>
          </w:p>
        </w:tc>
        <w:tc>
          <w:tcPr>
            <w:tcW w:w="247"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76.7</w:t>
            </w:r>
          </w:p>
        </w:tc>
        <w:tc>
          <w:tcPr>
            <w:tcW w:w="44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排污系数法</w:t>
            </w:r>
          </w:p>
        </w:tc>
        <w:tc>
          <w:tcPr>
            <w:tcW w:w="370"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1400</w:t>
            </w:r>
          </w:p>
        </w:tc>
        <w:tc>
          <w:tcPr>
            <w:tcW w:w="398"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17.81</w:t>
            </w:r>
          </w:p>
        </w:tc>
        <w:tc>
          <w:tcPr>
            <w:tcW w:w="287" w:type="pct"/>
            <w:vMerge w:val="continue"/>
            <w:tcBorders>
              <w:top w:val="single" w:color="000000" w:sz="2" w:space="0"/>
              <w:left w:val="single" w:color="000000" w:sz="2" w:space="0"/>
              <w:bottom w:val="single" w:color="000000" w:sz="10" w:space="0"/>
              <w:right w:val="single" w:color="auto" w:sz="12"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82" w:type="pct"/>
            <w:vMerge w:val="continue"/>
            <w:tcBorders>
              <w:top w:val="single" w:color="000000" w:sz="2" w:space="0"/>
              <w:left w:val="single" w:color="auto" w:sz="12" w:space="0"/>
              <w:bottom w:val="single" w:color="000000" w:sz="10" w:space="0"/>
              <w:right w:val="single" w:color="000000" w:sz="2" w:space="0"/>
            </w:tcBorders>
            <w:vAlign w:val="center"/>
          </w:tcPr>
          <w:p>
            <w:pPr>
              <w:pStyle w:val="332"/>
              <w:rPr>
                <w:color w:val="000000" w:themeColor="text1"/>
                <w14:textFill>
                  <w14:solidFill>
                    <w14:schemeClr w14:val="tx1"/>
                  </w14:solidFill>
                </w14:textFill>
              </w:rPr>
            </w:pPr>
          </w:p>
        </w:tc>
        <w:tc>
          <w:tcPr>
            <w:tcW w:w="272" w:type="pct"/>
            <w:vMerge w:val="continue"/>
            <w:tcBorders>
              <w:top w:val="single" w:color="000000" w:sz="2" w:space="0"/>
              <w:left w:val="single" w:color="000000" w:sz="2" w:space="0"/>
              <w:bottom w:val="single" w:color="000000" w:sz="10" w:space="0"/>
              <w:right w:val="single" w:color="000000" w:sz="2" w:space="0"/>
            </w:tcBorders>
            <w:vAlign w:val="center"/>
          </w:tcPr>
          <w:p>
            <w:pPr>
              <w:pStyle w:val="332"/>
              <w:rPr>
                <w:color w:val="000000" w:themeColor="text1"/>
                <w14:textFill>
                  <w14:solidFill>
                    <w14:schemeClr w14:val="tx1"/>
                  </w14:solidFill>
                </w14:textFill>
              </w:rPr>
            </w:pPr>
          </w:p>
        </w:tc>
        <w:tc>
          <w:tcPr>
            <w:tcW w:w="449" w:type="pct"/>
            <w:vMerge w:val="continue"/>
            <w:tcBorders>
              <w:top w:val="single" w:color="000000" w:sz="2" w:space="0"/>
              <w:left w:val="single" w:color="000000" w:sz="2" w:space="0"/>
              <w:bottom w:val="single" w:color="000000" w:sz="10" w:space="0"/>
              <w:right w:val="single" w:color="000000" w:sz="2" w:space="0"/>
            </w:tcBorders>
            <w:vAlign w:val="center"/>
          </w:tcPr>
          <w:p>
            <w:pPr>
              <w:pStyle w:val="332"/>
              <w:rPr>
                <w:color w:val="000000" w:themeColor="text1"/>
                <w14:textFill>
                  <w14:solidFill>
                    <w14:schemeClr w14:val="tx1"/>
                  </w14:solidFill>
                </w14:textFill>
              </w:rPr>
            </w:pPr>
          </w:p>
        </w:tc>
        <w:tc>
          <w:tcPr>
            <w:tcW w:w="320"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SS</w:t>
            </w:r>
          </w:p>
        </w:tc>
        <w:tc>
          <w:tcPr>
            <w:tcW w:w="44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产污系数法</w:t>
            </w:r>
          </w:p>
        </w:tc>
        <w:tc>
          <w:tcPr>
            <w:tcW w:w="360"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7800</w:t>
            </w:r>
          </w:p>
        </w:tc>
        <w:tc>
          <w:tcPr>
            <w:tcW w:w="408"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99.22</w:t>
            </w:r>
          </w:p>
        </w:tc>
        <w:tc>
          <w:tcPr>
            <w:tcW w:w="617" w:type="pct"/>
            <w:vMerge w:val="continue"/>
            <w:tcBorders>
              <w:top w:val="single" w:color="000000" w:sz="2" w:space="0"/>
              <w:left w:val="single" w:color="000000" w:sz="2" w:space="0"/>
              <w:bottom w:val="single" w:color="000000" w:sz="10" w:space="0"/>
              <w:right w:val="single" w:color="000000" w:sz="2" w:space="0"/>
            </w:tcBorders>
            <w:vAlign w:val="center"/>
          </w:tcPr>
          <w:p>
            <w:pPr>
              <w:pStyle w:val="332"/>
              <w:rPr>
                <w:color w:val="000000" w:themeColor="text1"/>
                <w14:textFill>
                  <w14:solidFill>
                    <w14:schemeClr w14:val="tx1"/>
                  </w14:solidFill>
                </w14:textFill>
              </w:rPr>
            </w:pPr>
          </w:p>
        </w:tc>
        <w:tc>
          <w:tcPr>
            <w:tcW w:w="247"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74.4</w:t>
            </w:r>
          </w:p>
        </w:tc>
        <w:tc>
          <w:tcPr>
            <w:tcW w:w="44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排污系数法</w:t>
            </w:r>
          </w:p>
        </w:tc>
        <w:tc>
          <w:tcPr>
            <w:tcW w:w="370"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2000</w:t>
            </w:r>
          </w:p>
        </w:tc>
        <w:tc>
          <w:tcPr>
            <w:tcW w:w="398"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25.44</w:t>
            </w:r>
          </w:p>
        </w:tc>
        <w:tc>
          <w:tcPr>
            <w:tcW w:w="287" w:type="pct"/>
            <w:vMerge w:val="continue"/>
            <w:tcBorders>
              <w:top w:val="single" w:color="000000" w:sz="2" w:space="0"/>
              <w:left w:val="single" w:color="000000" w:sz="2" w:space="0"/>
              <w:bottom w:val="single" w:color="000000" w:sz="10" w:space="0"/>
              <w:right w:val="single" w:color="auto" w:sz="12"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82" w:type="pct"/>
            <w:vMerge w:val="continue"/>
            <w:tcBorders>
              <w:top w:val="single" w:color="000000" w:sz="2" w:space="0"/>
              <w:left w:val="single" w:color="auto" w:sz="1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p>
        </w:tc>
        <w:tc>
          <w:tcPr>
            <w:tcW w:w="272" w:type="pct"/>
            <w:vMerge w:val="continue"/>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p>
        </w:tc>
        <w:tc>
          <w:tcPr>
            <w:tcW w:w="449" w:type="pct"/>
            <w:vMerge w:val="continue"/>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p>
        </w:tc>
        <w:tc>
          <w:tcPr>
            <w:tcW w:w="320"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氨氮</w:t>
            </w:r>
          </w:p>
        </w:tc>
        <w:tc>
          <w:tcPr>
            <w:tcW w:w="445"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产污系数法</w:t>
            </w:r>
          </w:p>
        </w:tc>
        <w:tc>
          <w:tcPr>
            <w:tcW w:w="360"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1000</w:t>
            </w:r>
          </w:p>
        </w:tc>
        <w:tc>
          <w:tcPr>
            <w:tcW w:w="408"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12.72</w:t>
            </w:r>
          </w:p>
        </w:tc>
        <w:tc>
          <w:tcPr>
            <w:tcW w:w="617" w:type="pct"/>
            <w:vMerge w:val="continue"/>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p>
        </w:tc>
        <w:tc>
          <w:tcPr>
            <w:tcW w:w="247"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10.0</w:t>
            </w:r>
          </w:p>
        </w:tc>
        <w:tc>
          <w:tcPr>
            <w:tcW w:w="445"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排污系数法</w:t>
            </w:r>
          </w:p>
        </w:tc>
        <w:tc>
          <w:tcPr>
            <w:tcW w:w="370"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900</w:t>
            </w:r>
          </w:p>
        </w:tc>
        <w:tc>
          <w:tcPr>
            <w:tcW w:w="398"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11.45</w:t>
            </w:r>
          </w:p>
        </w:tc>
        <w:tc>
          <w:tcPr>
            <w:tcW w:w="287" w:type="pct"/>
            <w:vMerge w:val="continue"/>
            <w:tcBorders>
              <w:top w:val="single" w:color="000000" w:sz="2" w:space="0"/>
              <w:left w:val="single" w:color="000000" w:sz="2"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表3.6-3 本项目固体废物污染源源强核算结果及相关参数一览表</w:t>
      </w:r>
    </w:p>
    <w:p>
      <w:pPr>
        <w:kinsoku w:val="0"/>
        <w:overflowPunct w:val="0"/>
        <w:autoSpaceDE w:val="0"/>
        <w:autoSpaceDN w:val="0"/>
        <w:adjustRightInd w:val="0"/>
        <w:spacing w:before="8" w:line="240" w:lineRule="auto"/>
        <w:ind w:firstLine="0" w:firstLineChars="0"/>
        <w:jc w:val="left"/>
        <w:rPr>
          <w:rFonts w:cs="Times New Roman"/>
          <w:color w:val="000000" w:themeColor="text1"/>
          <w:kern w:val="0"/>
          <w:sz w:val="3"/>
          <w:szCs w:val="3"/>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1123"/>
        <w:gridCol w:w="999"/>
        <w:gridCol w:w="996"/>
        <w:gridCol w:w="996"/>
        <w:gridCol w:w="1280"/>
        <w:gridCol w:w="853"/>
        <w:gridCol w:w="4415"/>
        <w:gridCol w:w="853"/>
        <w:gridCol w:w="2519"/>
      </w:tblGrid>
      <w:tr>
        <w:tblPrEx>
          <w:tblCellMar>
            <w:top w:w="0" w:type="dxa"/>
            <w:left w:w="0" w:type="dxa"/>
            <w:bottom w:w="0" w:type="dxa"/>
            <w:right w:w="0" w:type="dxa"/>
          </w:tblCellMar>
        </w:tblPrEx>
        <w:trPr>
          <w:trHeight w:val="397" w:hRule="atLeast"/>
        </w:trPr>
        <w:tc>
          <w:tcPr>
            <w:tcW w:w="400" w:type="pct"/>
            <w:vMerge w:val="restart"/>
            <w:tcBorders>
              <w:top w:val="single" w:color="auto" w:sz="12" w:space="0"/>
              <w:left w:val="single" w:color="auto" w:sz="1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工序</w:t>
            </w:r>
          </w:p>
        </w:tc>
        <w:tc>
          <w:tcPr>
            <w:tcW w:w="356" w:type="pct"/>
            <w:vMerge w:val="restar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装置</w:t>
            </w:r>
          </w:p>
        </w:tc>
        <w:tc>
          <w:tcPr>
            <w:tcW w:w="355" w:type="pct"/>
            <w:vMerge w:val="restar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固体废物名称</w:t>
            </w:r>
          </w:p>
        </w:tc>
        <w:tc>
          <w:tcPr>
            <w:tcW w:w="355" w:type="pct"/>
            <w:vMerge w:val="restar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固体废物属性</w:t>
            </w:r>
          </w:p>
        </w:tc>
        <w:tc>
          <w:tcPr>
            <w:tcW w:w="760" w:type="pct"/>
            <w:gridSpan w:val="2"/>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产生量</w:t>
            </w:r>
          </w:p>
        </w:tc>
        <w:tc>
          <w:tcPr>
            <w:tcW w:w="1877" w:type="pct"/>
            <w:gridSpan w:val="2"/>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处置措施</w:t>
            </w:r>
          </w:p>
        </w:tc>
        <w:tc>
          <w:tcPr>
            <w:tcW w:w="897" w:type="pct"/>
            <w:vMerge w:val="restart"/>
            <w:tcBorders>
              <w:top w:val="single" w:color="auto" w:sz="12" w:space="0"/>
              <w:left w:val="single" w:color="000000" w:sz="2" w:space="0"/>
              <w:bottom w:val="single" w:color="000000" w:sz="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最终去向</w:t>
            </w:r>
          </w:p>
        </w:tc>
      </w:tr>
      <w:tr>
        <w:tblPrEx>
          <w:tblCellMar>
            <w:top w:w="0" w:type="dxa"/>
            <w:left w:w="0" w:type="dxa"/>
            <w:bottom w:w="0" w:type="dxa"/>
            <w:right w:w="0" w:type="dxa"/>
          </w:tblCellMar>
        </w:tblPrEx>
        <w:trPr>
          <w:trHeight w:val="397" w:hRule="atLeast"/>
        </w:trPr>
        <w:tc>
          <w:tcPr>
            <w:tcW w:w="400" w:type="pct"/>
            <w:vMerge w:val="continue"/>
            <w:tcBorders>
              <w:top w:val="single" w:color="000000" w:sz="10" w:space="0"/>
              <w:left w:val="single" w:color="auto" w:sz="1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p>
        </w:tc>
        <w:tc>
          <w:tcPr>
            <w:tcW w:w="356" w:type="pct"/>
            <w:vMerge w:val="continue"/>
            <w:tcBorders>
              <w:top w:val="single" w:color="000000" w:sz="10"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p>
        </w:tc>
        <w:tc>
          <w:tcPr>
            <w:tcW w:w="355" w:type="pct"/>
            <w:vMerge w:val="continue"/>
            <w:tcBorders>
              <w:top w:val="single" w:color="000000" w:sz="10"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p>
        </w:tc>
        <w:tc>
          <w:tcPr>
            <w:tcW w:w="355" w:type="pct"/>
            <w:vMerge w:val="continue"/>
            <w:tcBorders>
              <w:top w:val="single" w:color="000000" w:sz="10"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p>
        </w:tc>
        <w:tc>
          <w:tcPr>
            <w:tcW w:w="456"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核算方法</w:t>
            </w:r>
          </w:p>
        </w:tc>
        <w:tc>
          <w:tcPr>
            <w:tcW w:w="304"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spacing w:val="-11"/>
                <w14:textFill>
                  <w14:solidFill>
                    <w14:schemeClr w14:val="tx1"/>
                  </w14:solidFill>
                </w14:textFill>
              </w:rPr>
            </w:pPr>
            <w:r>
              <w:rPr>
                <w:color w:val="000000" w:themeColor="text1"/>
                <w:spacing w:val="-11"/>
                <w14:textFill>
                  <w14:solidFill>
                    <w14:schemeClr w14:val="tx1"/>
                  </w14:solidFill>
                </w14:textFill>
              </w:rPr>
              <w:t>产生量</w:t>
            </w:r>
          </w:p>
          <w:p>
            <w:pPr>
              <w:pStyle w:val="332"/>
              <w:rPr>
                <w:color w:val="000000" w:themeColor="text1"/>
                <w14:textFill>
                  <w14:solidFill>
                    <w14:schemeClr w14:val="tx1"/>
                  </w14:solidFill>
                </w14:textFill>
              </w:rPr>
            </w:pPr>
            <w:r>
              <w:rPr>
                <w:color w:val="000000" w:themeColor="text1"/>
                <w:spacing w:val="-11"/>
                <w14:textFill>
                  <w14:solidFill>
                    <w14:schemeClr w14:val="tx1"/>
                  </w14:solidFill>
                </w14:textFill>
              </w:rPr>
              <w:t>（t/a）</w:t>
            </w:r>
          </w:p>
        </w:tc>
        <w:tc>
          <w:tcPr>
            <w:tcW w:w="1573"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处置方式</w:t>
            </w:r>
          </w:p>
        </w:tc>
        <w:tc>
          <w:tcPr>
            <w:tcW w:w="304"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spacing w:val="-9"/>
                <w14:textFill>
                  <w14:solidFill>
                    <w14:schemeClr w14:val="tx1"/>
                  </w14:solidFill>
                </w14:textFill>
              </w:rPr>
            </w:pPr>
            <w:r>
              <w:rPr>
                <w:color w:val="000000" w:themeColor="text1"/>
                <w:spacing w:val="-9"/>
                <w14:textFill>
                  <w14:solidFill>
                    <w14:schemeClr w14:val="tx1"/>
                  </w14:solidFill>
                </w14:textFill>
              </w:rPr>
              <w:t>处置量</w:t>
            </w:r>
          </w:p>
          <w:p>
            <w:pPr>
              <w:pStyle w:val="332"/>
              <w:rPr>
                <w:color w:val="000000" w:themeColor="text1"/>
                <w14:textFill>
                  <w14:solidFill>
                    <w14:schemeClr w14:val="tx1"/>
                  </w14:solidFill>
                </w14:textFill>
              </w:rPr>
            </w:pPr>
            <w:r>
              <w:rPr>
                <w:color w:val="000000" w:themeColor="text1"/>
                <w:spacing w:val="-9"/>
                <w14:textFill>
                  <w14:solidFill>
                    <w14:schemeClr w14:val="tx1"/>
                  </w14:solidFill>
                </w14:textFill>
              </w:rPr>
              <w:t>（t/a）</w:t>
            </w:r>
          </w:p>
        </w:tc>
        <w:tc>
          <w:tcPr>
            <w:tcW w:w="897" w:type="pct"/>
            <w:vMerge w:val="continue"/>
            <w:tcBorders>
              <w:top w:val="single" w:color="000000" w:sz="10" w:space="0"/>
              <w:left w:val="single" w:color="000000" w:sz="2"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0" w:type="pct"/>
            <w:vMerge w:val="restart"/>
            <w:tcBorders>
              <w:top w:val="single" w:color="auto" w:sz="12" w:space="0"/>
              <w:left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养殖过程</w:t>
            </w:r>
          </w:p>
        </w:tc>
        <w:tc>
          <w:tcPr>
            <w:tcW w:w="356" w:type="pct"/>
            <w:vMerge w:val="restar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355" w:type="pc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猪粪</w:t>
            </w:r>
          </w:p>
        </w:tc>
        <w:tc>
          <w:tcPr>
            <w:tcW w:w="355" w:type="pc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456" w:type="pc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产污系数法</w:t>
            </w:r>
          </w:p>
        </w:tc>
        <w:tc>
          <w:tcPr>
            <w:tcW w:w="304" w:type="pc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1351.7</w:t>
            </w:r>
          </w:p>
        </w:tc>
        <w:tc>
          <w:tcPr>
            <w:tcW w:w="1573" w:type="pct"/>
            <w:tcBorders>
              <w:top w:val="single" w:color="auto" w:sz="12" w:space="0"/>
              <w:left w:val="single" w:color="000000" w:sz="2" w:space="0"/>
              <w:bottom w:val="single" w:color="000000" w:sz="2" w:space="0"/>
              <w:right w:val="single" w:color="000000" w:sz="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经固液分离后的猪粪运至固粪处理区内发酵堆肥，堆肥后作为有机肥基料外售</w:t>
            </w:r>
          </w:p>
        </w:tc>
        <w:tc>
          <w:tcPr>
            <w:tcW w:w="304" w:type="pct"/>
            <w:tcBorders>
              <w:top w:val="single" w:color="auto" w:sz="1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1351.7</w:t>
            </w:r>
          </w:p>
        </w:tc>
        <w:tc>
          <w:tcPr>
            <w:tcW w:w="897" w:type="pct"/>
            <w:tcBorders>
              <w:top w:val="single" w:color="auto" w:sz="12" w:space="0"/>
              <w:left w:val="single" w:color="000000" w:sz="2" w:space="0"/>
              <w:bottom w:val="single" w:color="000000" w:sz="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有机肥外售</w:t>
            </w:r>
          </w:p>
        </w:tc>
      </w:tr>
      <w:tr>
        <w:tblPrEx>
          <w:tblCellMar>
            <w:top w:w="0" w:type="dxa"/>
            <w:left w:w="0" w:type="dxa"/>
            <w:bottom w:w="0" w:type="dxa"/>
            <w:right w:w="0" w:type="dxa"/>
          </w:tblCellMar>
        </w:tblPrEx>
        <w:trPr>
          <w:trHeight w:val="397" w:hRule="atLeast"/>
        </w:trPr>
        <w:tc>
          <w:tcPr>
            <w:tcW w:w="400" w:type="pct"/>
            <w:vMerge w:val="continue"/>
            <w:tcBorders>
              <w:left w:val="single" w:color="auto" w:sz="12" w:space="0"/>
              <w:right w:val="single" w:color="000000" w:sz="2" w:space="0"/>
            </w:tcBorders>
            <w:vAlign w:val="center"/>
          </w:tcPr>
          <w:p>
            <w:pPr>
              <w:pStyle w:val="332"/>
              <w:rPr>
                <w:color w:val="000000" w:themeColor="text1"/>
                <w14:textFill>
                  <w14:solidFill>
                    <w14:schemeClr w14:val="tx1"/>
                  </w14:solidFill>
                </w14:textFill>
              </w:rPr>
            </w:pPr>
          </w:p>
        </w:tc>
        <w:tc>
          <w:tcPr>
            <w:tcW w:w="356" w:type="pct"/>
            <w:vMerge w:val="continue"/>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p>
        </w:tc>
        <w:tc>
          <w:tcPr>
            <w:tcW w:w="35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病死猪、母猪胎盘</w:t>
            </w:r>
          </w:p>
        </w:tc>
        <w:tc>
          <w:tcPr>
            <w:tcW w:w="35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456"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产污系数法</w:t>
            </w:r>
          </w:p>
        </w:tc>
        <w:tc>
          <w:tcPr>
            <w:tcW w:w="304"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13.0</w:t>
            </w:r>
          </w:p>
        </w:tc>
        <w:tc>
          <w:tcPr>
            <w:tcW w:w="1573" w:type="pct"/>
            <w:tcBorders>
              <w:top w:val="single" w:color="000000" w:sz="2" w:space="0"/>
              <w:left w:val="single" w:color="000000" w:sz="2" w:space="0"/>
              <w:bottom w:val="single" w:color="000000" w:sz="2" w:space="0"/>
              <w:right w:val="single" w:color="000000" w:sz="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无害化处理后，送固粪处理区内发酵堆肥</w:t>
            </w:r>
          </w:p>
        </w:tc>
        <w:tc>
          <w:tcPr>
            <w:tcW w:w="304"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13.0</w:t>
            </w:r>
          </w:p>
        </w:tc>
        <w:tc>
          <w:tcPr>
            <w:tcW w:w="897" w:type="pct"/>
            <w:tcBorders>
              <w:top w:val="single" w:color="000000" w:sz="2" w:space="0"/>
              <w:left w:val="single" w:color="000000" w:sz="2" w:space="0"/>
              <w:bottom w:val="single" w:color="000000" w:sz="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有机肥外售</w:t>
            </w:r>
          </w:p>
        </w:tc>
      </w:tr>
      <w:tr>
        <w:tblPrEx>
          <w:tblCellMar>
            <w:top w:w="0" w:type="dxa"/>
            <w:left w:w="0" w:type="dxa"/>
            <w:bottom w:w="0" w:type="dxa"/>
            <w:right w:w="0" w:type="dxa"/>
          </w:tblCellMar>
        </w:tblPrEx>
        <w:trPr>
          <w:trHeight w:val="397" w:hRule="atLeast"/>
        </w:trPr>
        <w:tc>
          <w:tcPr>
            <w:tcW w:w="400" w:type="pct"/>
            <w:vMerge w:val="continue"/>
            <w:tcBorders>
              <w:left w:val="single" w:color="auto" w:sz="1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p>
        </w:tc>
        <w:tc>
          <w:tcPr>
            <w:tcW w:w="356" w:type="pct"/>
            <w:vMerge w:val="continue"/>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p>
        </w:tc>
        <w:tc>
          <w:tcPr>
            <w:tcW w:w="35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医疗垃圾</w:t>
            </w:r>
          </w:p>
        </w:tc>
        <w:tc>
          <w:tcPr>
            <w:tcW w:w="35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456"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产污系数法</w:t>
            </w:r>
          </w:p>
        </w:tc>
        <w:tc>
          <w:tcPr>
            <w:tcW w:w="304"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0.075</w:t>
            </w:r>
          </w:p>
        </w:tc>
        <w:tc>
          <w:tcPr>
            <w:tcW w:w="1573" w:type="pct"/>
            <w:tcBorders>
              <w:top w:val="single" w:color="000000" w:sz="2" w:space="0"/>
              <w:left w:val="single" w:color="000000" w:sz="2" w:space="0"/>
              <w:bottom w:val="single" w:color="000000" w:sz="2" w:space="0"/>
              <w:right w:val="single" w:color="000000" w:sz="2" w:space="0"/>
            </w:tcBorders>
            <w:vAlign w:val="center"/>
          </w:tcPr>
          <w:p>
            <w:pPr>
              <w:pStyle w:val="332"/>
              <w:jc w:val="both"/>
              <w:rPr>
                <w:color w:val="000000" w:themeColor="text1"/>
                <w14:textFill>
                  <w14:solidFill>
                    <w14:schemeClr w14:val="tx1"/>
                  </w14:solidFill>
                </w14:textFill>
              </w:rPr>
            </w:pPr>
            <w:r>
              <w:rPr>
                <w:color w:val="000000" w:themeColor="text1"/>
                <w:spacing w:val="-2"/>
                <w14:textFill>
                  <w14:solidFill>
                    <w14:schemeClr w14:val="tx1"/>
                  </w14:solidFill>
                </w14:textFill>
              </w:rPr>
              <w:t>暂存于医疗废物暂存间，定期交由有</w:t>
            </w:r>
            <w:r>
              <w:rPr>
                <w:color w:val="000000" w:themeColor="text1"/>
                <w14:textFill>
                  <w14:solidFill>
                    <w14:schemeClr w14:val="tx1"/>
                  </w14:solidFill>
                </w14:textFill>
              </w:rPr>
              <w:t>资质的单位处置</w:t>
            </w:r>
          </w:p>
        </w:tc>
        <w:tc>
          <w:tcPr>
            <w:tcW w:w="304"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0.075</w:t>
            </w:r>
          </w:p>
        </w:tc>
        <w:tc>
          <w:tcPr>
            <w:tcW w:w="897" w:type="pct"/>
            <w:tcBorders>
              <w:top w:val="single" w:color="000000" w:sz="2" w:space="0"/>
              <w:left w:val="single" w:color="000000" w:sz="2" w:space="0"/>
              <w:bottom w:val="single" w:color="000000" w:sz="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spacing w:val="-2"/>
                <w14:textFill>
                  <w14:solidFill>
                    <w14:schemeClr w14:val="tx1"/>
                  </w14:solidFill>
                </w14:textFill>
              </w:rPr>
              <w:t>有</w:t>
            </w:r>
            <w:r>
              <w:rPr>
                <w:color w:val="000000" w:themeColor="text1"/>
                <w14:textFill>
                  <w14:solidFill>
                    <w14:schemeClr w14:val="tx1"/>
                  </w14:solidFill>
                </w14:textFill>
              </w:rPr>
              <w:t>资质的单位处置</w:t>
            </w:r>
          </w:p>
        </w:tc>
      </w:tr>
      <w:tr>
        <w:tblPrEx>
          <w:tblCellMar>
            <w:top w:w="0" w:type="dxa"/>
            <w:left w:w="0" w:type="dxa"/>
            <w:bottom w:w="0" w:type="dxa"/>
            <w:right w:w="0" w:type="dxa"/>
          </w:tblCellMar>
        </w:tblPrEx>
        <w:trPr>
          <w:trHeight w:val="397" w:hRule="atLeast"/>
        </w:trPr>
        <w:tc>
          <w:tcPr>
            <w:tcW w:w="400" w:type="pct"/>
            <w:vMerge w:val="restart"/>
            <w:tcBorders>
              <w:top w:val="single" w:color="000000" w:sz="2" w:space="0"/>
              <w:left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污水处理</w:t>
            </w:r>
          </w:p>
        </w:tc>
        <w:tc>
          <w:tcPr>
            <w:tcW w:w="356"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spacing w:val="-11"/>
                <w14:textFill>
                  <w14:solidFill>
                    <w14:schemeClr w14:val="tx1"/>
                  </w14:solidFill>
                </w14:textFill>
              </w:rPr>
              <w:t>黑膜沼气池</w:t>
            </w:r>
          </w:p>
        </w:tc>
        <w:tc>
          <w:tcPr>
            <w:tcW w:w="35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沼渣</w:t>
            </w:r>
          </w:p>
        </w:tc>
        <w:tc>
          <w:tcPr>
            <w:tcW w:w="35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456"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产污系数法</w:t>
            </w:r>
          </w:p>
        </w:tc>
        <w:tc>
          <w:tcPr>
            <w:tcW w:w="304"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750.95</w:t>
            </w:r>
          </w:p>
        </w:tc>
        <w:tc>
          <w:tcPr>
            <w:tcW w:w="1573" w:type="pct"/>
            <w:tcBorders>
              <w:top w:val="single" w:color="000000" w:sz="2" w:space="0"/>
              <w:left w:val="single" w:color="000000" w:sz="2" w:space="0"/>
              <w:bottom w:val="single" w:color="000000" w:sz="2" w:space="0"/>
              <w:right w:val="single" w:color="000000" w:sz="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堆肥发酵后作为有机肥出售</w:t>
            </w:r>
          </w:p>
        </w:tc>
        <w:tc>
          <w:tcPr>
            <w:tcW w:w="304"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750.95</w:t>
            </w:r>
          </w:p>
        </w:tc>
        <w:tc>
          <w:tcPr>
            <w:tcW w:w="897" w:type="pct"/>
            <w:tcBorders>
              <w:top w:val="single" w:color="000000" w:sz="2" w:space="0"/>
              <w:left w:val="single" w:color="000000" w:sz="2" w:space="0"/>
              <w:bottom w:val="single" w:color="000000" w:sz="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有机肥外售</w:t>
            </w:r>
          </w:p>
        </w:tc>
      </w:tr>
      <w:tr>
        <w:tblPrEx>
          <w:tblCellMar>
            <w:top w:w="0" w:type="dxa"/>
            <w:left w:w="0" w:type="dxa"/>
            <w:bottom w:w="0" w:type="dxa"/>
            <w:right w:w="0" w:type="dxa"/>
          </w:tblCellMar>
        </w:tblPrEx>
        <w:trPr>
          <w:trHeight w:val="397" w:hRule="atLeast"/>
        </w:trPr>
        <w:tc>
          <w:tcPr>
            <w:tcW w:w="400" w:type="pct"/>
            <w:vMerge w:val="continue"/>
            <w:tcBorders>
              <w:left w:val="single" w:color="auto" w:sz="1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p>
        </w:tc>
        <w:tc>
          <w:tcPr>
            <w:tcW w:w="356"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沼气脱硫</w:t>
            </w:r>
          </w:p>
        </w:tc>
        <w:tc>
          <w:tcPr>
            <w:tcW w:w="35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废脱硫剂</w:t>
            </w:r>
          </w:p>
        </w:tc>
        <w:tc>
          <w:tcPr>
            <w:tcW w:w="35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456"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物料衡算法</w:t>
            </w:r>
          </w:p>
        </w:tc>
        <w:tc>
          <w:tcPr>
            <w:tcW w:w="304"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0.039</w:t>
            </w:r>
          </w:p>
        </w:tc>
        <w:tc>
          <w:tcPr>
            <w:tcW w:w="1573" w:type="pct"/>
            <w:tcBorders>
              <w:top w:val="single" w:color="000000" w:sz="2" w:space="0"/>
              <w:left w:val="single" w:color="000000" w:sz="2" w:space="0"/>
              <w:bottom w:val="single" w:color="000000" w:sz="2" w:space="0"/>
              <w:right w:val="single" w:color="000000" w:sz="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设置专用收集桶，收集由厂家回</w:t>
            </w:r>
            <w:r>
              <w:rPr>
                <w:color w:val="000000" w:themeColor="text1"/>
                <w:w w:val="99"/>
                <w14:textFill>
                  <w14:solidFill>
                    <w14:schemeClr w14:val="tx1"/>
                  </w14:solidFill>
                </w14:textFill>
              </w:rPr>
              <w:t>收</w:t>
            </w:r>
          </w:p>
        </w:tc>
        <w:tc>
          <w:tcPr>
            <w:tcW w:w="304"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0.039</w:t>
            </w:r>
          </w:p>
        </w:tc>
        <w:tc>
          <w:tcPr>
            <w:tcW w:w="897" w:type="pct"/>
            <w:tcBorders>
              <w:top w:val="single" w:color="000000" w:sz="2" w:space="0"/>
              <w:left w:val="single" w:color="000000" w:sz="2" w:space="0"/>
              <w:bottom w:val="single" w:color="000000" w:sz="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由厂家回收</w:t>
            </w:r>
          </w:p>
        </w:tc>
      </w:tr>
      <w:tr>
        <w:tblPrEx>
          <w:tblCellMar>
            <w:top w:w="0" w:type="dxa"/>
            <w:left w:w="0" w:type="dxa"/>
            <w:bottom w:w="0" w:type="dxa"/>
            <w:right w:w="0" w:type="dxa"/>
          </w:tblCellMar>
        </w:tblPrEx>
        <w:trPr>
          <w:trHeight w:val="397" w:hRule="atLeast"/>
        </w:trPr>
        <w:tc>
          <w:tcPr>
            <w:tcW w:w="400" w:type="pct"/>
            <w:tcBorders>
              <w:top w:val="single" w:color="000000" w:sz="2" w:space="0"/>
              <w:left w:val="single" w:color="auto" w:sz="1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w:t>
            </w:r>
          </w:p>
        </w:tc>
        <w:tc>
          <w:tcPr>
            <w:tcW w:w="356"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无害化处理设备</w:t>
            </w:r>
          </w:p>
        </w:tc>
        <w:tc>
          <w:tcPr>
            <w:tcW w:w="35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固体残渣</w:t>
            </w:r>
          </w:p>
        </w:tc>
        <w:tc>
          <w:tcPr>
            <w:tcW w:w="355"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456"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产污系数法</w:t>
            </w:r>
          </w:p>
        </w:tc>
        <w:tc>
          <w:tcPr>
            <w:tcW w:w="304"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1.3</w:t>
            </w:r>
          </w:p>
        </w:tc>
        <w:tc>
          <w:tcPr>
            <w:tcW w:w="1573" w:type="pct"/>
            <w:tcBorders>
              <w:top w:val="single" w:color="000000" w:sz="2" w:space="0"/>
              <w:left w:val="single" w:color="000000" w:sz="2" w:space="0"/>
              <w:bottom w:val="single" w:color="000000" w:sz="2" w:space="0"/>
              <w:right w:val="single" w:color="000000" w:sz="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送固粪处理区内发酵堆肥</w:t>
            </w:r>
          </w:p>
        </w:tc>
        <w:tc>
          <w:tcPr>
            <w:tcW w:w="304" w:type="pct"/>
            <w:tcBorders>
              <w:top w:val="single" w:color="000000" w:sz="2" w:space="0"/>
              <w:left w:val="single" w:color="000000" w:sz="2" w:space="0"/>
              <w:bottom w:val="single" w:color="000000" w:sz="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1.3</w:t>
            </w:r>
          </w:p>
        </w:tc>
        <w:tc>
          <w:tcPr>
            <w:tcW w:w="897" w:type="pct"/>
            <w:tcBorders>
              <w:top w:val="single" w:color="000000" w:sz="2" w:space="0"/>
              <w:left w:val="single" w:color="000000" w:sz="2" w:space="0"/>
              <w:bottom w:val="single" w:color="000000" w:sz="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有机肥外售</w:t>
            </w:r>
          </w:p>
        </w:tc>
      </w:tr>
      <w:tr>
        <w:tblPrEx>
          <w:tblCellMar>
            <w:top w:w="0" w:type="dxa"/>
            <w:left w:w="0" w:type="dxa"/>
            <w:bottom w:w="0" w:type="dxa"/>
            <w:right w:w="0" w:type="dxa"/>
          </w:tblCellMar>
        </w:tblPrEx>
        <w:trPr>
          <w:trHeight w:val="397" w:hRule="atLeast"/>
        </w:trPr>
        <w:tc>
          <w:tcPr>
            <w:tcW w:w="400" w:type="pct"/>
            <w:tcBorders>
              <w:top w:val="single" w:color="000000" w:sz="2" w:space="0"/>
              <w:left w:val="single" w:color="auto" w:sz="1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办公生活</w:t>
            </w:r>
          </w:p>
        </w:tc>
        <w:tc>
          <w:tcPr>
            <w:tcW w:w="356"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办公生活</w:t>
            </w:r>
          </w:p>
        </w:tc>
        <w:tc>
          <w:tcPr>
            <w:tcW w:w="355"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355"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456"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产污系数法</w:t>
            </w:r>
          </w:p>
        </w:tc>
        <w:tc>
          <w:tcPr>
            <w:tcW w:w="304"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5.48</w:t>
            </w:r>
          </w:p>
        </w:tc>
        <w:tc>
          <w:tcPr>
            <w:tcW w:w="1573" w:type="pct"/>
            <w:tcBorders>
              <w:top w:val="single" w:color="000000" w:sz="2" w:space="0"/>
              <w:left w:val="single" w:color="000000" w:sz="2" w:space="0"/>
              <w:bottom w:val="single" w:color="auto" w:sz="12" w:space="0"/>
              <w:right w:val="single" w:color="000000" w:sz="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交由环卫部门处理</w:t>
            </w:r>
          </w:p>
        </w:tc>
        <w:tc>
          <w:tcPr>
            <w:tcW w:w="304" w:type="pct"/>
            <w:tcBorders>
              <w:top w:val="single" w:color="000000" w:sz="2" w:space="0"/>
              <w:left w:val="single" w:color="000000" w:sz="2" w:space="0"/>
              <w:bottom w:val="single" w:color="auto" w:sz="12" w:space="0"/>
              <w:right w:val="single" w:color="000000" w:sz="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5.48</w:t>
            </w:r>
          </w:p>
        </w:tc>
        <w:tc>
          <w:tcPr>
            <w:tcW w:w="897" w:type="pct"/>
            <w:tcBorders>
              <w:top w:val="single" w:color="000000" w:sz="2" w:space="0"/>
              <w:left w:val="single" w:color="000000" w:sz="2"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由当地环卫部门清运处理</w:t>
            </w:r>
          </w:p>
        </w:tc>
      </w:tr>
    </w:tbl>
    <w:p>
      <w:pPr>
        <w:pStyle w:val="333"/>
        <w:spacing w:before="120"/>
        <w:jc w:val="both"/>
        <w:rPr>
          <w:rFonts w:cs="Times New Roman"/>
          <w:color w:val="000000" w:themeColor="text1"/>
          <w:sz w:val="10"/>
          <w:szCs w:val="10"/>
          <w14:textFill>
            <w14:solidFill>
              <w14:schemeClr w14:val="tx1"/>
            </w14:solidFill>
          </w14:textFill>
        </w:rPr>
      </w:pPr>
    </w:p>
    <w:p>
      <w:pPr>
        <w:pStyle w:val="333"/>
        <w:spacing w:before="120"/>
        <w:rPr>
          <w:rFonts w:cs="Times New Roman"/>
          <w:color w:val="000000" w:themeColor="text1"/>
          <w14:textFill>
            <w14:solidFill>
              <w14:schemeClr w14:val="tx1"/>
            </w14:solidFill>
          </w14:textFill>
        </w:rPr>
        <w:sectPr>
          <w:pgSz w:w="16840" w:h="11907" w:orient="landscape"/>
          <w:pgMar w:top="1531" w:right="1418" w:bottom="1531" w:left="1418" w:header="1021" w:footer="1134" w:gutter="0"/>
          <w:pgNumType w:fmt="numberInDash"/>
          <w:cols w:space="720" w:num="1"/>
          <w:docGrid w:linePitch="326" w:charSpace="0"/>
        </w:sectPr>
      </w:pPr>
    </w:p>
    <w:p>
      <w:pPr>
        <w:pStyle w:val="2"/>
        <w:spacing w:before="240" w:after="120"/>
        <w:rPr>
          <w:rFonts w:cs="Times New Roman"/>
          <w:color w:val="000000" w:themeColor="text1"/>
          <w14:textFill>
            <w14:solidFill>
              <w14:schemeClr w14:val="tx1"/>
            </w14:solidFill>
          </w14:textFill>
        </w:rPr>
      </w:pPr>
      <w:bookmarkStart w:id="388" w:name="_Toc115750871"/>
      <w:bookmarkStart w:id="389" w:name="_Toc110936694"/>
      <w:bookmarkStart w:id="390" w:name="_Toc111606588"/>
      <w:bookmarkStart w:id="391" w:name="_Toc397591647"/>
      <w:bookmarkStart w:id="392" w:name="_Toc111605824"/>
      <w:bookmarkStart w:id="393" w:name="_Toc47619361"/>
      <w:bookmarkStart w:id="394" w:name="_Toc58362803"/>
      <w:bookmarkStart w:id="395" w:name="_Toc47619179"/>
      <w:bookmarkStart w:id="396" w:name="_Toc47619841"/>
      <w:bookmarkStart w:id="397" w:name="_Toc91163892"/>
      <w:bookmarkStart w:id="398" w:name="_Toc47619467"/>
      <w:bookmarkStart w:id="399" w:name="_Toc52791895"/>
      <w:bookmarkStart w:id="400" w:name="_Toc47620027"/>
      <w:bookmarkStart w:id="401" w:name="_Toc108404138"/>
      <w:bookmarkStart w:id="402" w:name="_Toc110171482"/>
      <w:r>
        <w:rPr>
          <w:rFonts w:cs="Times New Roman"/>
          <w:color w:val="000000" w:themeColor="text1"/>
          <w14:textFill>
            <w14:solidFill>
              <w14:schemeClr w14:val="tx1"/>
            </w14:solidFill>
          </w14:textFill>
        </w:rPr>
        <w:t>第四章</w:t>
      </w:r>
      <w:r>
        <w:rPr>
          <w:rFonts w:cs="Times New Roman"/>
          <w:color w:val="000000" w:themeColor="text1"/>
          <w:sz w:val="30"/>
          <w:szCs w:val="30"/>
          <w14:textFill>
            <w14:solidFill>
              <w14:schemeClr w14:val="tx1"/>
            </w14:solidFill>
          </w14:textFill>
        </w:rPr>
        <w:t xml:space="preserve"> </w:t>
      </w:r>
      <w:bookmarkEnd w:id="388"/>
      <w:bookmarkEnd w:id="389"/>
      <w:bookmarkEnd w:id="390"/>
      <w:bookmarkEnd w:id="391"/>
      <w:bookmarkEnd w:id="392"/>
      <w:r>
        <w:rPr>
          <w:rFonts w:cs="Times New Roman"/>
          <w:color w:val="000000" w:themeColor="text1"/>
          <w14:textFill>
            <w14:solidFill>
              <w14:schemeClr w14:val="tx1"/>
            </w14:solidFill>
          </w14:textFill>
        </w:rPr>
        <w:t>环境现状调查与评价</w:t>
      </w:r>
      <w:bookmarkEnd w:id="393"/>
      <w:bookmarkEnd w:id="394"/>
      <w:bookmarkEnd w:id="395"/>
      <w:bookmarkEnd w:id="396"/>
      <w:bookmarkEnd w:id="397"/>
      <w:bookmarkEnd w:id="398"/>
      <w:bookmarkEnd w:id="399"/>
      <w:bookmarkEnd w:id="400"/>
    </w:p>
    <w:p>
      <w:pPr>
        <w:pStyle w:val="3"/>
        <w:spacing w:before="120" w:after="120"/>
        <w:rPr>
          <w:rFonts w:cs="Times New Roman"/>
          <w:color w:val="000000" w:themeColor="text1"/>
          <w14:textFill>
            <w14:solidFill>
              <w14:schemeClr w14:val="tx1"/>
            </w14:solidFill>
          </w14:textFill>
        </w:rPr>
      </w:pPr>
      <w:bookmarkStart w:id="403" w:name="_Toc47620028"/>
      <w:bookmarkStart w:id="404" w:name="_Toc47619468"/>
      <w:bookmarkStart w:id="405" w:name="_Toc47619180"/>
      <w:bookmarkStart w:id="406" w:name="_Toc52791896"/>
      <w:bookmarkStart w:id="407" w:name="_Toc485245769"/>
      <w:bookmarkStart w:id="408" w:name="_Toc47619842"/>
      <w:bookmarkStart w:id="409" w:name="_Toc47619362"/>
      <w:bookmarkStart w:id="410" w:name="_Toc91163893"/>
      <w:bookmarkStart w:id="411" w:name="_Toc58362804"/>
      <w:r>
        <w:rPr>
          <w:rFonts w:cs="Times New Roman"/>
          <w:color w:val="000000" w:themeColor="text1"/>
          <w14:textFill>
            <w14:solidFill>
              <w14:schemeClr w14:val="tx1"/>
            </w14:solidFill>
          </w14:textFill>
        </w:rPr>
        <w:t xml:space="preserve">4.1  </w:t>
      </w:r>
      <w:bookmarkEnd w:id="403"/>
      <w:bookmarkEnd w:id="404"/>
      <w:bookmarkEnd w:id="405"/>
      <w:bookmarkEnd w:id="406"/>
      <w:bookmarkEnd w:id="407"/>
      <w:bookmarkEnd w:id="408"/>
      <w:bookmarkEnd w:id="409"/>
      <w:r>
        <w:rPr>
          <w:rFonts w:cs="Times New Roman"/>
          <w:color w:val="000000" w:themeColor="text1"/>
          <w14:textFill>
            <w14:solidFill>
              <w14:schemeClr w14:val="tx1"/>
            </w14:solidFill>
          </w14:textFill>
        </w:rPr>
        <w:t>区域环境概况</w:t>
      </w:r>
      <w:bookmarkEnd w:id="410"/>
      <w:bookmarkEnd w:id="411"/>
    </w:p>
    <w:bookmarkEnd w:id="401"/>
    <w:bookmarkEnd w:id="402"/>
    <w:p>
      <w:pPr>
        <w:pStyle w:val="4"/>
        <w:rPr>
          <w:rFonts w:cs="Times New Roman"/>
          <w:color w:val="000000" w:themeColor="text1"/>
          <w14:textFill>
            <w14:solidFill>
              <w14:schemeClr w14:val="tx1"/>
            </w14:solidFill>
          </w14:textFill>
        </w:rPr>
      </w:pPr>
      <w:bookmarkStart w:id="412" w:name="_Toc52791897"/>
      <w:bookmarkStart w:id="413" w:name="_Toc47619181"/>
      <w:bookmarkStart w:id="414" w:name="_Toc47620029"/>
      <w:bookmarkStart w:id="415" w:name="_Toc91163894"/>
      <w:bookmarkStart w:id="416" w:name="_Toc249090478"/>
      <w:bookmarkStart w:id="417" w:name="_Toc58362805"/>
      <w:bookmarkStart w:id="418" w:name="_Toc47619843"/>
      <w:bookmarkStart w:id="419" w:name="_Toc228067748"/>
      <w:r>
        <w:rPr>
          <w:rFonts w:cs="Times New Roman"/>
          <w:color w:val="000000" w:themeColor="text1"/>
          <w14:textFill>
            <w14:solidFill>
              <w14:schemeClr w14:val="tx1"/>
            </w14:solidFill>
          </w14:textFill>
        </w:rPr>
        <w:t>4.1.1 地理位置</w:t>
      </w:r>
      <w:bookmarkEnd w:id="412"/>
      <w:bookmarkEnd w:id="413"/>
      <w:bookmarkEnd w:id="414"/>
      <w:bookmarkEnd w:id="415"/>
      <w:bookmarkEnd w:id="416"/>
      <w:bookmarkEnd w:id="417"/>
      <w:bookmarkEnd w:id="418"/>
      <w:bookmarkEnd w:id="419"/>
    </w:p>
    <w:p>
      <w:pPr>
        <w:ind w:firstLine="480"/>
        <w:rPr>
          <w:rFonts w:cs="Times New Roman"/>
          <w:bCs/>
          <w:color w:val="000000" w:themeColor="text1"/>
          <w14:textFill>
            <w14:solidFill>
              <w14:schemeClr w14:val="tx1"/>
            </w14:solidFill>
          </w14:textFill>
        </w:rPr>
      </w:pPr>
      <w:bookmarkStart w:id="420" w:name="_Toc249090479"/>
      <w:bookmarkStart w:id="421" w:name="_Toc228067749"/>
      <w:r>
        <w:rPr>
          <w:rFonts w:cs="Times New Roman"/>
          <w:bCs/>
          <w:color w:val="000000" w:themeColor="text1"/>
          <w14:textFill>
            <w14:solidFill>
              <w14:schemeClr w14:val="tx1"/>
            </w14:solidFill>
          </w14:textFill>
        </w:rPr>
        <w:t>屯留区位于山西省东南部，上党盆地西侧，紧邻长治市区，地处东经112°28′-113°3′、北纬36°13′-36°30′之间。全县国土总面积1142 km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，其中耕地55.45万亩。地势西高东低，山区、丘陵、平川大体各占三分之一。东越太行直达冀鲁，南经晋城可探中原、西连临汾能通陕甘、北跨晋中可依太原。</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本项目位于</w:t>
      </w:r>
      <w:r>
        <w:rPr>
          <w:rFonts w:cs="Times New Roman"/>
          <w:bCs/>
          <w:color w:val="000000" w:themeColor="text1"/>
          <w14:textFill>
            <w14:solidFill>
              <w14:schemeClr w14:val="tx1"/>
            </w14:solidFill>
          </w14:textFill>
        </w:rPr>
        <w:t>屯留区丰宜镇杜村村北约630 m处，中心地理坐标为E112.8283333°、N36.272742°，占地面积53019.51m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，约79.53亩。</w:t>
      </w:r>
      <w:r>
        <w:rPr>
          <w:rFonts w:cs="Times New Roman"/>
          <w:color w:val="000000" w:themeColor="text1"/>
          <w14:textFill>
            <w14:solidFill>
              <w14:schemeClr w14:val="tx1"/>
            </w14:solidFill>
          </w14:textFill>
        </w:rPr>
        <w:t>项目地理位置见图4.1-1。</w:t>
      </w:r>
    </w:p>
    <w:p>
      <w:pPr>
        <w:pStyle w:val="4"/>
        <w:rPr>
          <w:rFonts w:cs="Times New Roman"/>
          <w:color w:val="000000" w:themeColor="text1"/>
          <w14:textFill>
            <w14:solidFill>
              <w14:schemeClr w14:val="tx1"/>
            </w14:solidFill>
          </w14:textFill>
        </w:rPr>
      </w:pPr>
      <w:bookmarkStart w:id="422" w:name="_Toc58362806"/>
      <w:bookmarkStart w:id="423" w:name="_Toc91163895"/>
      <w:bookmarkStart w:id="424" w:name="_Toc47619844"/>
      <w:bookmarkStart w:id="425" w:name="_Toc52791898"/>
      <w:bookmarkStart w:id="426" w:name="_Toc47620030"/>
      <w:bookmarkStart w:id="427" w:name="_Toc47619182"/>
      <w:r>
        <w:rPr>
          <w:rFonts w:cs="Times New Roman"/>
          <w:color w:val="000000" w:themeColor="text1"/>
          <w14:textFill>
            <w14:solidFill>
              <w14:schemeClr w14:val="tx1"/>
            </w14:solidFill>
          </w14:textFill>
        </w:rPr>
        <w:t>4.1.2 气象特征</w:t>
      </w:r>
      <w:bookmarkEnd w:id="422"/>
      <w:bookmarkEnd w:id="423"/>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屯留县属于黄土高原大陆性温暖带气候区，四季分明、季风强盛、冬长夏短。春季风多、气候干燥；夏季炎热、雨量集中、热量水量不均；秋季凉爽、地方性凤强、光照好、雨量多于春季、湿差大；冬季寒冷寡照、雨雪稀少。</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屯留县各地的气温差因地形起伏不平，支离破碎，海拔高度不同而异。全县年积温3253.4℃左右，无霜期150-170天，东部较西部气温稍高，极端最高气温在35℃-38℃之间，极端最低气温在-28℃-31℃之间，年平均气温22.5℃。年平均相对湿度为63%。由于当地地形差异，无霜期长短不一，丘陵山地无霜期较短，霜冻较为严重。平均降雨量在538.6 mm。全年及各季的主导风向为东南风，平均风速2.2 m/s。</w:t>
      </w:r>
    </w:p>
    <w:p>
      <w:pPr>
        <w:pStyle w:val="4"/>
        <w:rPr>
          <w:rFonts w:cs="Times New Roman"/>
          <w:color w:val="000000" w:themeColor="text1"/>
          <w14:textFill>
            <w14:solidFill>
              <w14:schemeClr w14:val="tx1"/>
            </w14:solidFill>
          </w14:textFill>
        </w:rPr>
      </w:pPr>
      <w:bookmarkStart w:id="428" w:name="_Toc58362807"/>
      <w:bookmarkStart w:id="429" w:name="_Toc91163896"/>
      <w:r>
        <w:rPr>
          <w:rFonts w:cs="Times New Roman"/>
          <w:color w:val="000000" w:themeColor="text1"/>
          <w14:textFill>
            <w14:solidFill>
              <w14:schemeClr w14:val="tx1"/>
            </w14:solidFill>
          </w14:textFill>
        </w:rPr>
        <w:t>4.1.3 地表水</w:t>
      </w:r>
      <w:bookmarkEnd w:id="428"/>
      <w:bookmarkEnd w:id="429"/>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屯留境内有三条较大的河流，即绛河、岚河、谷河，位属海河流域漳河水系、漳河的一级支流，流经17个乡镇，河长110 km，20多条小溪遍布全县山区丘陵地带，泉水较多。经调查，全县地表水径流量为1.18亿m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，从漳泽水库可提取外水0.16亿m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，共计地表水1.34亿m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，现可蓄水利用0.66675亿m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。屯绛水库总库容4500万m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绛河水量较大，发源于盘秀山、瓮城山，由西向东横贯全县，经宜林、八泉、张店、丈八庙、河神庙流经平川城关、李高、上村汇入漳泽水库，沿途有下立寨河、城咀河、枣臻河、西曲河、余吾河、鸡鸣河等20余条小支流汇入，全长81.2 km，流域面积1000 km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，河床均宽10 m左右，为常年泥沙河，年径流量平均0.5 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/s。中游修建中型水库一座(屯绛八一水库)，下游河床较宽。其中上游均处在张店、河神庙的大川内，川长40 km，有长临公路顺川而过。</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漳泽水库位于长治郊区交漳--淹村间，是漳河干流上的控制性工程，属大型水库，总库容4.273亿m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，溢洪道泄量为2100 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/s，控制流域面积3176 km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。是一座具有防洪、供水、灌溉、养鱼、旅游等综合功能的水利工程。</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本项目最近地表水为厂址南侧约1.4 km处的鸡鸣水河，鸡鸣水河为绛河的一级支流；本项目运营期废水均不外排，因此不会对当地地表水产生影响。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屯留区地表水系图见图4.1-2。</w:t>
      </w:r>
    </w:p>
    <w:p>
      <w:pPr>
        <w:pStyle w:val="4"/>
        <w:rPr>
          <w:rFonts w:cs="Times New Roman"/>
          <w:color w:val="000000" w:themeColor="text1"/>
          <w14:textFill>
            <w14:solidFill>
              <w14:schemeClr w14:val="tx1"/>
            </w14:solidFill>
          </w14:textFill>
        </w:rPr>
      </w:pPr>
      <w:bookmarkStart w:id="430" w:name="_Toc47619184"/>
      <w:bookmarkStart w:id="431" w:name="_Toc47619846"/>
      <w:bookmarkStart w:id="432" w:name="_Toc52791900"/>
      <w:bookmarkStart w:id="433" w:name="_Toc47620032"/>
      <w:bookmarkStart w:id="434" w:name="_Toc228067752"/>
      <w:bookmarkStart w:id="435" w:name="_Toc249090482"/>
      <w:bookmarkStart w:id="436" w:name="_Toc91163897"/>
      <w:bookmarkStart w:id="437" w:name="_Toc58362808"/>
      <w:r>
        <w:rPr>
          <w:rFonts w:cs="Times New Roman"/>
          <w:color w:val="000000" w:themeColor="text1"/>
          <w14:textFill>
            <w14:solidFill>
              <w14:schemeClr w14:val="tx1"/>
            </w14:solidFill>
          </w14:textFill>
        </w:rPr>
        <w:t xml:space="preserve">4.1.4 </w:t>
      </w:r>
      <w:bookmarkEnd w:id="430"/>
      <w:bookmarkEnd w:id="431"/>
      <w:bookmarkEnd w:id="432"/>
      <w:bookmarkEnd w:id="433"/>
      <w:bookmarkEnd w:id="434"/>
      <w:bookmarkEnd w:id="435"/>
      <w:r>
        <w:rPr>
          <w:rFonts w:cs="Times New Roman"/>
          <w:color w:val="000000" w:themeColor="text1"/>
          <w14:textFill>
            <w14:solidFill>
              <w14:schemeClr w14:val="tx1"/>
            </w14:solidFill>
          </w14:textFill>
        </w:rPr>
        <w:t>地形地貌</w:t>
      </w:r>
      <w:bookmarkEnd w:id="420"/>
      <w:bookmarkEnd w:id="421"/>
      <w:bookmarkEnd w:id="424"/>
      <w:bookmarkEnd w:id="425"/>
      <w:bookmarkEnd w:id="426"/>
      <w:bookmarkEnd w:id="427"/>
      <w:bookmarkEnd w:id="436"/>
      <w:bookmarkEnd w:id="437"/>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屯留县地形呈长方形，地势为西北高东南低。西部多山、地广人稀，东部平坦、居民稠密。南北宽25 km、东西长60 km、总面积为1142 km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地形西高东低，由西向东逐渐倾斜，自然形成山区、丘陵、平川三个不同类型区域。位于山西断隆沁水台陷东南边缘、县境中部和东部平川，被第四系大面积覆盖，西部、西北部和西南部山区，均出露三迭系岩层；北部丘陵地带仅零星分布二迭系地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本区地貌按其成因类型及形态特征，可划分为以下地貌单元：</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a.剥蚀构造中低山区</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主要分布于南部张庄、西流一带基岩山区，岩层主要为砂页岩。由于风化作用，岩石破碎，山顶多呈浑圆状，沟谷纵横，谷坡陡，多呈“V”字型。海拔1200-1500 m，相对高差300-500 m。</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b.剥蚀堆积黄土丘陵区</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主要分布于长治盆地西北边缘，地表岩性为第四系洪积，坡积黄土。受水流和风化剥蚀作用，地形多为梁峁状，冲沟发育，多呈“U”字型，切深30-50 m。海拔1000-1200 m。</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c.剥蚀堆积倾斜平原区</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主要分布在绛河以北的余吾、路村、上村以及绛河以南的西贾、东李高一带，席店、藕泽一带。地表岩性为上更新统冲洪积粉质粘土、粉土。受水流作用，地面轻微切割，总地势由西北向东南倾斜，坡度2-3°，海拔930-960 m。</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d.剥蚀堆积河谷阶地区</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主要分布在绛河沿岸，包括河床，河漫滩及一、二级阶地。河床及河漫滩为第四系全新统地层，岩性为冲积、洪积相的砂砾石，中细砂、粉质粘土等。阶地地层为上更新统冲洪积粉土、粉质粘土。河床蛇曲发育，河漫滩西窄东宽，高出河床1-3 m，一、二级阶地分别高出河床3-5 m、15-20 m。</w:t>
      </w:r>
    </w:p>
    <w:p>
      <w:pPr>
        <w:ind w:firstLine="480"/>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经现场踏勘，本项目建设地点位于屯留区丰宜镇杜村村北约630 m处，属于剥蚀堆积倾斜平原区</w:t>
      </w:r>
      <w:r>
        <w:rPr>
          <w:rFonts w:cs="Times New Roman"/>
          <w:color w:val="000000" w:themeColor="text1"/>
          <w14:textFill>
            <w14:solidFill>
              <w14:schemeClr w14:val="tx1"/>
            </w14:solidFill>
          </w14:textFill>
        </w:rPr>
        <w:t>。</w:t>
      </w:r>
      <w:bookmarkStart w:id="438" w:name="_Toc47619183"/>
      <w:bookmarkStart w:id="439" w:name="_Toc47619845"/>
      <w:bookmarkStart w:id="440" w:name="_Toc52791899"/>
      <w:bookmarkStart w:id="441" w:name="_Toc47620031"/>
    </w:p>
    <w:p>
      <w:pPr>
        <w:pStyle w:val="4"/>
        <w:rPr>
          <w:rFonts w:cs="Times New Roman"/>
          <w:color w:val="000000" w:themeColor="text1"/>
          <w14:textFill>
            <w14:solidFill>
              <w14:schemeClr w14:val="tx1"/>
            </w14:solidFill>
          </w14:textFill>
        </w:rPr>
      </w:pPr>
      <w:bookmarkStart w:id="442" w:name="_Toc58362809"/>
      <w:bookmarkStart w:id="443" w:name="_Toc91163898"/>
      <w:r>
        <w:rPr>
          <w:rFonts w:cs="Times New Roman"/>
          <w:color w:val="000000" w:themeColor="text1"/>
          <w14:textFill>
            <w14:solidFill>
              <w14:schemeClr w14:val="tx1"/>
            </w14:solidFill>
          </w14:textFill>
        </w:rPr>
        <w:t>4.1.5 地质</w:t>
      </w:r>
      <w:bookmarkEnd w:id="438"/>
      <w:bookmarkEnd w:id="439"/>
      <w:bookmarkEnd w:id="440"/>
      <w:bookmarkEnd w:id="441"/>
      <w:bookmarkEnd w:id="442"/>
      <w:bookmarkEnd w:id="443"/>
    </w:p>
    <w:p>
      <w:pPr>
        <w:pStyle w:val="5"/>
        <w:rPr>
          <w:color w:val="000000" w:themeColor="text1"/>
          <w14:textFill>
            <w14:solidFill>
              <w14:schemeClr w14:val="tx1"/>
            </w14:solidFill>
          </w14:textFill>
        </w:rPr>
      </w:pPr>
      <w:bookmarkStart w:id="444" w:name="_Toc58362810"/>
      <w:bookmarkStart w:id="445" w:name="_Toc47619848"/>
      <w:bookmarkStart w:id="446" w:name="_Toc47619186"/>
      <w:bookmarkStart w:id="447" w:name="_Toc47620034"/>
      <w:bookmarkStart w:id="448" w:name="_Toc52791902"/>
      <w:bookmarkStart w:id="449" w:name="_Toc228067753"/>
      <w:bookmarkStart w:id="450" w:name="_Toc249090483"/>
      <w:r>
        <w:rPr>
          <w:color w:val="000000" w:themeColor="text1"/>
          <w14:textFill>
            <w14:solidFill>
              <w14:schemeClr w14:val="tx1"/>
            </w14:solidFill>
          </w14:textFill>
        </w:rPr>
        <w:t>4.1.5.1地层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屯留区位于山西断隆沁水台陷东南边缘，地势为西北高而东南低。县境中部和东部平原被第四系地层大面积覆盖；西部、西北部和西南部山区均出露三叠系地层；北部丘陵地带零星分布二叠系地层。境内出露地层由老至新有上古生界二叠系、中生界三叠系、新生界上第三系和第四系地层，分述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上古生界二叠系地层主要分布于路村乡、余吾镇境内、渔泽镇南部仅有零星出露。岩性由砂岩、砂质页岩、炭质页岩、长石砂岩及煤层组成。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中生界三叠系地层在境内西部大面积出露，约占全县总面积的一半左右，遍布县境西部、西南部和西北部山区，岩性主要为砂岩、泥岩、砂质泥岩、石英砂岩、长石砂岩、泥质粉砂岩、砂质页岩。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新生界上第三系地层分布面积很小，仅出露于吾元镇罗村一带，岩性为浅紫色、灰绿色、灰兰色的粘土、亚粘土及黄色砂层夹砂砾石层，富含动物化石，厚度为80~160 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第四系地层分布面积约占全县总面积的40%，区境东部和中部平原与部分丘陵地带几乎均被四系覆盖。</w:t>
      </w:r>
    </w:p>
    <w:p>
      <w:pPr>
        <w:ind w:firstLine="480"/>
        <w:rPr>
          <w:rFonts w:cs="Times New Roman"/>
          <w:color w:val="000000" w:themeColor="text1"/>
          <w14:textFill>
            <w14:solidFill>
              <w14:schemeClr w14:val="tx1"/>
            </w14:solidFill>
          </w14:textFill>
        </w:rPr>
        <w:sectPr>
          <w:endnotePr>
            <w:numFmt w:val="decimal"/>
          </w:endnotePr>
          <w:pgSz w:w="11907" w:h="16840"/>
          <w:pgMar w:top="1531" w:right="1418" w:bottom="1531" w:left="1418" w:header="1134" w:footer="1021" w:gutter="0"/>
          <w:cols w:space="720" w:num="1"/>
          <w:docGrid w:linePitch="312" w:charSpace="0"/>
        </w:sectPr>
      </w:pPr>
      <w:r>
        <w:rPr>
          <w:rFonts w:cs="Times New Roman"/>
          <w:color w:val="000000" w:themeColor="text1"/>
          <w14:textFill>
            <w14:solidFill>
              <w14:schemeClr w14:val="tx1"/>
            </w14:solidFill>
          </w14:textFill>
        </w:rPr>
        <w:t>屯留区出露地层情况详见屯留区地层情况一览表（表4.1-1）。区域地质图见图4.1-3。</w:t>
      </w:r>
    </w:p>
    <w:p>
      <w:pPr>
        <w:pStyle w:val="333"/>
        <w:spacing w:before="120"/>
        <w:ind w:firstLine="480"/>
        <w:rPr>
          <w:rFonts w:cs="Times New Roman"/>
          <w:color w:val="000000" w:themeColor="text1"/>
          <w14:textFill>
            <w14:solidFill>
              <w14:schemeClr w14:val="tx1"/>
            </w14:solidFill>
          </w14:textFill>
        </w:rPr>
        <w:sectPr>
          <w:endnotePr>
            <w:numFmt w:val="decimal"/>
          </w:endnotePr>
          <w:pgSz w:w="16840" w:h="11907" w:orient="landscape"/>
          <w:pgMar w:top="1418" w:right="1531" w:bottom="1418" w:left="1531" w:header="1134" w:footer="1021" w:gutter="0"/>
          <w:cols w:space="720" w:num="1"/>
          <w:docGrid w:linePitch="326" w:charSpace="0"/>
        </w:sectPr>
      </w:pPr>
      <w:r>
        <w:rPr>
          <w:rFonts w:cs="Times New Roman"/>
          <w:color w:val="000000" w:themeColor="text1"/>
          <w14:textFill>
            <w14:solidFill>
              <w14:schemeClr w14:val="tx1"/>
            </w14:solidFill>
          </w14:textFill>
        </w:rPr>
        <w:drawing>
          <wp:anchor distT="0" distB="0" distL="114300" distR="114300" simplePos="0" relativeHeight="251762688" behindDoc="0" locked="0" layoutInCell="1" allowOverlap="1">
            <wp:simplePos x="0" y="0"/>
            <wp:positionH relativeFrom="margin">
              <wp:posOffset>310515</wp:posOffset>
            </wp:positionH>
            <wp:positionV relativeFrom="margin">
              <wp:posOffset>27940</wp:posOffset>
            </wp:positionV>
            <wp:extent cx="8140700" cy="5367655"/>
            <wp:effectExtent l="0" t="0" r="0" b="4445"/>
            <wp:wrapTopAndBottom/>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noChangeArrowheads="true"/>
                    </pic:cNvPicPr>
                  </pic:nvPicPr>
                  <pic:blipFill>
                    <a:blip r:embed="rId42" cstate="print">
                      <a:extLst>
                        <a:ext uri="{28A0092B-C50C-407E-A947-70E740481C1C}">
                          <a14:useLocalDpi xmlns:a14="http://schemas.microsoft.com/office/drawing/2010/main" val="false"/>
                        </a:ext>
                      </a:extLst>
                    </a:blip>
                    <a:srcRect/>
                    <a:stretch>
                      <a:fillRect/>
                    </a:stretch>
                  </pic:blipFill>
                  <pic:spPr>
                    <a:xfrm>
                      <a:off x="0" y="0"/>
                      <a:ext cx="8140700" cy="5367655"/>
                    </a:xfrm>
                    <a:prstGeom prst="rect">
                      <a:avLst/>
                    </a:prstGeom>
                    <a:noFill/>
                    <a:ln>
                      <a:noFill/>
                    </a:ln>
                  </pic:spPr>
                </pic:pic>
              </a:graphicData>
            </a:graphic>
          </wp:anchor>
        </w:drawing>
      </w:r>
      <w:r>
        <w:rPr>
          <w:rFonts w:cs="Times New Roman"/>
          <w:color w:val="000000" w:themeColor="text1"/>
          <w14:textFill>
            <w14:solidFill>
              <w14:schemeClr w14:val="tx1"/>
            </w14:solidFill>
          </w14:textFill>
        </w:rPr>
        <w:t>图4.1-1 项目地理位置图</w:t>
      </w:r>
    </w:p>
    <w:p>
      <w:pPr>
        <w:pStyle w:val="333"/>
        <w:spacing w:before="120"/>
        <w:ind w:firstLine="480"/>
        <w:rPr>
          <w:rFonts w:cs="Times New Roman"/>
          <w:color w:val="000000" w:themeColor="text1"/>
          <w14:textFill>
            <w14:solidFill>
              <w14:schemeClr w14:val="tx1"/>
            </w14:solidFill>
          </w14:textFill>
        </w:rPr>
        <w:sectPr>
          <w:endnotePr>
            <w:numFmt w:val="decimal"/>
          </w:endnotePr>
          <w:pgSz w:w="16840" w:h="11907" w:orient="landscape"/>
          <w:pgMar w:top="1418" w:right="1531" w:bottom="1418" w:left="1531" w:header="1134" w:footer="1021" w:gutter="0"/>
          <w:cols w:space="720" w:num="1"/>
          <w:docGrid w:linePitch="326" w:charSpace="0"/>
        </w:sectPr>
      </w:pPr>
      <w:r>
        <w:rPr>
          <w:rFonts w:cs="Times New Roman"/>
          <w:color w:val="000000" w:themeColor="text1"/>
          <w14:textFill>
            <w14:solidFill>
              <w14:schemeClr w14:val="tx1"/>
            </w14:solidFill>
          </w14:textFill>
        </w:rPr>
        <w:t>图4.1-2 屯留区地表水系图</w:t>
      </w:r>
    </w:p>
    <w:p>
      <w:pPr>
        <w:pStyle w:val="333"/>
        <w:spacing w:before="12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图4.1-3 屯留区区域地质图</w:t>
      </w:r>
    </w:p>
    <w:p>
      <w:pPr>
        <w:ind w:firstLine="480"/>
        <w:rPr>
          <w:rFonts w:cs="Times New Roman"/>
          <w:color w:val="000000" w:themeColor="text1"/>
          <w14:textFill>
            <w14:solidFill>
              <w14:schemeClr w14:val="tx1"/>
            </w14:solidFill>
          </w14:textFill>
        </w:rPr>
        <w:sectPr>
          <w:endnotePr>
            <w:numFmt w:val="decimal"/>
          </w:endnotePr>
          <w:pgSz w:w="16840" w:h="11907" w:orient="landscape"/>
          <w:pgMar w:top="1418" w:right="1531" w:bottom="1418" w:left="1531" w:header="1134" w:footer="1021" w:gutter="0"/>
          <w:cols w:space="720" w:num="1"/>
          <w:docGrid w:linePitch="326" w:charSpace="0"/>
        </w:sectPr>
      </w:pP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表4.1-1 屯留区地层情况一览表</w:t>
      </w:r>
    </w:p>
    <w:tbl>
      <w:tblPr>
        <w:tblStyle w:val="53"/>
        <w:tblW w:w="504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48"/>
        <w:gridCol w:w="425"/>
        <w:gridCol w:w="433"/>
        <w:gridCol w:w="727"/>
        <w:gridCol w:w="874"/>
        <w:gridCol w:w="1894"/>
        <w:gridCol w:w="41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2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界</w:t>
            </w:r>
          </w:p>
        </w:tc>
        <w:tc>
          <w:tcPr>
            <w:tcW w:w="23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系</w:t>
            </w:r>
          </w:p>
        </w:tc>
        <w:tc>
          <w:tcPr>
            <w:tcW w:w="22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统</w:t>
            </w:r>
          </w:p>
        </w:tc>
        <w:tc>
          <w:tcPr>
            <w:tcW w:w="231"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组</w:t>
            </w:r>
          </w:p>
        </w:tc>
        <w:tc>
          <w:tcPr>
            <w:tcW w:w="38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代号</w:t>
            </w:r>
          </w:p>
        </w:tc>
        <w:tc>
          <w:tcPr>
            <w:tcW w:w="46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厚度</w:t>
            </w:r>
          </w:p>
          <w:p>
            <w:pPr>
              <w:pStyle w:val="332"/>
              <w:rPr>
                <w:color w:val="000000" w:themeColor="text1"/>
                <w14:textFill>
                  <w14:solidFill>
                    <w14:schemeClr w14:val="tx1"/>
                  </w14:solidFill>
                </w14:textFill>
              </w:rPr>
            </w:pPr>
            <w:r>
              <w:rPr>
                <w:color w:val="000000" w:themeColor="text1"/>
                <w14:textFill>
                  <w14:solidFill>
                    <w14:schemeClr w14:val="tx1"/>
                  </w14:solidFill>
                </w14:textFill>
              </w:rPr>
              <w:t>(m)</w:t>
            </w:r>
          </w:p>
        </w:tc>
        <w:tc>
          <w:tcPr>
            <w:tcW w:w="101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分布范围</w:t>
            </w:r>
          </w:p>
        </w:tc>
        <w:tc>
          <w:tcPr>
            <w:tcW w:w="221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岩性特征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新生界</w:t>
            </w:r>
          </w:p>
        </w:tc>
        <w:tc>
          <w:tcPr>
            <w:tcW w:w="239"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第四系</w:t>
            </w:r>
          </w:p>
        </w:tc>
        <w:tc>
          <w:tcPr>
            <w:tcW w:w="22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全新统</w:t>
            </w:r>
          </w:p>
        </w:tc>
        <w:tc>
          <w:tcPr>
            <w:tcW w:w="231"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汾河组</w:t>
            </w:r>
          </w:p>
        </w:tc>
        <w:tc>
          <w:tcPr>
            <w:tcW w:w="388"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Q4</w:t>
            </w:r>
          </w:p>
        </w:tc>
        <w:tc>
          <w:tcPr>
            <w:tcW w:w="46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10~30</w:t>
            </w:r>
          </w:p>
        </w:tc>
        <w:tc>
          <w:tcPr>
            <w:tcW w:w="1010" w:type="pct"/>
            <w:tcBorders>
              <w:top w:val="single" w:color="auto" w:sz="1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分布于河谷中，组成河床，漫滩及Ⅰ级阶地</w:t>
            </w:r>
          </w:p>
        </w:tc>
        <w:tc>
          <w:tcPr>
            <w:tcW w:w="2212" w:type="pct"/>
            <w:tcBorders>
              <w:top w:val="single" w:color="auto" w:sz="1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为砂砾石层及砂层，亚砂土、亚粘土、粘土。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continue"/>
            <w:vAlign w:val="center"/>
          </w:tcPr>
          <w:p>
            <w:pPr>
              <w:pStyle w:val="332"/>
              <w:rPr>
                <w:color w:val="000000" w:themeColor="text1"/>
                <w14:textFill>
                  <w14:solidFill>
                    <w14:schemeClr w14:val="tx1"/>
                  </w14:solidFill>
                </w14:textFill>
              </w:rPr>
            </w:pPr>
          </w:p>
        </w:tc>
        <w:tc>
          <w:tcPr>
            <w:tcW w:w="239" w:type="pct"/>
            <w:vMerge w:val="continue"/>
            <w:vAlign w:val="center"/>
          </w:tcPr>
          <w:p>
            <w:pPr>
              <w:pStyle w:val="332"/>
              <w:rPr>
                <w:color w:val="000000" w:themeColor="text1"/>
                <w14:textFill>
                  <w14:solidFill>
                    <w14:schemeClr w14:val="tx1"/>
                  </w14:solidFill>
                </w14:textFill>
              </w:rPr>
            </w:pPr>
          </w:p>
        </w:tc>
        <w:tc>
          <w:tcPr>
            <w:tcW w:w="227"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上更新统</w:t>
            </w: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峙峪组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3s</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10~30</w:t>
            </w:r>
          </w:p>
        </w:tc>
        <w:tc>
          <w:tcPr>
            <w:tcW w:w="1010"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沿河流两岸分布</w:t>
            </w: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为灰褐色、灰黄色、灰色、褐黄色亚砂土、亚粘土及砂类土、常夹灰绿色条带及灰黑色泥炭层、底部常为砂砾石层或砾石层。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continue"/>
            <w:vAlign w:val="center"/>
          </w:tcPr>
          <w:p>
            <w:pPr>
              <w:pStyle w:val="332"/>
              <w:rPr>
                <w:color w:val="000000" w:themeColor="text1"/>
                <w14:textFill>
                  <w14:solidFill>
                    <w14:schemeClr w14:val="tx1"/>
                  </w14:solidFill>
                </w14:textFill>
              </w:rPr>
            </w:pPr>
          </w:p>
        </w:tc>
        <w:tc>
          <w:tcPr>
            <w:tcW w:w="239" w:type="pct"/>
            <w:vMerge w:val="continue"/>
            <w:vAlign w:val="center"/>
          </w:tcPr>
          <w:p>
            <w:pPr>
              <w:pStyle w:val="332"/>
              <w:rPr>
                <w:color w:val="000000" w:themeColor="text1"/>
                <w14:textFill>
                  <w14:solidFill>
                    <w14:schemeClr w14:val="tx1"/>
                  </w14:solidFill>
                </w14:textFill>
              </w:rPr>
            </w:pPr>
          </w:p>
        </w:tc>
        <w:tc>
          <w:tcPr>
            <w:tcW w:w="227" w:type="pct"/>
            <w:vMerge w:val="continue"/>
            <w:vAlign w:val="center"/>
          </w:tcPr>
          <w:p>
            <w:pPr>
              <w:pStyle w:val="332"/>
              <w:rPr>
                <w:color w:val="000000" w:themeColor="text1"/>
                <w14:textFill>
                  <w14:solidFill>
                    <w14:schemeClr w14:val="tx1"/>
                  </w14:solidFill>
                </w14:textFill>
              </w:rPr>
            </w:pP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马兰组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3m</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不详</w:t>
            </w:r>
          </w:p>
        </w:tc>
        <w:tc>
          <w:tcPr>
            <w:tcW w:w="1010"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广泛分布于吾元西村、余吾、河神庙、李高等地</w:t>
            </w: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为灰黄色亚粘土、常含姜状钙质结核、在西尧村蕴藏动物化石。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continue"/>
            <w:vAlign w:val="center"/>
          </w:tcPr>
          <w:p>
            <w:pPr>
              <w:pStyle w:val="332"/>
              <w:rPr>
                <w:color w:val="000000" w:themeColor="text1"/>
                <w14:textFill>
                  <w14:solidFill>
                    <w14:schemeClr w14:val="tx1"/>
                  </w14:solidFill>
                </w14:textFill>
              </w:rPr>
            </w:pPr>
          </w:p>
        </w:tc>
        <w:tc>
          <w:tcPr>
            <w:tcW w:w="239" w:type="pct"/>
            <w:vMerge w:val="continue"/>
            <w:vAlign w:val="center"/>
          </w:tcPr>
          <w:p>
            <w:pPr>
              <w:pStyle w:val="332"/>
              <w:rPr>
                <w:color w:val="000000" w:themeColor="text1"/>
                <w14:textFill>
                  <w14:solidFill>
                    <w14:schemeClr w14:val="tx1"/>
                  </w14:solidFill>
                </w14:textFill>
              </w:rPr>
            </w:pPr>
          </w:p>
        </w:tc>
        <w:tc>
          <w:tcPr>
            <w:tcW w:w="227"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中更新统</w:t>
            </w: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离石组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2l</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10~20</w:t>
            </w:r>
          </w:p>
        </w:tc>
        <w:tc>
          <w:tcPr>
            <w:tcW w:w="1010"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大墙则、后河、小常村、沈家沟等地</w:t>
            </w: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为灰黄、棕黄或浅红色亚砂土和亚粘土，常夹棕红色古土壤及钙质结核层，底部常有砂层、砂砾层或砾石层。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continue"/>
            <w:vAlign w:val="center"/>
          </w:tcPr>
          <w:p>
            <w:pPr>
              <w:pStyle w:val="332"/>
              <w:rPr>
                <w:color w:val="000000" w:themeColor="text1"/>
                <w14:textFill>
                  <w14:solidFill>
                    <w14:schemeClr w14:val="tx1"/>
                  </w14:solidFill>
                </w14:textFill>
              </w:rPr>
            </w:pPr>
          </w:p>
        </w:tc>
        <w:tc>
          <w:tcPr>
            <w:tcW w:w="239" w:type="pct"/>
            <w:vMerge w:val="continue"/>
            <w:vAlign w:val="center"/>
          </w:tcPr>
          <w:p>
            <w:pPr>
              <w:pStyle w:val="332"/>
              <w:rPr>
                <w:color w:val="000000" w:themeColor="text1"/>
                <w14:textFill>
                  <w14:solidFill>
                    <w14:schemeClr w14:val="tx1"/>
                  </w14:solidFill>
                </w14:textFill>
              </w:rPr>
            </w:pPr>
          </w:p>
        </w:tc>
        <w:tc>
          <w:tcPr>
            <w:tcW w:w="227" w:type="pct"/>
            <w:vMerge w:val="continue"/>
            <w:vAlign w:val="center"/>
          </w:tcPr>
          <w:p>
            <w:pPr>
              <w:pStyle w:val="332"/>
              <w:rPr>
                <w:color w:val="000000" w:themeColor="text1"/>
                <w14:textFill>
                  <w14:solidFill>
                    <w14:schemeClr w14:val="tx1"/>
                  </w14:solidFill>
                </w14:textFill>
              </w:rPr>
            </w:pP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小常村组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2x</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5~35</w:t>
            </w:r>
          </w:p>
        </w:tc>
        <w:tc>
          <w:tcPr>
            <w:tcW w:w="1010"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在小常村、后河、后峪沟、常村等地</w:t>
            </w: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为灰绿、灰蓝、灰白、灰褐、棕红、褐紫色粘土、亚粘土、亚砂土夹多层砂层、砂砾层及灰白色泥灰岩、底部常有砂砾石层或砾石层。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continue"/>
            <w:vAlign w:val="center"/>
          </w:tcPr>
          <w:p>
            <w:pPr>
              <w:pStyle w:val="332"/>
              <w:rPr>
                <w:color w:val="000000" w:themeColor="text1"/>
                <w14:textFill>
                  <w14:solidFill>
                    <w14:schemeClr w14:val="tx1"/>
                  </w14:solidFill>
                </w14:textFill>
              </w:rPr>
            </w:pPr>
          </w:p>
        </w:tc>
        <w:tc>
          <w:tcPr>
            <w:tcW w:w="239" w:type="pct"/>
            <w:vMerge w:val="continue"/>
            <w:vAlign w:val="center"/>
          </w:tcPr>
          <w:p>
            <w:pPr>
              <w:pStyle w:val="332"/>
              <w:rPr>
                <w:color w:val="000000" w:themeColor="text1"/>
                <w14:textFill>
                  <w14:solidFill>
                    <w14:schemeClr w14:val="tx1"/>
                  </w14:solidFill>
                </w14:textFill>
              </w:rPr>
            </w:pPr>
          </w:p>
        </w:tc>
        <w:tc>
          <w:tcPr>
            <w:tcW w:w="227"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下更新统</w:t>
            </w: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大墙组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1d</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5~25</w:t>
            </w:r>
          </w:p>
        </w:tc>
        <w:tc>
          <w:tcPr>
            <w:tcW w:w="1010"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大墙则一带</w:t>
            </w: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为鲜红色粘土，常夹棕红、棕黄色粘土、亚粘土条带的土状堆积，有时夹钙质结核层。在鲜红色粘土中常见铁锰质薄膜及铁锰质结核。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continue"/>
            <w:vAlign w:val="center"/>
          </w:tcPr>
          <w:p>
            <w:pPr>
              <w:pStyle w:val="332"/>
              <w:rPr>
                <w:color w:val="000000" w:themeColor="text1"/>
                <w14:textFill>
                  <w14:solidFill>
                    <w14:schemeClr w14:val="tx1"/>
                  </w14:solidFill>
                </w14:textFill>
              </w:rPr>
            </w:pPr>
          </w:p>
        </w:tc>
        <w:tc>
          <w:tcPr>
            <w:tcW w:w="239" w:type="pct"/>
            <w:vMerge w:val="continue"/>
            <w:vAlign w:val="center"/>
          </w:tcPr>
          <w:p>
            <w:pPr>
              <w:pStyle w:val="332"/>
              <w:rPr>
                <w:color w:val="000000" w:themeColor="text1"/>
                <w14:textFill>
                  <w14:solidFill>
                    <w14:schemeClr w14:val="tx1"/>
                  </w14:solidFill>
                </w14:textFill>
              </w:rPr>
            </w:pPr>
          </w:p>
        </w:tc>
        <w:tc>
          <w:tcPr>
            <w:tcW w:w="227" w:type="pct"/>
            <w:vMerge w:val="continue"/>
            <w:vAlign w:val="center"/>
          </w:tcPr>
          <w:p>
            <w:pPr>
              <w:pStyle w:val="332"/>
              <w:rPr>
                <w:color w:val="000000" w:themeColor="text1"/>
                <w14:textFill>
                  <w14:solidFill>
                    <w14:schemeClr w14:val="tx1"/>
                  </w14:solidFill>
                </w14:textFill>
              </w:rPr>
            </w:pP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西村组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1x</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40~130</w:t>
            </w:r>
          </w:p>
        </w:tc>
        <w:tc>
          <w:tcPr>
            <w:tcW w:w="1010"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张店镇、余吾镇等地</w:t>
            </w: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上部为褐黄、紫红、棕红、蓝灰、黄绿等多种色调的粘土、亚粘土及亚砂土互层、并常夹灰黄、灰白色砂层，常夹薄层砂岩及砂砾石透镜体。底部多为砂砾石层或砂砾岩，含较丰富的动物化石。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continue"/>
            <w:vAlign w:val="center"/>
          </w:tcPr>
          <w:p>
            <w:pPr>
              <w:pStyle w:val="332"/>
              <w:rPr>
                <w:color w:val="000000" w:themeColor="text1"/>
                <w14:textFill>
                  <w14:solidFill>
                    <w14:schemeClr w14:val="tx1"/>
                  </w14:solidFill>
                </w14:textFill>
              </w:rPr>
            </w:pPr>
          </w:p>
        </w:tc>
        <w:tc>
          <w:tcPr>
            <w:tcW w:w="23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上第三系</w:t>
            </w:r>
          </w:p>
        </w:tc>
        <w:tc>
          <w:tcPr>
            <w:tcW w:w="22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上新统</w:t>
            </w: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张村组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w:t>
            </w:r>
            <w:r>
              <w:rPr>
                <w:color w:val="000000" w:themeColor="text1"/>
                <w:vertAlign w:val="subscript"/>
                <w14:textFill>
                  <w14:solidFill>
                    <w14:schemeClr w14:val="tx1"/>
                  </w14:solidFill>
                </w14:textFill>
              </w:rPr>
              <w:t>z</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80~160</w:t>
            </w:r>
          </w:p>
        </w:tc>
        <w:tc>
          <w:tcPr>
            <w:tcW w:w="1010"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分布面积很小，仅出露于吾元镇罗村一带</w:t>
            </w: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浅紫色、灰绿色、灰兰色粘土、亚粘土、黄色砂层及砂砾石层，富含动物化石。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中生界</w:t>
            </w:r>
          </w:p>
        </w:tc>
        <w:tc>
          <w:tcPr>
            <w:tcW w:w="23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三叠系</w:t>
            </w:r>
          </w:p>
        </w:tc>
        <w:tc>
          <w:tcPr>
            <w:tcW w:w="22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上统</w:t>
            </w: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延长组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T</w:t>
            </w:r>
            <w:r>
              <w:rPr>
                <w:color w:val="000000" w:themeColor="text1"/>
                <w:vertAlign w:val="subscript"/>
                <w14:textFill>
                  <w14:solidFill>
                    <w14:schemeClr w14:val="tx1"/>
                  </w14:solidFill>
                </w14:textFill>
              </w:rPr>
              <w:t>y</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30~23.3</w:t>
            </w:r>
          </w:p>
        </w:tc>
        <w:tc>
          <w:tcPr>
            <w:tcW w:w="1010" w:type="pct"/>
            <w:vMerge w:val="restar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境内出露颇为广泛，约占全县总面积的一半左右，遍布县境西部、西南部、西北部</w:t>
            </w: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黄绿色、肉红色、土黄色长石砂岩夹暗紫色泥岩，紫红色砂质泥岩及灰色钙质粉砂岩。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continue"/>
            <w:vAlign w:val="center"/>
          </w:tcPr>
          <w:p>
            <w:pPr>
              <w:pStyle w:val="332"/>
              <w:rPr>
                <w:color w:val="000000" w:themeColor="text1"/>
                <w14:textFill>
                  <w14:solidFill>
                    <w14:schemeClr w14:val="tx1"/>
                  </w14:solidFill>
                </w14:textFill>
              </w:rPr>
            </w:pPr>
          </w:p>
        </w:tc>
        <w:tc>
          <w:tcPr>
            <w:tcW w:w="239" w:type="pct"/>
            <w:vMerge w:val="continue"/>
            <w:vAlign w:val="center"/>
          </w:tcPr>
          <w:p>
            <w:pPr>
              <w:pStyle w:val="332"/>
              <w:rPr>
                <w:color w:val="000000" w:themeColor="text1"/>
                <w14:textFill>
                  <w14:solidFill>
                    <w14:schemeClr w14:val="tx1"/>
                  </w14:solidFill>
                </w14:textFill>
              </w:rPr>
            </w:pPr>
          </w:p>
        </w:tc>
        <w:tc>
          <w:tcPr>
            <w:tcW w:w="22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中统</w:t>
            </w: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铜川组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T</w:t>
            </w:r>
            <w:r>
              <w:rPr>
                <w:color w:val="000000" w:themeColor="text1"/>
                <w:vertAlign w:val="subscript"/>
                <w14:textFill>
                  <w14:solidFill>
                    <w14:schemeClr w14:val="tx1"/>
                  </w14:solidFill>
                </w14:textFill>
              </w:rPr>
              <w:t>t</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不详</w:t>
            </w:r>
          </w:p>
        </w:tc>
        <w:tc>
          <w:tcPr>
            <w:tcW w:w="1010" w:type="pct"/>
            <w:vMerge w:val="continue"/>
            <w:vAlign w:val="center"/>
          </w:tcPr>
          <w:p>
            <w:pPr>
              <w:pStyle w:val="332"/>
              <w:rPr>
                <w:color w:val="000000" w:themeColor="text1"/>
                <w14:textFill>
                  <w14:solidFill>
                    <w14:schemeClr w14:val="tx1"/>
                  </w14:solidFill>
                </w14:textFill>
              </w:rPr>
            </w:pP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肉红色、灰色、灰白色、土黄色及黄绿色厚层中~粗粒长石砂岩和暗紫色泥岩、少量灰绿色砂质页岩、煤线组成。下部以泥岩为主，上部砂泥岩互层或砂岩夹泥岩，顶部岩石中含植物化石。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中</w:t>
            </w:r>
          </w:p>
          <w:p>
            <w:pPr>
              <w:pStyle w:val="332"/>
              <w:rPr>
                <w:color w:val="000000" w:themeColor="text1"/>
                <w14:textFill>
                  <w14:solidFill>
                    <w14:schemeClr w14:val="tx1"/>
                  </w14:solidFill>
                </w14:textFill>
              </w:rPr>
            </w:pPr>
            <w:r>
              <w:rPr>
                <w:color w:val="000000" w:themeColor="text1"/>
                <w14:textFill>
                  <w14:solidFill>
                    <w14:schemeClr w14:val="tx1"/>
                  </w14:solidFill>
                </w14:textFill>
              </w:rPr>
              <w:t>生</w:t>
            </w:r>
          </w:p>
          <w:p>
            <w:pPr>
              <w:pStyle w:val="332"/>
              <w:rPr>
                <w:color w:val="000000" w:themeColor="text1"/>
                <w14:textFill>
                  <w14:solidFill>
                    <w14:schemeClr w14:val="tx1"/>
                  </w14:solidFill>
                </w14:textFill>
              </w:rPr>
            </w:pPr>
            <w:r>
              <w:rPr>
                <w:color w:val="000000" w:themeColor="text1"/>
                <w14:textFill>
                  <w14:solidFill>
                    <w14:schemeClr w14:val="tx1"/>
                  </w14:solidFill>
                </w14:textFill>
              </w:rPr>
              <w:t>界</w:t>
            </w:r>
          </w:p>
        </w:tc>
        <w:tc>
          <w:tcPr>
            <w:tcW w:w="23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三叠系</w:t>
            </w:r>
          </w:p>
        </w:tc>
        <w:tc>
          <w:tcPr>
            <w:tcW w:w="22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中统</w:t>
            </w: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二马营组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T</w:t>
            </w:r>
            <w:r>
              <w:rPr>
                <w:color w:val="000000" w:themeColor="text1"/>
                <w:vertAlign w:val="subscript"/>
                <w14:textFill>
                  <w14:solidFill>
                    <w14:schemeClr w14:val="tx1"/>
                  </w14:solidFill>
                </w14:textFill>
              </w:rPr>
              <w:t>er</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不详</w:t>
            </w:r>
          </w:p>
        </w:tc>
        <w:tc>
          <w:tcPr>
            <w:tcW w:w="1010" w:type="pct"/>
            <w:vMerge w:val="restar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境内出露颇为广泛，约占全县总面积的一半左右，遍布县境西部、西南部和西北部山区</w:t>
            </w: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黄绿色长石砂岩夹暗紫色红色砂岩、砂质泥岩。顶部和中下部以砂岩为主、中部以泥岩、砂质泥岩和泥质粉砂岩较多。砂岩常为钙质胶结，少量黄铁矿，厚度变化大，交错层、斜层理发育。泥岩中铁质成分较高。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continue"/>
            <w:vAlign w:val="center"/>
          </w:tcPr>
          <w:p>
            <w:pPr>
              <w:pStyle w:val="332"/>
              <w:rPr>
                <w:color w:val="000000" w:themeColor="text1"/>
                <w14:textFill>
                  <w14:solidFill>
                    <w14:schemeClr w14:val="tx1"/>
                  </w14:solidFill>
                </w14:textFill>
              </w:rPr>
            </w:pPr>
          </w:p>
        </w:tc>
        <w:tc>
          <w:tcPr>
            <w:tcW w:w="239" w:type="pct"/>
            <w:vMerge w:val="continue"/>
            <w:vAlign w:val="center"/>
          </w:tcPr>
          <w:p>
            <w:pPr>
              <w:pStyle w:val="332"/>
              <w:rPr>
                <w:color w:val="000000" w:themeColor="text1"/>
                <w14:textFill>
                  <w14:solidFill>
                    <w14:schemeClr w14:val="tx1"/>
                  </w14:solidFill>
                </w14:textFill>
              </w:rPr>
            </w:pPr>
          </w:p>
        </w:tc>
        <w:tc>
          <w:tcPr>
            <w:tcW w:w="227"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下统</w:t>
            </w: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和尚沟组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T</w:t>
            </w:r>
            <w:r>
              <w:rPr>
                <w:color w:val="000000" w:themeColor="text1"/>
                <w:vertAlign w:val="subscript"/>
                <w14:textFill>
                  <w14:solidFill>
                    <w14:schemeClr w14:val="tx1"/>
                  </w14:solidFill>
                </w14:textFill>
              </w:rPr>
              <w:t>h</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不详</w:t>
            </w:r>
          </w:p>
        </w:tc>
        <w:tc>
          <w:tcPr>
            <w:tcW w:w="1010" w:type="pct"/>
            <w:vMerge w:val="continue"/>
            <w:vAlign w:val="center"/>
          </w:tcPr>
          <w:p>
            <w:pPr>
              <w:pStyle w:val="332"/>
              <w:rPr>
                <w:color w:val="000000" w:themeColor="text1"/>
                <w14:textFill>
                  <w14:solidFill>
                    <w14:schemeClr w14:val="tx1"/>
                  </w14:solidFill>
                </w14:textFill>
              </w:rPr>
            </w:pP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紫红色、砖红色砂岩与泥岩互层、上部有2~4层灰绿色、黄绿色砂岩，厚1~10余米。在四家洼、黑家口等地黄绿色砂岩较发育，富含磷灰石、锆石、钛磁铁矿条带或密集条纹。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continue"/>
            <w:vAlign w:val="center"/>
          </w:tcPr>
          <w:p>
            <w:pPr>
              <w:pStyle w:val="332"/>
              <w:rPr>
                <w:color w:val="000000" w:themeColor="text1"/>
                <w14:textFill>
                  <w14:solidFill>
                    <w14:schemeClr w14:val="tx1"/>
                  </w14:solidFill>
                </w14:textFill>
              </w:rPr>
            </w:pPr>
          </w:p>
        </w:tc>
        <w:tc>
          <w:tcPr>
            <w:tcW w:w="239" w:type="pct"/>
            <w:vMerge w:val="continue"/>
            <w:vAlign w:val="center"/>
          </w:tcPr>
          <w:p>
            <w:pPr>
              <w:pStyle w:val="332"/>
              <w:rPr>
                <w:color w:val="000000" w:themeColor="text1"/>
                <w14:textFill>
                  <w14:solidFill>
                    <w14:schemeClr w14:val="tx1"/>
                  </w14:solidFill>
                </w14:textFill>
              </w:rPr>
            </w:pPr>
          </w:p>
        </w:tc>
        <w:tc>
          <w:tcPr>
            <w:tcW w:w="227" w:type="pct"/>
            <w:vMerge w:val="continue"/>
            <w:vAlign w:val="center"/>
          </w:tcPr>
          <w:p>
            <w:pPr>
              <w:pStyle w:val="332"/>
              <w:rPr>
                <w:color w:val="000000" w:themeColor="text1"/>
                <w14:textFill>
                  <w14:solidFill>
                    <w14:schemeClr w14:val="tx1"/>
                  </w14:solidFill>
                </w14:textFill>
              </w:rPr>
            </w:pP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刘家沟组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T</w:t>
            </w:r>
            <w:r>
              <w:rPr>
                <w:color w:val="000000" w:themeColor="text1"/>
                <w:vertAlign w:val="subscript"/>
                <w14:textFill>
                  <w14:solidFill>
                    <w14:schemeClr w14:val="tx1"/>
                  </w14:solidFill>
                </w14:textFill>
              </w:rPr>
              <w:t>l</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338.3~442.5</w:t>
            </w:r>
          </w:p>
        </w:tc>
        <w:tc>
          <w:tcPr>
            <w:tcW w:w="1010" w:type="pct"/>
            <w:vMerge w:val="continue"/>
            <w:vAlign w:val="center"/>
          </w:tcPr>
          <w:p>
            <w:pPr>
              <w:pStyle w:val="332"/>
              <w:rPr>
                <w:color w:val="000000" w:themeColor="text1"/>
                <w14:textFill>
                  <w14:solidFill>
                    <w14:schemeClr w14:val="tx1"/>
                  </w14:solidFill>
                </w14:textFill>
              </w:rPr>
            </w:pP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紫红色、淡紫色中~厚层状，细~中粒钙质、钙铁质胶结长石石英砂岩或长石砂岩。上部和下部夹少量薄层紫红、砖红色砂质页岩，中部夹同生砾岩或砂岩中含同生砾岩。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上</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古</w:t>
            </w:r>
          </w:p>
          <w:p>
            <w:pPr>
              <w:pStyle w:val="332"/>
              <w:rPr>
                <w:color w:val="000000" w:themeColor="text1"/>
                <w14:textFill>
                  <w14:solidFill>
                    <w14:schemeClr w14:val="tx1"/>
                  </w14:solidFill>
                </w14:textFill>
              </w:rPr>
            </w:pPr>
            <w:r>
              <w:rPr>
                <w:color w:val="000000" w:themeColor="text1"/>
                <w14:textFill>
                  <w14:solidFill>
                    <w14:schemeClr w14:val="tx1"/>
                  </w14:solidFill>
                </w14:textFill>
              </w:rPr>
              <w:t>生</w:t>
            </w:r>
          </w:p>
          <w:p>
            <w:pPr>
              <w:pStyle w:val="332"/>
              <w:rPr>
                <w:color w:val="000000" w:themeColor="text1"/>
                <w14:textFill>
                  <w14:solidFill>
                    <w14:schemeClr w14:val="tx1"/>
                  </w14:solidFill>
                </w14:textFill>
              </w:rPr>
            </w:pPr>
            <w:r>
              <w:rPr>
                <w:color w:val="000000" w:themeColor="text1"/>
                <w14:textFill>
                  <w14:solidFill>
                    <w14:schemeClr w14:val="tx1"/>
                  </w14:solidFill>
                </w14:textFill>
              </w:rPr>
              <w:t>界</w:t>
            </w:r>
          </w:p>
        </w:tc>
        <w:tc>
          <w:tcPr>
            <w:tcW w:w="23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二叠系</w:t>
            </w:r>
          </w:p>
        </w:tc>
        <w:tc>
          <w:tcPr>
            <w:tcW w:w="227"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上统</w:t>
            </w: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石千峰组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sh</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97.2~175.3</w:t>
            </w:r>
          </w:p>
        </w:tc>
        <w:tc>
          <w:tcPr>
            <w:tcW w:w="1010" w:type="pct"/>
            <w:vMerge w:val="restar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主要分布于路村乡、余吾镇境内，渔泽镇南部仅有零星露头</w:t>
            </w: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底部为黄绿色硬砂质长石砂岩或长石砂岩，称为“底砂岩”；其余主要为砖红~紫红色泥岩、砂质页岩。中下部夹2~4层厚度0.5~5m不等的紫红色长石砂岩，中上部夹1~3层断续成层的灰、灰白色淡水灰岩和极薄层石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continue"/>
            <w:vAlign w:val="center"/>
          </w:tcPr>
          <w:p>
            <w:pPr>
              <w:pStyle w:val="332"/>
              <w:rPr>
                <w:color w:val="000000" w:themeColor="text1"/>
                <w14:textFill>
                  <w14:solidFill>
                    <w14:schemeClr w14:val="tx1"/>
                  </w14:solidFill>
                </w14:textFill>
              </w:rPr>
            </w:pPr>
          </w:p>
        </w:tc>
        <w:tc>
          <w:tcPr>
            <w:tcW w:w="239" w:type="pct"/>
            <w:vMerge w:val="continue"/>
            <w:vAlign w:val="center"/>
          </w:tcPr>
          <w:p>
            <w:pPr>
              <w:pStyle w:val="332"/>
              <w:rPr>
                <w:color w:val="000000" w:themeColor="text1"/>
                <w14:textFill>
                  <w14:solidFill>
                    <w14:schemeClr w14:val="tx1"/>
                  </w14:solidFill>
                </w14:textFill>
              </w:rPr>
            </w:pPr>
          </w:p>
        </w:tc>
        <w:tc>
          <w:tcPr>
            <w:tcW w:w="227" w:type="pct"/>
            <w:vMerge w:val="continue"/>
            <w:vAlign w:val="center"/>
          </w:tcPr>
          <w:p>
            <w:pPr>
              <w:pStyle w:val="332"/>
              <w:rPr>
                <w:color w:val="000000" w:themeColor="text1"/>
                <w14:textFill>
                  <w14:solidFill>
                    <w14:schemeClr w14:val="tx1"/>
                  </w14:solidFill>
                </w14:textFill>
              </w:rPr>
            </w:pP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上石盒子组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412~511.5</w:t>
            </w:r>
          </w:p>
        </w:tc>
        <w:tc>
          <w:tcPr>
            <w:tcW w:w="1010" w:type="pct"/>
            <w:vMerge w:val="continue"/>
            <w:vAlign w:val="center"/>
          </w:tcPr>
          <w:p>
            <w:pPr>
              <w:pStyle w:val="332"/>
              <w:rPr>
                <w:color w:val="000000" w:themeColor="text1"/>
                <w14:textFill>
                  <w14:solidFill>
                    <w14:schemeClr w14:val="tx1"/>
                  </w14:solidFill>
                </w14:textFill>
              </w:rPr>
            </w:pP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黄绿色与杏黄色硬质砂岩、长石硬质砂质石英砂岩及黄绿色、紫红色砂质页岩互为夹层的岩石组成。中部和底部各夹1~3层锰铁矿及灰色砂质页岩，上部常夹灰兰色砂质页岩，顶部暗紫色泥岩或页岩中夹黑色、灰白色燧石条带或燧石结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continue"/>
            <w:vAlign w:val="center"/>
          </w:tcPr>
          <w:p>
            <w:pPr>
              <w:pStyle w:val="332"/>
              <w:rPr>
                <w:color w:val="000000" w:themeColor="text1"/>
                <w14:textFill>
                  <w14:solidFill>
                    <w14:schemeClr w14:val="tx1"/>
                  </w14:solidFill>
                </w14:textFill>
              </w:rPr>
            </w:pPr>
          </w:p>
        </w:tc>
        <w:tc>
          <w:tcPr>
            <w:tcW w:w="239" w:type="pct"/>
            <w:vMerge w:val="continue"/>
            <w:vAlign w:val="center"/>
          </w:tcPr>
          <w:p>
            <w:pPr>
              <w:pStyle w:val="332"/>
              <w:rPr>
                <w:color w:val="000000" w:themeColor="text1"/>
                <w14:textFill>
                  <w14:solidFill>
                    <w14:schemeClr w14:val="tx1"/>
                  </w14:solidFill>
                </w14:textFill>
              </w:rPr>
            </w:pPr>
          </w:p>
        </w:tc>
        <w:tc>
          <w:tcPr>
            <w:tcW w:w="227"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下统</w:t>
            </w: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下石盒子组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x</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53.9~118.5</w:t>
            </w:r>
          </w:p>
        </w:tc>
        <w:tc>
          <w:tcPr>
            <w:tcW w:w="1010" w:type="pct"/>
            <w:vMerge w:val="continue"/>
            <w:vAlign w:val="center"/>
          </w:tcPr>
          <w:p>
            <w:pPr>
              <w:pStyle w:val="332"/>
              <w:rPr>
                <w:color w:val="000000" w:themeColor="text1"/>
                <w14:textFill>
                  <w14:solidFill>
                    <w14:schemeClr w14:val="tx1"/>
                  </w14:solidFill>
                </w14:textFill>
              </w:rPr>
            </w:pP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由黄绿色长石硬质砂岩、长石硬砂质石英砂岩、灰绿色砂质页岩、灰色页岩、紫红色砂质页岩等交互组成。岩层下部夹1~3层煤线。顶部有2层厚2~8m鲕状铝土质页岩，颜色多样，常称之为“桃花泥岩”。 铝土页岩中还常夹1~4层锰铁矿或富含锰铁质铝土页岩，成为山西省“屯留式铁矿“的发源地。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27" w:type="pct"/>
            <w:vMerge w:val="continue"/>
            <w:vAlign w:val="center"/>
          </w:tcPr>
          <w:p>
            <w:pPr>
              <w:pStyle w:val="332"/>
              <w:rPr>
                <w:color w:val="000000" w:themeColor="text1"/>
                <w14:textFill>
                  <w14:solidFill>
                    <w14:schemeClr w14:val="tx1"/>
                  </w14:solidFill>
                </w14:textFill>
              </w:rPr>
            </w:pPr>
          </w:p>
        </w:tc>
        <w:tc>
          <w:tcPr>
            <w:tcW w:w="239" w:type="pct"/>
            <w:vMerge w:val="continue"/>
            <w:vAlign w:val="center"/>
          </w:tcPr>
          <w:p>
            <w:pPr>
              <w:pStyle w:val="332"/>
              <w:rPr>
                <w:color w:val="000000" w:themeColor="text1"/>
                <w14:textFill>
                  <w14:solidFill>
                    <w14:schemeClr w14:val="tx1"/>
                  </w14:solidFill>
                </w14:textFill>
              </w:rPr>
            </w:pPr>
          </w:p>
        </w:tc>
        <w:tc>
          <w:tcPr>
            <w:tcW w:w="227" w:type="pct"/>
            <w:vMerge w:val="continue"/>
            <w:vAlign w:val="center"/>
          </w:tcPr>
          <w:p>
            <w:pPr>
              <w:pStyle w:val="332"/>
              <w:rPr>
                <w:color w:val="000000" w:themeColor="text1"/>
                <w14:textFill>
                  <w14:solidFill>
                    <w14:schemeClr w14:val="tx1"/>
                  </w14:solidFill>
                </w14:textFill>
              </w:rPr>
            </w:pPr>
          </w:p>
        </w:tc>
        <w:tc>
          <w:tcPr>
            <w:tcW w:w="2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山西组</w:t>
            </w:r>
          </w:p>
        </w:tc>
        <w:tc>
          <w:tcPr>
            <w:tcW w:w="3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1</w:t>
            </w:r>
            <w:r>
              <w:rPr>
                <w:color w:val="000000" w:themeColor="text1"/>
                <w14:textFill>
                  <w14:solidFill>
                    <w14:schemeClr w14:val="tx1"/>
                  </w14:solidFill>
                </w14:textFill>
              </w:rPr>
              <w:t>s</w:t>
            </w:r>
          </w:p>
        </w:tc>
        <w:tc>
          <w:tcPr>
            <w:tcW w:w="4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30~67</w:t>
            </w:r>
          </w:p>
        </w:tc>
        <w:tc>
          <w:tcPr>
            <w:tcW w:w="1010" w:type="pct"/>
            <w:vMerge w:val="continue"/>
            <w:vAlign w:val="center"/>
          </w:tcPr>
          <w:p>
            <w:pPr>
              <w:pStyle w:val="332"/>
              <w:rPr>
                <w:color w:val="000000" w:themeColor="text1"/>
                <w14:textFill>
                  <w14:solidFill>
                    <w14:schemeClr w14:val="tx1"/>
                  </w14:solidFill>
                </w14:textFill>
              </w:rPr>
            </w:pPr>
          </w:p>
        </w:tc>
        <w:tc>
          <w:tcPr>
            <w:tcW w:w="221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主要为一套黄绿、灰白色硬砂质长石砂岩，灰色、黄绿色砂质页岩，碳质页岩夹菱铁矿结核及煤层交互出现的岩性组合，为主要含煤地层，有7—9层煤，煤层总厚6—7m，普遍可采1号和2号煤层。</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4.1.5.2区域构造</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区地质构造以褶皱和断裂为主，主要展布在西部、西北部和西南部山区。东部平原地区由于第四系黄土覆盖，其构造主要在钻孔揭露的煤系地层中显示。西部低中山区和丘陵地带，中生界三叠系砂岩和泥（页）岩广泛出露，褶皱和断裂构造展布明显。境内褶皱主要有：</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（1）姬村向斜，自襄垣县阎村，自北向南往屯留县姬村南延，全长11.5 km，东、西两翼近于对称，岩层倾角4~6º。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（2）路村背斜，自路村经老军庄、曲庄、水东村、南延被藕泽断层切割，全长8.6km，轴向近于SN，呈反S型，两翼倾角4~5º。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（3）老军庄向斜，自路村西经王村、老军庄、双塔村、宋庄往南，中部被藕泽断层切割，全长8.6 km，轴向近于SN，两翼倾角6º。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（4）王村背斜，自襄垣县经常隆往南经白家庄、南庄、王村、东兴旺村、郭庄，被藕泽断层切割，全长16 km，两翼倾角约8º。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（5）官庄向斜，自许村东，经原村、官庄、东兴旺，全长6 km，轴向NNW，两翼倾角5~6º。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（6）原村背斜，自许村东，经原村、官庄西，全长6 km，轴向NNW，两翼倾角6~9º。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（7）许村向斜，自襄垣县安沟东，经屯留县许村、板箱庄、东河北、堰漕，被西魏断层切割，全长15.5 km，轴向NNE，南延部分近于SN向，两翼倾角10º。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（8）苏村背斜，自襄垣县安沟西，向南经屯留县刘村、后苏村、麟绛镇，南部被西魏断层切割，全长15.5 km，轴向NNE，转为近SN向，呈S型，两翼倾角约10º。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（9）响水头向斜，自襄垣县安沟村，往南经响水头、小庙洼至西庄消失，全长8 km，轴向NNE，两翼倾角约10º。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（10）老干庄背斜，自老干庄西，往南至墙则村，全长4.4 km，轴向NNE，两翼倾角10º。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武乡—阳城褶皱带，自和顺经左权、屯留、阳城一线以西，圣王、樊寺山、沁源、安泽一线以东的广大地区，呈NNE—SSW方向斜贯沁水盆地。由二叠系、三叠系岩层组成褶皱带，构成一系列背斜与向斜。一般长20~40 km，为一些极为开阔、平缓的皱曲，其延伸方向均为N25ºE，两翼倾角约10º，最大20º。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（12）张店—河神庙以南褶皱带，自张店—河神庙向南经长子县延伸至高平市境内，SN长约80 km，最宽约40 km，以二叠系和三叠系组成褶皱带，为平缓的背斜和向斜，其两翼岩层倾角一般约10º，个别达20º以上。褶皱带集中发育在张店—西流寨之间。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境内断层主要有：</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（1）官庄逆断层，位于官庄村西，走向NW，倾向NE，倾角45º，长2.6 km，断距14~24 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（2）苏村逆断层，位于前苏村东北，走向NW，倾向SW，倾角45º，长1.7 km，断距30 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（3）文王山南正断层，位于县境北部边缘至襄垣县安沟村一带，向东延伸至周王山，西延到前董庄、李村一带。走向NEE，倾向SE，倾角70~80º，长25 km以上，断距230~350 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（4）西魏正断层，位于西贾至西魏一带，走向NEE，倾向SE，倾角70º，长7.5 km，断距45 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（5）藕泽正断层，位于藕泽至沙庄一带，走向NEE，倾向SE，倾角70º，长4.5 km，断距10~94 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（6）东贾正断层，位于东贾村南，走向与西魏断层近于平行，倾向NW，倾角70º，长2 km，断距37 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（7）安昌正断层，位于崔邵、峪里村一带，走向NEE，倾向SE，倾角70º，长9.5 km，断距40~150 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（8）中华正断层，位于崔邵、南岗一带，走向NEE，倾向NW，倾角70º，长7 km，断距150m。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（9）余吾逆断层，位于余吾镇东，走向近于SN，倾向倾角45º，长9km，断距45 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（10）张店断层，位于张店至西村一带，走向NEE，倾向N，倾角60~80º，长21 km，宽50m。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（11）南沟—陡沟断层，位于张店镇南沟至陡沟一带，走向NEE，倾向SE，倾角60~80º，长11 km，宽3~30 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（12）西湾—上贾庄断层，位于吾元镇境内，走向NEE，倾向N或S，近于立直倾角90º，长10 km，宽5 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（13）沟口—下贾庄断层，位于吾元镇境内，断层呈波状，同方向断裂向北或阶梯状下降。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（14）史家庄—蔡家沟断层，位于吾元镇境内，断层面平直，有泉水出露。</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（15）清凉山断层，岩石破碎强烈，角砾岩带宽5 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（16）北断层，走向EW，倾向N，倾角70~80º，长4 km。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（17）王家沟断层，走向SN，倾向W，倾角70º，共3条平行断层构成断裂带，长2.5 km。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本项目所选区域地质构造简单，无不良地质构造。</w:t>
      </w:r>
    </w:p>
    <w:p>
      <w:pPr>
        <w:pStyle w:val="4"/>
        <w:rPr>
          <w:rFonts w:cs="Times New Roman"/>
          <w:color w:val="000000" w:themeColor="text1"/>
          <w14:textFill>
            <w14:solidFill>
              <w14:schemeClr w14:val="tx1"/>
            </w14:solidFill>
          </w14:textFill>
        </w:rPr>
      </w:pPr>
      <w:bookmarkStart w:id="451" w:name="_Toc91163899"/>
      <w:r>
        <w:rPr>
          <w:rFonts w:cs="Times New Roman"/>
          <w:color w:val="000000" w:themeColor="text1"/>
          <w14:textFill>
            <w14:solidFill>
              <w14:schemeClr w14:val="tx1"/>
            </w14:solidFill>
          </w14:textFill>
        </w:rPr>
        <w:t xml:space="preserve">4.1.6 </w:t>
      </w:r>
      <w:bookmarkEnd w:id="444"/>
      <w:bookmarkEnd w:id="445"/>
      <w:bookmarkEnd w:id="446"/>
      <w:bookmarkEnd w:id="447"/>
      <w:bookmarkEnd w:id="448"/>
      <w:r>
        <w:rPr>
          <w:rFonts w:cs="Times New Roman"/>
          <w:color w:val="000000" w:themeColor="text1"/>
          <w14:textFill>
            <w14:solidFill>
              <w14:schemeClr w14:val="tx1"/>
            </w14:solidFill>
          </w14:textFill>
        </w:rPr>
        <w:t>水文地质条件</w:t>
      </w:r>
      <w:bookmarkEnd w:id="451"/>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屯留区地处长治断陷盆地，属海河流域漳河水系浊漳河南源支流。区域上除绛河、岚河、谷河为常年性河流外，其它河流均为季节性河流。屯留区水文地质单元属于辛安泉域，区域水文地质图见图4.1-4。</w:t>
      </w:r>
    </w:p>
    <w:p>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1、含水层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地下水根据含水介质及地下水赋存特征，结合潞安矿区区域水文地质资料，境内可划分为15个含水层，即中奥陶统马家沟组灰岩岩溶含水层、太原组K</w:t>
      </w:r>
      <w:r>
        <w:rPr>
          <w:rFonts w:cs="Times New Roman"/>
          <w:bCs/>
          <w:color w:val="000000" w:themeColor="text1"/>
          <w:vertAlign w:val="subscript"/>
          <w14:textFill>
            <w14:solidFill>
              <w14:schemeClr w14:val="tx1"/>
            </w14:solidFill>
          </w14:textFill>
        </w:rPr>
        <w:t>2</w:t>
      </w:r>
      <w:r>
        <w:rPr>
          <w:rFonts w:cs="Times New Roman"/>
          <w:bCs/>
          <w:color w:val="000000" w:themeColor="text1"/>
          <w14:textFill>
            <w14:solidFill>
              <w14:schemeClr w14:val="tx1"/>
            </w14:solidFill>
          </w14:textFill>
        </w:rPr>
        <w:t>、K</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、K</w:t>
      </w:r>
      <w:r>
        <w:rPr>
          <w:rFonts w:cs="Times New Roman"/>
          <w:bCs/>
          <w:color w:val="000000" w:themeColor="text1"/>
          <w:vertAlign w:val="subscript"/>
          <w14:textFill>
            <w14:solidFill>
              <w14:schemeClr w14:val="tx1"/>
            </w14:solidFill>
          </w14:textFill>
        </w:rPr>
        <w:t>4</w:t>
      </w:r>
      <w:r>
        <w:rPr>
          <w:rFonts w:cs="Times New Roman"/>
          <w:bCs/>
          <w:color w:val="000000" w:themeColor="text1"/>
          <w14:textFill>
            <w14:solidFill>
              <w14:schemeClr w14:val="tx1"/>
            </w14:solidFill>
          </w14:textFill>
        </w:rPr>
        <w:t>、K</w:t>
      </w:r>
      <w:r>
        <w:rPr>
          <w:rFonts w:cs="Times New Roman"/>
          <w:bCs/>
          <w:color w:val="000000" w:themeColor="text1"/>
          <w:vertAlign w:val="subscript"/>
          <w14:textFill>
            <w14:solidFill>
              <w14:schemeClr w14:val="tx1"/>
            </w14:solidFill>
          </w14:textFill>
        </w:rPr>
        <w:t>5</w:t>
      </w:r>
      <w:r>
        <w:rPr>
          <w:rFonts w:cs="Times New Roman"/>
          <w:bCs/>
          <w:color w:val="000000" w:themeColor="text1"/>
          <w14:textFill>
            <w14:solidFill>
              <w14:schemeClr w14:val="tx1"/>
            </w14:solidFill>
          </w14:textFill>
        </w:rPr>
        <w:t>灰岩岩溶裂隙含水层、山西组K</w:t>
      </w:r>
      <w:r>
        <w:rPr>
          <w:rFonts w:cs="Times New Roman"/>
          <w:bCs/>
          <w:color w:val="000000" w:themeColor="text1"/>
          <w:vertAlign w:val="subscript"/>
          <w14:textFill>
            <w14:solidFill>
              <w14:schemeClr w14:val="tx1"/>
            </w14:solidFill>
          </w14:textFill>
        </w:rPr>
        <w:t>7</w:t>
      </w:r>
      <w:r>
        <w:rPr>
          <w:rFonts w:cs="Times New Roman"/>
          <w:bCs/>
          <w:color w:val="000000" w:themeColor="text1"/>
          <w14:textFill>
            <w14:solidFill>
              <w14:schemeClr w14:val="tx1"/>
            </w14:solidFill>
          </w14:textFill>
        </w:rPr>
        <w:t>砂岩裂隙含水层、3</w:t>
      </w:r>
      <w:r>
        <w:rPr>
          <w:rFonts w:cs="Times New Roman"/>
          <w:bCs/>
          <w:color w:val="000000" w:themeColor="text1"/>
          <w:vertAlign w:val="superscript"/>
          <w14:textFill>
            <w14:solidFill>
              <w14:schemeClr w14:val="tx1"/>
            </w14:solidFill>
          </w14:textFill>
        </w:rPr>
        <w:t>#</w:t>
      </w:r>
      <w:r>
        <w:rPr>
          <w:rFonts w:cs="Times New Roman"/>
          <w:bCs/>
          <w:color w:val="000000" w:themeColor="text1"/>
          <w14:textFill>
            <w14:solidFill>
              <w14:schemeClr w14:val="tx1"/>
            </w14:solidFill>
          </w14:textFill>
        </w:rPr>
        <w:t>煤层顶板砂岩裂隙含水层、下石盒子组K</w:t>
      </w:r>
      <w:r>
        <w:rPr>
          <w:rFonts w:cs="Times New Roman"/>
          <w:bCs/>
          <w:color w:val="000000" w:themeColor="text1"/>
          <w:vertAlign w:val="subscript"/>
          <w14:textFill>
            <w14:solidFill>
              <w14:schemeClr w14:val="tx1"/>
            </w14:solidFill>
          </w14:textFill>
        </w:rPr>
        <w:t>8</w:t>
      </w:r>
      <w:r>
        <w:rPr>
          <w:rFonts w:cs="Times New Roman"/>
          <w:bCs/>
          <w:color w:val="000000" w:themeColor="text1"/>
          <w14:textFill>
            <w14:solidFill>
              <w14:schemeClr w14:val="tx1"/>
            </w14:solidFill>
          </w14:textFill>
        </w:rPr>
        <w:t>砂岩裂隙含水层、上石盒子组基岩风化带裂隙含水层、第四系下更新统孔隙含水层、第四系中更新统孔隙潜水含水层等。现分述如下：</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Ⅰ、奥陶系中统灰岩含水层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奥陶系中统灰岩含水层属于辛安泉域，主要由厚层状石灰岩、白云质灰岩和泥质灰岩，平均厚度130m。一般岩溶发育标高在+300~+500 m之间，具有成层发育特征，富水性较强，且“上强下弱”。目前水位标高为+647.69~+659.31 m，南高北低。据五阳煤矿注（抽）水试验，单位注（涌）水量0.0232~32.7 L/s•m，渗透系数0.048~43.68 m/d，富水性较强，但极不均一，水质类型为HCO</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—Ca型水。</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Ⅱ、石炭系上统太原组K</w:t>
      </w:r>
      <w:r>
        <w:rPr>
          <w:rFonts w:cs="Times New Roman"/>
          <w:bCs/>
          <w:color w:val="000000" w:themeColor="text1"/>
          <w:vertAlign w:val="subscript"/>
          <w14:textFill>
            <w14:solidFill>
              <w14:schemeClr w14:val="tx1"/>
            </w14:solidFill>
          </w14:textFill>
        </w:rPr>
        <w:t>2</w:t>
      </w:r>
      <w:r>
        <w:rPr>
          <w:rFonts w:cs="Times New Roman"/>
          <w:bCs/>
          <w:color w:val="000000" w:themeColor="text1"/>
          <w14:textFill>
            <w14:solidFill>
              <w14:schemeClr w14:val="tx1"/>
            </w14:solidFill>
          </w14:textFill>
        </w:rPr>
        <w:t>石灰岩含水层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层厚2.62~11.60 m，平均7.20 m。据王庄井田16号和43号两钻孔抽水试验，水位标高714 m（16号钻孔），单位涌水量0.0005~0.916 L/s•m，渗透系数0.888 m/d（16号钻孔）；钻孔循环液消耗量一般为0.6 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/h，最大为15 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/h（常-14）。富水性不均，属富水性中等的岩溶裂隙水。</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Ⅲ、石炭系上统太原组K</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石灰岩含水层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层厚0~4.85 m，平均2.51 m。局部相变为泥岩，据王庄井田16号钻孔，混合抽水试验（K</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+K</w:t>
      </w:r>
      <w:r>
        <w:rPr>
          <w:rFonts w:cs="Times New Roman"/>
          <w:bCs/>
          <w:color w:val="000000" w:themeColor="text1"/>
          <w:vertAlign w:val="subscript"/>
          <w14:textFill>
            <w14:solidFill>
              <w14:schemeClr w14:val="tx1"/>
            </w14:solidFill>
          </w14:textFill>
        </w:rPr>
        <w:t>4</w:t>
      </w:r>
      <w:r>
        <w:rPr>
          <w:rFonts w:cs="Times New Roman"/>
          <w:bCs/>
          <w:color w:val="000000" w:themeColor="text1"/>
          <w14:textFill>
            <w14:solidFill>
              <w14:schemeClr w14:val="tx1"/>
            </w14:solidFill>
          </w14:textFill>
        </w:rPr>
        <w:t>），单位涌水量0.0017 L/s•m；钻孔循环液最大漏失量达16 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/h（1037孔）。但从所取岩芯看，裂隙一般不发育，为富水性弱的裂隙含水层。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Ⅳ、石炭系上统太原组K</w:t>
      </w:r>
      <w:r>
        <w:rPr>
          <w:rFonts w:cs="Times New Roman"/>
          <w:bCs/>
          <w:color w:val="000000" w:themeColor="text1"/>
          <w:vertAlign w:val="subscript"/>
          <w14:textFill>
            <w14:solidFill>
              <w14:schemeClr w14:val="tx1"/>
            </w14:solidFill>
          </w14:textFill>
        </w:rPr>
        <w:t>4</w:t>
      </w:r>
      <w:r>
        <w:rPr>
          <w:rFonts w:cs="Times New Roman"/>
          <w:bCs/>
          <w:color w:val="000000" w:themeColor="text1"/>
          <w14:textFill>
            <w14:solidFill>
              <w14:schemeClr w14:val="tx1"/>
            </w14:solidFill>
          </w14:textFill>
        </w:rPr>
        <w:t>石灰岩含水层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层厚0~5.95 m，平均3.63 m。局部含泥质较多。据王庄井田16号（K</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+K</w:t>
      </w:r>
      <w:r>
        <w:rPr>
          <w:rFonts w:cs="Times New Roman"/>
          <w:bCs/>
          <w:color w:val="000000" w:themeColor="text1"/>
          <w:vertAlign w:val="subscript"/>
          <w14:textFill>
            <w14:solidFill>
              <w14:schemeClr w14:val="tx1"/>
            </w14:solidFill>
          </w14:textFill>
        </w:rPr>
        <w:t>4</w:t>
      </w:r>
      <w:r>
        <w:rPr>
          <w:rFonts w:cs="Times New Roman"/>
          <w:bCs/>
          <w:color w:val="000000" w:themeColor="text1"/>
          <w14:textFill>
            <w14:solidFill>
              <w14:schemeClr w14:val="tx1"/>
            </w14:solidFill>
          </w14:textFill>
        </w:rPr>
        <w:t>）和本井田边界附近518号（K</w:t>
      </w:r>
      <w:r>
        <w:rPr>
          <w:rFonts w:cs="Times New Roman"/>
          <w:bCs/>
          <w:color w:val="000000" w:themeColor="text1"/>
          <w:vertAlign w:val="subscript"/>
          <w14:textFill>
            <w14:solidFill>
              <w14:schemeClr w14:val="tx1"/>
            </w14:solidFill>
          </w14:textFill>
        </w:rPr>
        <w:t>4</w:t>
      </w:r>
      <w:r>
        <w:rPr>
          <w:rFonts w:cs="Times New Roman"/>
          <w:bCs/>
          <w:color w:val="000000" w:themeColor="text1"/>
          <w14:textFill>
            <w14:solidFill>
              <w14:schemeClr w14:val="tx1"/>
            </w14:solidFill>
          </w14:textFill>
        </w:rPr>
        <w:t>+K</w:t>
      </w:r>
      <w:r>
        <w:rPr>
          <w:rFonts w:cs="Times New Roman"/>
          <w:bCs/>
          <w:color w:val="000000" w:themeColor="text1"/>
          <w:vertAlign w:val="subscript"/>
          <w14:textFill>
            <w14:solidFill>
              <w14:schemeClr w14:val="tx1"/>
            </w14:solidFill>
          </w14:textFill>
        </w:rPr>
        <w:t>5</w:t>
      </w:r>
      <w:r>
        <w:rPr>
          <w:rFonts w:cs="Times New Roman"/>
          <w:bCs/>
          <w:color w:val="000000" w:themeColor="text1"/>
          <w14:textFill>
            <w14:solidFill>
              <w14:schemeClr w14:val="tx1"/>
            </w14:solidFill>
          </w14:textFill>
        </w:rPr>
        <w:t>）两孔分别做的混合抽水试验，单位涌水量0.0017~0.055L/s•m，为富水性较弱的裂隙含水层。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Ⅴ、石炭系上统太原组K</w:t>
      </w:r>
      <w:r>
        <w:rPr>
          <w:rFonts w:cs="Times New Roman"/>
          <w:bCs/>
          <w:color w:val="000000" w:themeColor="text1"/>
          <w:vertAlign w:val="subscript"/>
          <w14:textFill>
            <w14:solidFill>
              <w14:schemeClr w14:val="tx1"/>
            </w14:solidFill>
          </w14:textFill>
        </w:rPr>
        <w:t>5</w:t>
      </w:r>
      <w:r>
        <w:rPr>
          <w:rFonts w:cs="Times New Roman"/>
          <w:bCs/>
          <w:color w:val="000000" w:themeColor="text1"/>
          <w14:textFill>
            <w14:solidFill>
              <w14:schemeClr w14:val="tx1"/>
            </w14:solidFill>
          </w14:textFill>
        </w:rPr>
        <w:t>石灰岩含水层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层厚1.30~3.90m，平均2.85 m。全区发育，厚度较稳定，裂隙不发育。据518号钻孔混合抽水（K</w:t>
      </w:r>
      <w:r>
        <w:rPr>
          <w:rFonts w:cs="Times New Roman"/>
          <w:bCs/>
          <w:color w:val="000000" w:themeColor="text1"/>
          <w:vertAlign w:val="subscript"/>
          <w14:textFill>
            <w14:solidFill>
              <w14:schemeClr w14:val="tx1"/>
            </w14:solidFill>
          </w14:textFill>
        </w:rPr>
        <w:t>4</w:t>
      </w:r>
      <w:r>
        <w:rPr>
          <w:rFonts w:cs="Times New Roman"/>
          <w:bCs/>
          <w:color w:val="000000" w:themeColor="text1"/>
          <w14:textFill>
            <w14:solidFill>
              <w14:schemeClr w14:val="tx1"/>
            </w14:solidFill>
          </w14:textFill>
        </w:rPr>
        <w:t>+K</w:t>
      </w:r>
      <w:r>
        <w:rPr>
          <w:rFonts w:cs="Times New Roman"/>
          <w:bCs/>
          <w:color w:val="000000" w:themeColor="text1"/>
          <w:vertAlign w:val="subscript"/>
          <w14:textFill>
            <w14:solidFill>
              <w14:schemeClr w14:val="tx1"/>
            </w14:solidFill>
          </w14:textFill>
        </w:rPr>
        <w:t>5</w:t>
      </w:r>
      <w:r>
        <w:rPr>
          <w:rFonts w:cs="Times New Roman"/>
          <w:bCs/>
          <w:color w:val="000000" w:themeColor="text1"/>
          <w14:textFill>
            <w14:solidFill>
              <w14:schemeClr w14:val="tx1"/>
            </w14:solidFill>
          </w14:textFill>
        </w:rPr>
        <w:t>）试验，单位涌水量0.055 L/s•m；另据王庄井田16号钻孔抽水试验，单位涌水量0.00175L/s•m。为富水性弱的裂隙含水层。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Ⅵ、二叠系山西组K</w:t>
      </w:r>
      <w:r>
        <w:rPr>
          <w:rFonts w:cs="Times New Roman"/>
          <w:bCs/>
          <w:color w:val="000000" w:themeColor="text1"/>
          <w:vertAlign w:val="subscript"/>
          <w14:textFill>
            <w14:solidFill>
              <w14:schemeClr w14:val="tx1"/>
            </w14:solidFill>
          </w14:textFill>
        </w:rPr>
        <w:t>7</w:t>
      </w:r>
      <w:r>
        <w:rPr>
          <w:rFonts w:cs="Times New Roman"/>
          <w:bCs/>
          <w:color w:val="000000" w:themeColor="text1"/>
          <w14:textFill>
            <w14:solidFill>
              <w14:schemeClr w14:val="tx1"/>
            </w14:solidFill>
          </w14:textFill>
        </w:rPr>
        <w:t>砂岩含水层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一般为细、中粒砂岩，局部相变为粗粒砂岩或粉砂岩。厚0~14.50m，平均3.40m。钻孔单位涌水量0.0108L/s•m，渗透系数0.097m/d。为富水性弱的砂岩裂隙含水层。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Ⅶ、二叠系山西组3</w:t>
      </w:r>
      <w:r>
        <w:rPr>
          <w:rFonts w:cs="Times New Roman"/>
          <w:bCs/>
          <w:color w:val="000000" w:themeColor="text1"/>
          <w:vertAlign w:val="superscript"/>
          <w14:textFill>
            <w14:solidFill>
              <w14:schemeClr w14:val="tx1"/>
            </w14:solidFill>
          </w14:textFill>
        </w:rPr>
        <w:t>#</w:t>
      </w:r>
      <w:r>
        <w:rPr>
          <w:rFonts w:cs="Times New Roman"/>
          <w:bCs/>
          <w:color w:val="000000" w:themeColor="text1"/>
          <w14:textFill>
            <w14:solidFill>
              <w14:schemeClr w14:val="tx1"/>
            </w14:solidFill>
          </w14:textFill>
        </w:rPr>
        <w:t>煤层顶板S</w:t>
      </w:r>
      <w:r>
        <w:rPr>
          <w:rFonts w:cs="Times New Roman"/>
          <w:bCs/>
          <w:color w:val="000000" w:themeColor="text1"/>
          <w:vertAlign w:val="subscript"/>
          <w14:textFill>
            <w14:solidFill>
              <w14:schemeClr w14:val="tx1"/>
            </w14:solidFill>
          </w14:textFill>
        </w:rPr>
        <w:t>4</w:t>
      </w:r>
      <w:r>
        <w:rPr>
          <w:rFonts w:cs="Times New Roman"/>
          <w:bCs/>
          <w:color w:val="000000" w:themeColor="text1"/>
          <w14:textFill>
            <w14:solidFill>
              <w14:schemeClr w14:val="tx1"/>
            </w14:solidFill>
          </w14:textFill>
        </w:rPr>
        <w:t>砂岩含水层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层厚约7.5m米，裂隙不发育，为富水性弱的砂岩裂隙含水层。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Ⅷ、二叠系下石盒子组底部K</w:t>
      </w:r>
      <w:r>
        <w:rPr>
          <w:rFonts w:cs="Times New Roman"/>
          <w:bCs/>
          <w:color w:val="000000" w:themeColor="text1"/>
          <w:vertAlign w:val="subscript"/>
          <w14:textFill>
            <w14:solidFill>
              <w14:schemeClr w14:val="tx1"/>
            </w14:solidFill>
          </w14:textFill>
        </w:rPr>
        <w:t>8</w:t>
      </w:r>
      <w:r>
        <w:rPr>
          <w:rFonts w:cs="Times New Roman"/>
          <w:bCs/>
          <w:color w:val="000000" w:themeColor="text1"/>
          <w14:textFill>
            <w14:solidFill>
              <w14:schemeClr w14:val="tx1"/>
            </w14:solidFill>
          </w14:textFill>
        </w:rPr>
        <w:t>砂岩含水层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层厚0~19.68m，平均5.16m。一般为中、粗粒砂岩，局部为细粒砂岩，厚度变化较大，为富水性弱的砂岩裂隙含水层。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Ⅸ、二叠系上石盒子组底部K</w:t>
      </w:r>
      <w:r>
        <w:rPr>
          <w:rFonts w:cs="Times New Roman"/>
          <w:bCs/>
          <w:color w:val="000000" w:themeColor="text1"/>
          <w:vertAlign w:val="subscript"/>
          <w14:textFill>
            <w14:solidFill>
              <w14:schemeClr w14:val="tx1"/>
            </w14:solidFill>
          </w14:textFill>
        </w:rPr>
        <w:t>10</w:t>
      </w:r>
      <w:r>
        <w:rPr>
          <w:rFonts w:cs="Times New Roman"/>
          <w:bCs/>
          <w:color w:val="000000" w:themeColor="text1"/>
          <w14:textFill>
            <w14:solidFill>
              <w14:schemeClr w14:val="tx1"/>
            </w14:solidFill>
          </w14:textFill>
        </w:rPr>
        <w:t>砂岩含水层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层厚1.10~25.50m，平均8.29m。全区普遍发育，一般为中、粗粒砂岩，裂隙较发育。钻孔单位涌水量0.58L/s•m，渗透系数2.05m/d。由于该含水层厚度大，面积广，具有良好的多年水调节性能，故水动态比较稳定，为富水性中等的砂岩裂隙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Ⅹ、二叠系上石盒子组中部中粒砂岩含水层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在主、副井检查孔中，该含水层深207.31m，厚10.49m。它与上部的第11层含水层之间可通过其中间的半隔水层可获的补给。钻孔单位涌水量0.253L/s•m，渗透系数3.88m/d，故为富水性中等的砂岩裂隙含水层。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Ⅺ、二叠系上石盒子组中部细、中粒砂岩含水层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在主、副井检查孔中，该含水层深187.50m，厚10.74m。它与下部的第10层含水层之间也通过其中间的半隔水层获得底板补给。钻孔单位涌水量0.071L/s•m，渗透系数0.27m/d，故为富水性较弱的砂岩裂隙含水层。因其易获得底部含水层的补给，富水性略强。</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Ⅻ、二叠系上石盒子组上部的一层中、粗粒砂岩含水层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主、副井检查孔深118.6m处，有一层中、粗粒砂岩，厚4.0m。钻孔单位涌水量0.0556L/s•m，渗透系数1.21m/d，为富水性较弱的砂岩裂隙含水层。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ⅩⅢ、为基岩风化带含水层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厚50m左右，由破碎的泥岩、砂岩组成。钻孔单位涌水量仅为0.046~0.086L/s•m，为富水性中等的裂隙含水层。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ⅩⅣ、第四系下更新统砂及砂砾石层含水层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厚36~60m，由粉砂、细砂、砂质粘土、砂砾层组成。钻孔单位涌水量为1.31~16.66L/s•m，水位标高927.29~943.74m。为富水性强~极强的孔隙含水层。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ⅩⅤ、第四系中更新统孔隙含水层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水位埋深5~10m，受大气降水影响明显，多为农村生活和灌溉用水。为富水性较弱的孔隙潜水含水层。</w:t>
      </w:r>
    </w:p>
    <w:p>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2、隔水层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根据岩性特征，境内主要隔水层自上而下主要有：本溪组铝土质泥岩隔水层、3</w:t>
      </w:r>
      <w:r>
        <w:rPr>
          <w:rFonts w:cs="Times New Roman"/>
          <w:bCs/>
          <w:color w:val="000000" w:themeColor="text1"/>
          <w:vertAlign w:val="superscript"/>
          <w14:textFill>
            <w14:solidFill>
              <w14:schemeClr w14:val="tx1"/>
            </w14:solidFill>
          </w14:textFill>
        </w:rPr>
        <w:t>#</w:t>
      </w:r>
      <w:r>
        <w:rPr>
          <w:rFonts w:cs="Times New Roman"/>
          <w:bCs/>
          <w:color w:val="000000" w:themeColor="text1"/>
          <w14:textFill>
            <w14:solidFill>
              <w14:schemeClr w14:val="tx1"/>
            </w14:solidFill>
          </w14:textFill>
        </w:rPr>
        <w:t>煤层底板隔水层等。</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（1）石炭系中统本溪组铝土质泥岩隔水层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层厚2.00~28.70 m，平均10.66 m，厚度变化较大。多由灰色粉砂岩、灰白色铝质泥岩或铝土岩组成。可有效阻隔中奥陶统马家沟组灰岩水向上的垂直补给。</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（2）3</w:t>
      </w:r>
      <w:r>
        <w:rPr>
          <w:rFonts w:cs="Times New Roman"/>
          <w:bCs/>
          <w:color w:val="000000" w:themeColor="text1"/>
          <w:vertAlign w:val="superscript"/>
          <w14:textFill>
            <w14:solidFill>
              <w14:schemeClr w14:val="tx1"/>
            </w14:solidFill>
          </w14:textFill>
        </w:rPr>
        <w:t>#</w:t>
      </w:r>
      <w:r>
        <w:rPr>
          <w:rFonts w:cs="Times New Roman"/>
          <w:bCs/>
          <w:color w:val="000000" w:themeColor="text1"/>
          <w14:textFill>
            <w14:solidFill>
              <w14:schemeClr w14:val="tx1"/>
            </w14:solidFill>
          </w14:textFill>
        </w:rPr>
        <w:t>煤层底板隔水层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3</w:t>
      </w:r>
      <w:r>
        <w:rPr>
          <w:rFonts w:cs="Times New Roman"/>
          <w:bCs/>
          <w:color w:val="000000" w:themeColor="text1"/>
          <w:vertAlign w:val="superscript"/>
          <w14:textFill>
            <w14:solidFill>
              <w14:schemeClr w14:val="tx1"/>
            </w14:solidFill>
          </w14:textFill>
        </w:rPr>
        <w:t>#</w:t>
      </w:r>
      <w:r>
        <w:rPr>
          <w:rFonts w:cs="Times New Roman"/>
          <w:bCs/>
          <w:color w:val="000000" w:themeColor="text1"/>
          <w14:textFill>
            <w14:solidFill>
              <w14:schemeClr w14:val="tx1"/>
            </w14:solidFill>
          </w14:textFill>
        </w:rPr>
        <w:t>煤层底板至K</w:t>
      </w:r>
      <w:r>
        <w:rPr>
          <w:rFonts w:cs="Times New Roman"/>
          <w:bCs/>
          <w:color w:val="000000" w:themeColor="text1"/>
          <w:vertAlign w:val="subscript"/>
          <w14:textFill>
            <w14:solidFill>
              <w14:schemeClr w14:val="tx1"/>
            </w14:solidFill>
          </w14:textFill>
        </w:rPr>
        <w:t>8</w:t>
      </w:r>
      <w:r>
        <w:rPr>
          <w:rFonts w:cs="Times New Roman"/>
          <w:bCs/>
          <w:color w:val="000000" w:themeColor="text1"/>
          <w14:textFill>
            <w14:solidFill>
              <w14:schemeClr w14:val="tx1"/>
            </w14:solidFill>
          </w14:textFill>
        </w:rPr>
        <w:t>砂岩含水层之间普遍发育有一套深灰色、灰黑色粉砂岩及细砂岩夹菱铁矿薄层的地层，厚2.70~18.85 m，平均12.98 m。</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（3）其它隔水层</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井田内含水层与含水层之间，一般被互层状泥岩、砂质泥岩、粉砂岩夹薄层砂岩相隔，其厚度不等。这些组合岩层可有效隔断含水层之间的水力联系。</w:t>
      </w:r>
    </w:p>
    <w:p>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3、补、径、排条件</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地下水主要补给来源为大气降水和侧向补给。侧向补给主要靠西南部（主要是长子县）的第四系含水层补给及基岩裂隙水渗流补给。地下水流向为东北向西南方向流动。</w:t>
      </w:r>
      <w:r>
        <w:rPr>
          <w:rFonts w:cs="Times New Roman"/>
          <w:bCs/>
          <w:color w:val="000000" w:themeColor="text1"/>
          <w14:textFill>
            <w14:solidFill>
              <w14:schemeClr w14:val="tx1"/>
            </w14:solidFill>
          </w14:textFill>
        </w:rPr>
        <w:br w:type="page"/>
      </w:r>
    </w:p>
    <w:p>
      <w:pPr>
        <w:ind w:firstLine="0" w:firstLineChars="0"/>
        <w:rPr>
          <w:rFonts w:cs="Times New Roman"/>
          <w:bCs/>
          <w:color w:val="000000" w:themeColor="text1"/>
          <w14:textFill>
            <w14:solidFill>
              <w14:schemeClr w14:val="tx1"/>
            </w14:solidFill>
          </w14:textFill>
        </w:rPr>
      </w:pP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图4.1-4 区域水文地质图</w:t>
      </w:r>
      <w:bookmarkStart w:id="452" w:name="_Toc47619187"/>
      <w:bookmarkStart w:id="453" w:name="_Toc47619849"/>
      <w:bookmarkStart w:id="454" w:name="_Toc47620035"/>
      <w:bookmarkStart w:id="455" w:name="_Toc52791903"/>
      <w:bookmarkStart w:id="456" w:name="_Toc58362811"/>
      <w:r>
        <w:rPr>
          <w:rFonts w:cs="Times New Roman"/>
          <w:color w:val="000000" w:themeColor="text1"/>
          <w14:textFill>
            <w14:solidFill>
              <w14:schemeClr w14:val="tx1"/>
            </w14:solidFill>
          </w14:textFill>
        </w:rPr>
        <w:br w:type="page"/>
      </w:r>
    </w:p>
    <w:p>
      <w:pPr>
        <w:pStyle w:val="4"/>
        <w:rPr>
          <w:rFonts w:cs="Times New Roman"/>
          <w:color w:val="000000" w:themeColor="text1"/>
          <w14:textFill>
            <w14:solidFill>
              <w14:schemeClr w14:val="tx1"/>
            </w14:solidFill>
          </w14:textFill>
        </w:rPr>
      </w:pPr>
      <w:bookmarkStart w:id="457" w:name="_Toc91163900"/>
      <w:r>
        <w:rPr>
          <w:rFonts w:cs="Times New Roman"/>
          <w:color w:val="000000" w:themeColor="text1"/>
          <w14:textFill>
            <w14:solidFill>
              <w14:schemeClr w14:val="tx1"/>
            </w14:solidFill>
          </w14:textFill>
        </w:rPr>
        <w:t>4.1.7 水源地</w:t>
      </w:r>
      <w:bookmarkEnd w:id="452"/>
      <w:bookmarkEnd w:id="453"/>
      <w:bookmarkEnd w:id="454"/>
      <w:bookmarkEnd w:id="455"/>
      <w:bookmarkEnd w:id="456"/>
      <w:bookmarkEnd w:id="45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1、城镇集中式水源地</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屯留县县城饮用水源地位于县城西部3.5 km处席店村、郭村和刘家坪村之间，距县城1.5 km左右。规划的水源地范围西起郭村、席店一线，东至郭村以西，北起刘家坪，南至席店、罗庄一线，面积4.5 km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。该区地下水补给主要西南山前侧向径流补给，并以向北东侧向径流排泄及人工开采为主要的排泄方式。地下水流向由西南流向东北。</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县城水源地开采类型为孔隙潜水，水源地划定为一、二级保护区，一级保护区面积为0.02 km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，二级保护区面积为1.85 km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本项目不在屯留县县城水源地范围内</w:t>
      </w:r>
      <w:r>
        <w:rPr>
          <w:rFonts w:cs="Times New Roman"/>
          <w:color w:val="000000" w:themeColor="text1"/>
          <w14:textFill>
            <w14:solidFill>
              <w14:schemeClr w14:val="tx1"/>
            </w14:solidFill>
          </w14:textFill>
        </w:rPr>
        <w:t>，距其较远。</w:t>
      </w:r>
    </w:p>
    <w:p>
      <w:pPr>
        <w:ind w:firstLine="48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cs="Times New Roman"/>
          <w:bCs/>
          <w:color w:val="000000" w:themeColor="text1"/>
          <w14:textFill>
            <w14:solidFill>
              <w14:schemeClr w14:val="tx1"/>
            </w14:solidFill>
          </w14:textFill>
        </w:rPr>
        <w:t>乡镇水源地</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屯留县共有10个乡镇集中饮用水水源地，其中有8个乡镇集中供水水源地，2个开发区集中供水水源地，均为地下水型水源地，开采地下水类型包括岩溶裂隙水、砂岩裂隙水、第四系孔隙水，承压水和潜水类型均有。见表4.1-2。</w:t>
      </w:r>
    </w:p>
    <w:p>
      <w:pPr>
        <w:pStyle w:val="333"/>
        <w:spacing w:before="120"/>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表4.1-2</w:t>
      </w:r>
      <w:r>
        <w:rPr>
          <w:rFonts w:cs="Times New Roman"/>
          <w:color w:val="000000" w:themeColor="text1"/>
          <w14:textFill>
            <w14:solidFill>
              <w14:schemeClr w14:val="tx1"/>
            </w14:solidFill>
          </w14:textFill>
        </w:rPr>
        <w:t xml:space="preserve"> 屯留县各乡镇集中供水水源地位置及一级保护区范围</w:t>
      </w:r>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897"/>
        <w:gridCol w:w="1484"/>
        <w:gridCol w:w="1486"/>
        <w:gridCol w:w="1709"/>
        <w:gridCol w:w="171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1560" w:type="pct"/>
            <w:vMerge w:val="restart"/>
            <w:tcBorders>
              <w:top w:val="single" w:color="auto" w:sz="12" w:space="0"/>
              <w:left w:val="single" w:color="auto" w:sz="12" w:space="0"/>
              <w:bottom w:val="single" w:color="auto" w:sz="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水源地名称</w:t>
            </w:r>
          </w:p>
        </w:tc>
        <w:tc>
          <w:tcPr>
            <w:tcW w:w="799" w:type="pct"/>
            <w:vMerge w:val="restart"/>
            <w:tcBorders>
              <w:top w:val="single" w:color="auto" w:sz="12" w:space="0"/>
              <w:bottom w:val="single" w:color="auto" w:sz="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经度</w:t>
            </w:r>
          </w:p>
        </w:tc>
        <w:tc>
          <w:tcPr>
            <w:tcW w:w="800" w:type="pct"/>
            <w:vMerge w:val="restart"/>
            <w:tcBorders>
              <w:top w:val="single" w:color="auto" w:sz="12" w:space="0"/>
              <w:bottom w:val="single" w:color="auto" w:sz="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纬度</w:t>
            </w:r>
          </w:p>
        </w:tc>
        <w:tc>
          <w:tcPr>
            <w:tcW w:w="1841" w:type="pct"/>
            <w:gridSpan w:val="2"/>
            <w:tcBorders>
              <w:top w:val="single" w:color="auto" w:sz="12" w:space="0"/>
              <w:bottom w:val="single" w:color="auto" w:sz="2" w:space="0"/>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一级保护区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1560" w:type="pct"/>
            <w:vMerge w:val="continue"/>
            <w:tcBorders>
              <w:top w:val="single" w:color="auto" w:sz="2" w:space="0"/>
              <w:left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p>
        </w:tc>
        <w:tc>
          <w:tcPr>
            <w:tcW w:w="799" w:type="pct"/>
            <w:vMerge w:val="continue"/>
            <w:tcBorders>
              <w:top w:val="single" w:color="auto" w:sz="2" w:space="0"/>
              <w:bottom w:val="single" w:color="auto" w:sz="12" w:space="0"/>
            </w:tcBorders>
            <w:shd w:val="clear" w:color="auto" w:fill="auto"/>
            <w:vAlign w:val="center"/>
          </w:tcPr>
          <w:p>
            <w:pPr>
              <w:pStyle w:val="332"/>
              <w:rPr>
                <w:color w:val="000000" w:themeColor="text1"/>
                <w14:textFill>
                  <w14:solidFill>
                    <w14:schemeClr w14:val="tx1"/>
                  </w14:solidFill>
                </w14:textFill>
              </w:rPr>
            </w:pPr>
          </w:p>
        </w:tc>
        <w:tc>
          <w:tcPr>
            <w:tcW w:w="800" w:type="pct"/>
            <w:vMerge w:val="continue"/>
            <w:tcBorders>
              <w:top w:val="single" w:color="auto" w:sz="2" w:space="0"/>
              <w:bottom w:val="single" w:color="auto" w:sz="12" w:space="0"/>
            </w:tcBorders>
            <w:shd w:val="clear" w:color="auto" w:fill="auto"/>
            <w:vAlign w:val="center"/>
          </w:tcPr>
          <w:p>
            <w:pPr>
              <w:pStyle w:val="332"/>
              <w:rPr>
                <w:color w:val="000000" w:themeColor="text1"/>
                <w14:textFill>
                  <w14:solidFill>
                    <w14:schemeClr w14:val="tx1"/>
                  </w14:solidFill>
                </w14:textFill>
              </w:rPr>
            </w:pPr>
          </w:p>
        </w:tc>
        <w:tc>
          <w:tcPr>
            <w:tcW w:w="920" w:type="pct"/>
            <w:tcBorders>
              <w:top w:val="single" w:color="auto" w:sz="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半径（m）</w:t>
            </w:r>
          </w:p>
        </w:tc>
        <w:tc>
          <w:tcPr>
            <w:tcW w:w="921" w:type="pct"/>
            <w:tcBorders>
              <w:top w:val="single" w:color="auto" w:sz="2" w:space="0"/>
              <w:bottom w:val="single" w:color="auto" w:sz="12" w:space="0"/>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面积（hm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60" w:type="pct"/>
            <w:tcBorders>
              <w:top w:val="single" w:color="auto" w:sz="12" w:space="0"/>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上村镇集中供水水源</w:t>
            </w:r>
          </w:p>
        </w:tc>
        <w:tc>
          <w:tcPr>
            <w:tcW w:w="799"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112°59′38″</w:t>
            </w:r>
          </w:p>
        </w:tc>
        <w:tc>
          <w:tcPr>
            <w:tcW w:w="800"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36°19′20″</w:t>
            </w:r>
          </w:p>
        </w:tc>
        <w:tc>
          <w:tcPr>
            <w:tcW w:w="920"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73</w:t>
            </w:r>
          </w:p>
        </w:tc>
        <w:tc>
          <w:tcPr>
            <w:tcW w:w="921" w:type="pct"/>
            <w:tcBorders>
              <w:top w:val="single" w:color="auto" w:sz="12" w:space="0"/>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0.0167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60"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渔泽镇集中供水水源</w:t>
            </w:r>
          </w:p>
        </w:tc>
        <w:tc>
          <w:tcPr>
            <w:tcW w:w="79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112°58′48″</w:t>
            </w:r>
          </w:p>
        </w:tc>
        <w:tc>
          <w:tcPr>
            <w:tcW w:w="80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36°21′35″</w:t>
            </w:r>
          </w:p>
        </w:tc>
        <w:tc>
          <w:tcPr>
            <w:tcW w:w="92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47</w:t>
            </w:r>
          </w:p>
        </w:tc>
        <w:tc>
          <w:tcPr>
            <w:tcW w:w="921" w:type="pct"/>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60"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余吾镇集中供水水源</w:t>
            </w:r>
          </w:p>
        </w:tc>
        <w:tc>
          <w:tcPr>
            <w:tcW w:w="79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112°49′56″</w:t>
            </w:r>
          </w:p>
        </w:tc>
        <w:tc>
          <w:tcPr>
            <w:tcW w:w="80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36°23′13″</w:t>
            </w:r>
          </w:p>
        </w:tc>
        <w:tc>
          <w:tcPr>
            <w:tcW w:w="92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59</w:t>
            </w:r>
          </w:p>
        </w:tc>
        <w:tc>
          <w:tcPr>
            <w:tcW w:w="921" w:type="pct"/>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0.0109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60"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吾元镇集中供水水源</w:t>
            </w:r>
          </w:p>
        </w:tc>
        <w:tc>
          <w:tcPr>
            <w:tcW w:w="79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112°41′35″</w:t>
            </w:r>
          </w:p>
        </w:tc>
        <w:tc>
          <w:tcPr>
            <w:tcW w:w="80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36°25′41″</w:t>
            </w:r>
          </w:p>
        </w:tc>
        <w:tc>
          <w:tcPr>
            <w:tcW w:w="92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89</w:t>
            </w:r>
          </w:p>
        </w:tc>
        <w:tc>
          <w:tcPr>
            <w:tcW w:w="921" w:type="pct"/>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0.0219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60"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张店镇集中供水水源</w:t>
            </w:r>
          </w:p>
        </w:tc>
        <w:tc>
          <w:tcPr>
            <w:tcW w:w="79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112°35′56″</w:t>
            </w:r>
          </w:p>
        </w:tc>
        <w:tc>
          <w:tcPr>
            <w:tcW w:w="80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36°21′03″</w:t>
            </w:r>
          </w:p>
        </w:tc>
        <w:tc>
          <w:tcPr>
            <w:tcW w:w="92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65</w:t>
            </w:r>
          </w:p>
        </w:tc>
        <w:tc>
          <w:tcPr>
            <w:tcW w:w="921" w:type="pct"/>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0.0133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60"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丰宜镇集中供水水源</w:t>
            </w:r>
          </w:p>
        </w:tc>
        <w:tc>
          <w:tcPr>
            <w:tcW w:w="79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112°43′39″</w:t>
            </w:r>
          </w:p>
        </w:tc>
        <w:tc>
          <w:tcPr>
            <w:tcW w:w="80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36°14′16″</w:t>
            </w:r>
          </w:p>
        </w:tc>
        <w:tc>
          <w:tcPr>
            <w:tcW w:w="92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89</w:t>
            </w:r>
          </w:p>
        </w:tc>
        <w:tc>
          <w:tcPr>
            <w:tcW w:w="921" w:type="pct"/>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0.0249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60"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李高乡集中供水水源</w:t>
            </w:r>
          </w:p>
        </w:tc>
        <w:tc>
          <w:tcPr>
            <w:tcW w:w="79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112°56′18″</w:t>
            </w:r>
          </w:p>
        </w:tc>
        <w:tc>
          <w:tcPr>
            <w:tcW w:w="80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36°15′22″</w:t>
            </w:r>
          </w:p>
        </w:tc>
        <w:tc>
          <w:tcPr>
            <w:tcW w:w="92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81</w:t>
            </w:r>
          </w:p>
        </w:tc>
        <w:tc>
          <w:tcPr>
            <w:tcW w:w="921" w:type="pct"/>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0.0206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60"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河神庙乡集中供水水源</w:t>
            </w:r>
          </w:p>
        </w:tc>
        <w:tc>
          <w:tcPr>
            <w:tcW w:w="79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112°43′20″</w:t>
            </w:r>
          </w:p>
        </w:tc>
        <w:tc>
          <w:tcPr>
            <w:tcW w:w="80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36°18′26″</w:t>
            </w:r>
          </w:p>
        </w:tc>
        <w:tc>
          <w:tcPr>
            <w:tcW w:w="92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39</w:t>
            </w:r>
          </w:p>
        </w:tc>
        <w:tc>
          <w:tcPr>
            <w:tcW w:w="921" w:type="pct"/>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0.048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60" w:type="pct"/>
            <w:tcBorders>
              <w:lef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西流寨开发区集中供水水源</w:t>
            </w:r>
          </w:p>
        </w:tc>
        <w:tc>
          <w:tcPr>
            <w:tcW w:w="79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112°38′47″</w:t>
            </w:r>
          </w:p>
        </w:tc>
        <w:tc>
          <w:tcPr>
            <w:tcW w:w="80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36°13′39″</w:t>
            </w:r>
          </w:p>
        </w:tc>
        <w:tc>
          <w:tcPr>
            <w:tcW w:w="92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43</w:t>
            </w:r>
          </w:p>
        </w:tc>
        <w:tc>
          <w:tcPr>
            <w:tcW w:w="921" w:type="pct"/>
            <w:tcBorders>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0.0058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560" w:type="pct"/>
            <w:tcBorders>
              <w:left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上莲开发区集中供水水源</w:t>
            </w:r>
          </w:p>
        </w:tc>
        <w:tc>
          <w:tcPr>
            <w:tcW w:w="799"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112°50′22″</w:t>
            </w:r>
          </w:p>
        </w:tc>
        <w:tc>
          <w:tcPr>
            <w:tcW w:w="800"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36°25′56″</w:t>
            </w:r>
          </w:p>
        </w:tc>
        <w:tc>
          <w:tcPr>
            <w:tcW w:w="920"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40</w:t>
            </w:r>
          </w:p>
        </w:tc>
        <w:tc>
          <w:tcPr>
            <w:tcW w:w="921" w:type="pct"/>
            <w:tcBorders>
              <w:bottom w:val="single" w:color="auto" w:sz="12" w:space="0"/>
              <w:right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0.0050</w:t>
            </w:r>
          </w:p>
        </w:tc>
      </w:tr>
    </w:tbl>
    <w:p>
      <w:pPr>
        <w:ind w:firstLine="480"/>
        <w:rPr>
          <w:rFonts w:cs="Times New Roman"/>
          <w:bCs/>
          <w:color w:val="000000" w:themeColor="text1"/>
          <w14:textFill>
            <w14:solidFill>
              <w14:schemeClr w14:val="tx1"/>
            </w14:solidFill>
          </w14:textFill>
        </w:rPr>
        <w:sectPr>
          <w:endnotePr>
            <w:numFmt w:val="decimal"/>
          </w:endnotePr>
          <w:pgSz w:w="11907" w:h="16840"/>
          <w:pgMar w:top="1531" w:right="1418" w:bottom="1531" w:left="1418" w:header="1134" w:footer="1021" w:gutter="0"/>
          <w:cols w:space="720" w:num="1"/>
          <w:docGrid w:linePitch="312" w:charSpace="0"/>
        </w:sectPr>
      </w:pPr>
      <w:r>
        <w:rPr>
          <w:rFonts w:cs="Times New Roman"/>
          <w:bCs/>
          <w:color w:val="000000" w:themeColor="text1"/>
          <w14:textFill>
            <w14:solidFill>
              <w14:schemeClr w14:val="tx1"/>
            </w14:solidFill>
          </w14:textFill>
        </w:rPr>
        <w:t>本项目不在各乡镇水源地范围内。距离最近的水源地为河神庙乡集中供水水源地、丰宜镇集中供水水源地，距其保护区边界分别为9.78 km、9.56 km，不在水源地保护区范围内。本项目与上述乡镇集中水源地相对位置见图4.1-5。</w:t>
      </w:r>
    </w:p>
    <w:p>
      <w:pPr>
        <w:pStyle w:val="333"/>
        <w:spacing w:before="120"/>
        <w:rPr>
          <w:rFonts w:cs="Times New Roman"/>
          <w:color w:val="000000" w:themeColor="text1"/>
          <w14:textFill>
            <w14:solidFill>
              <w14:schemeClr w14:val="tx1"/>
            </w14:solidFill>
          </w14:textFill>
        </w:rPr>
        <w:sectPr>
          <w:endnotePr>
            <w:numFmt w:val="decimal"/>
          </w:endnotePr>
          <w:pgSz w:w="16840" w:h="11907" w:orient="landscape"/>
          <w:pgMar w:top="1418" w:right="1531" w:bottom="1418" w:left="1531" w:header="1134" w:footer="1021" w:gutter="0"/>
          <w:cols w:space="720" w:num="1"/>
          <w:docGrid w:linePitch="326" w:charSpace="0"/>
        </w:sectPr>
      </w:pPr>
      <w:r>
        <w:rPr>
          <w:rFonts w:cs="Times New Roman"/>
          <w:color w:val="000000" w:themeColor="text1"/>
          <w14:textFill>
            <w14:solidFill>
              <w14:schemeClr w14:val="tx1"/>
            </w14:solidFill>
          </w14:textFill>
        </w:rPr>
        <w:t>图4.1-5 屯留区水源地分布图</w:t>
      </w:r>
    </w:p>
    <w:p>
      <w:pPr>
        <w:pStyle w:val="4"/>
        <w:rPr>
          <w:rFonts w:cs="Times New Roman"/>
          <w:color w:val="000000" w:themeColor="text1"/>
          <w14:textFill>
            <w14:solidFill>
              <w14:schemeClr w14:val="tx1"/>
            </w14:solidFill>
          </w14:textFill>
        </w:rPr>
      </w:pPr>
      <w:bookmarkStart w:id="458" w:name="_Toc47619851"/>
      <w:bookmarkStart w:id="459" w:name="_Toc47620037"/>
      <w:bookmarkStart w:id="460" w:name="_Toc47619189"/>
      <w:bookmarkStart w:id="461" w:name="_Toc52791905"/>
      <w:bookmarkStart w:id="462" w:name="_Toc58362812"/>
      <w:bookmarkStart w:id="463" w:name="_Toc91163901"/>
      <w:r>
        <w:rPr>
          <w:rFonts w:cs="Times New Roman"/>
          <w:color w:val="000000" w:themeColor="text1"/>
          <w14:textFill>
            <w14:solidFill>
              <w14:schemeClr w14:val="tx1"/>
            </w14:solidFill>
          </w14:textFill>
        </w:rPr>
        <w:t xml:space="preserve">4.1.8 </w:t>
      </w:r>
      <w:bookmarkEnd w:id="458"/>
      <w:bookmarkEnd w:id="459"/>
      <w:bookmarkEnd w:id="460"/>
      <w:bookmarkEnd w:id="461"/>
      <w:bookmarkEnd w:id="462"/>
      <w:r>
        <w:rPr>
          <w:rFonts w:cs="Times New Roman"/>
          <w:color w:val="000000" w:themeColor="text1"/>
          <w14:textFill>
            <w14:solidFill>
              <w14:schemeClr w14:val="tx1"/>
            </w14:solidFill>
          </w14:textFill>
        </w:rPr>
        <w:t>辛安泉域</w:t>
      </w:r>
      <w:bookmarkEnd w:id="463"/>
    </w:p>
    <w:p>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1、概况</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辛安泉出露于潞城市西流村至平顺县北耽车长16 km的浊漳河河谷中，可见泉点170余个。辛安泉域位于山西省东南部，包括长治市的武乡、襄垣、沁县、黎城、潞城、平顺、壶关、长子、屯留、长治县、城区、郊区等12个县（市、区），还包括晋中地区的榆社县等。</w:t>
      </w:r>
    </w:p>
    <w:p>
      <w:pPr>
        <w:ind w:firstLine="482"/>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2、泉域范围</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北部及西部边界：泉域在北部、西部构造上处于沁水向斜核部，地表出露二叠、三叠系地层，寒武、奥陶系深埋千米以上，岩溶水呈封闭的滞流状态，因此以浊漳河与汾河及沁河的地表分水岭为泉域边界。自北向南由榆社县人头山—辉教北—紫金山—分南南。西部沁县与沁源县行政边界，自北向南基本为自分南南—屯留县八泉—长子县良坪西。</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东部边界：东北段以清漳河与浊漳河地表分水岭及和神烟地下分水岭与娘子关泉域为界。为晋中地区和顺县、左权县与榆社县长治市武乡县的行政边界。自人头山—榆社红崖头东—左权申家佼。中段：受上遥背斜影响，东部寒武系下统及长城系非可溶岩形成隔水边界。自北向南由申家佼—黎城忏忤—上遥镇—洪井。南段：北端为辛安泉与河北省涉县东湖泉的地下分水岭，自北向南由黎城县洪井—东阳关镇—宋家庄；南端为北耽车以下浊漳河河谷一带寒武系下统及长城系可溶岩地层分布，平顺县虹梯关、赵城一带燕山期闪长岩侵入体构成阻水边界，自北向南由宋家庄—阳高—虹梯关—东寺头—西安里北—西马安。</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南部边界：为浊漳河和沁河及丹河的地表分水岭，自西向东基本为长治市和晋城市的行政边界，由老庄沟—色头镇南—金泉山—陵川西马安。</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根据以上边界圈定泉域范围，总面积10950 km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，包括长治市12个县（市、区），面积9430 km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，晋中榆社县1520 km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。其中碳酸盐裸露区面积2200 km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，覆盖、埋藏区面积8750 km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3、重点保护区范围</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泉水集中出露带：以浊漳河为轴线，北起黎城县南赵店桥，顺浊漳河谷向下游，至平顺县北耽车，包括河谷两岸地带；西起山西化肥厂排污渠道，两侧宽200 m，至辛安桥下河道。</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文王山地垒渗漏段：自黄碾南铁路桥上游500 m起，顺浊漳河南源主河道，左右两侧各500 m，向下游至于浊漳河西源汇流处，面积18 km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。两处合计为66 km</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4、泉域岩溶地下水资源及其开发利用</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辛安泉为全排型泉水，泉水天然排泄量即为泉域岩溶水资源量。据《山西省长治市地下水资源开发利用规划报告》，1957~1993年泉水的还原流量系列，泉域岩溶水资源量为10.41 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/s，经理论频率分析，P：75%的流量为9.05 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/s，97%的频率流量为7.06 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/s。80年代以来，由于降水量、河川径流量减少、人类活动的影响，泉水流量大幅度减少，1981-1993年平均实测流量为8.51 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/s，故以7.06 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/s作为泉域岩溶地下水可开采量。</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泉域岩溶水是长治市城市生活及工业用水的重要水源。较大规模开发始于60年代。60、70年代河南省林州市和山西省平顺县先后修建红旗渠、战备渠引水工程，80年代长治市和山西化肥厂在西流一带建成两处凿井提水工程，至1995年泉域内已建岩溶水深井136眼，利用103眼，年开采量为6622万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，城市生活及工业用水占84%。其中泉口开采4595万m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，上游开采2027万m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。红旗渠、战备渠引水量达12248.0万m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w:t>
      </w:r>
    </w:p>
    <w:p>
      <w:pPr>
        <w:ind w:firstLine="48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5、</w:t>
      </w:r>
      <w:bookmarkStart w:id="464" w:name="_Toc47619190"/>
      <w:bookmarkStart w:id="465" w:name="_Toc58362813"/>
      <w:bookmarkStart w:id="466" w:name="_Toc52791906"/>
      <w:bookmarkStart w:id="467" w:name="_Toc47620038"/>
      <w:bookmarkStart w:id="468" w:name="_Toc47619852"/>
      <w:r>
        <w:rPr>
          <w:rFonts w:cs="Times New Roman"/>
          <w:bCs/>
          <w:color w:val="000000" w:themeColor="text1"/>
          <w14:textFill>
            <w14:solidFill>
              <w14:schemeClr w14:val="tx1"/>
            </w14:solidFill>
          </w14:textFill>
        </w:rPr>
        <w:t>本项目与泉域相对位置</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本项目位于辛安泉域范围内，但不在其重点保护区范围及裸露岩溶区内。本项目与辛安泉域位置关系图见图4.1-6。</w:t>
      </w:r>
    </w:p>
    <w:p>
      <w:pPr>
        <w:pStyle w:val="4"/>
        <w:rPr>
          <w:rFonts w:cs="Times New Roman"/>
          <w:color w:val="000000" w:themeColor="text1"/>
          <w14:textFill>
            <w14:solidFill>
              <w14:schemeClr w14:val="tx1"/>
            </w14:solidFill>
          </w14:textFill>
        </w:rPr>
      </w:pPr>
      <w:bookmarkStart w:id="469" w:name="_Toc47619853"/>
      <w:bookmarkStart w:id="470" w:name="_Toc91163902"/>
      <w:bookmarkStart w:id="471" w:name="_Toc58362814"/>
      <w:bookmarkStart w:id="472" w:name="_Toc52791907"/>
      <w:bookmarkStart w:id="473" w:name="_Toc47619191"/>
      <w:bookmarkStart w:id="474" w:name="_Toc47620039"/>
      <w:r>
        <w:rPr>
          <w:rFonts w:cs="Times New Roman"/>
          <w:color w:val="000000" w:themeColor="text1"/>
          <w14:textFill>
            <w14:solidFill>
              <w14:schemeClr w14:val="tx1"/>
            </w14:solidFill>
          </w14:textFill>
        </w:rPr>
        <w:t>4.1.9 自然资源</w:t>
      </w:r>
      <w:bookmarkEnd w:id="469"/>
      <w:bookmarkEnd w:id="470"/>
      <w:bookmarkEnd w:id="471"/>
      <w:bookmarkEnd w:id="472"/>
      <w:bookmarkEnd w:id="473"/>
      <w:bookmarkEnd w:id="474"/>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1、土壤</w:t>
      </w:r>
    </w:p>
    <w:p>
      <w:pPr>
        <w:spacing w:line="440" w:lineRule="exact"/>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屯留县境内土壤主要为褐土、草甸土两类，5个亚类（山地褐土、褐土性土、碳酸盐褐土、褐化浅色草甸土、浅色草甸土）20个土属，25个土种。</w:t>
      </w:r>
    </w:p>
    <w:p>
      <w:pPr>
        <w:spacing w:line="440" w:lineRule="exact"/>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山地土壤主要以山地褐土为主，其河岩一级阶地及河漫滩有亚类，9个土属。丘陵区土壤以褐土性土为主，分布规律为红土质褐土性土、红黄土质褐土性土、黄土质褐土性土、沟淤褐土性土等。平川区土壤以碳酸盐褐土位置，分布在东李高、高头寺、上村、北岗、路村、城关、西贾等10各乡镇二级和三级阶地的残垣处。</w:t>
      </w:r>
    </w:p>
    <w:p>
      <w:pPr>
        <w:spacing w:line="440" w:lineRule="exact"/>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按照土壤分布规律，山地褐土分布在西部海拔1100-1500 m之间的中低山区；褐土性土分布在山地褐土之下，西部山地偏东的中部丘陵地区，海拔均在950-1100 m之间；碳酸盐褐土分布在东部平川盆地、开阔的沟川二、三级阶地及洪积扇下部；草甸土分布在河流的一级阶地和河漫滩。</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2、动物</w:t>
      </w:r>
    </w:p>
    <w:p>
      <w:pPr>
        <w:spacing w:line="440" w:lineRule="exact"/>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屯留县的野生动物资源按全国动物地理区划，属于古北界，华北地区，黄土高原亚区，以北方型动物为主。兽类有野兔、狐狸、青羊、黄鼬、豺猫、狼、野猪等；禽类有鹰，石鸡、麻雀等；水生动物有鲢鱼、草鱼等。</w:t>
      </w:r>
    </w:p>
    <w:p>
      <w:pPr>
        <w:spacing w:line="440" w:lineRule="exact"/>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经调查，评价区域未发现有国家及省级保护动物的分布。</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3、植被</w:t>
      </w:r>
    </w:p>
    <w:p>
      <w:pPr>
        <w:spacing w:line="400" w:lineRule="exact"/>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屯留区县山区面积大，地形复杂，气候土壤适合于各种植物生长、繁育，野生植物资源较为丰富。按照植物分布特点，构成屯留植被的植物约有80余科600余种，按建群植物生活型和群落外貌，可分为针叶林植被、阔叶林植被、灌草丛植被、草甸植被。按科、种分有杨柳科、豆科、蔷薇科、松科、柏科、菊科、禾本科等。按用途分有食用，药用、工业用、观赏植物等，并具有数量优势。食用类植物有黄花菜、松峨、木耳、蘑菇、山桃、酸枣、山葡萄、香椿、草莓等。药用类植物有黄芩、生地、防风、仓耳、五灵指、灵芝草、野人参、五味子、蒲公英、薄荷、二花等100余种。工业用类植物有国槐、洋槐、柳、杨、榆、椿、油松、侧柏、泡桐等。观赏类植物有绣线菊、珍珠梅、黄刺梅、红刺梅、红景天、丁香、飞燕草。</w:t>
      </w:r>
    </w:p>
    <w:p>
      <w:pPr>
        <w:spacing w:line="400" w:lineRule="exact"/>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项目周边农作物以玉米为主，田间地头和荒地以灌草类为主，评价区内未见重点保护物种及濒危生物物种。</w:t>
      </w:r>
    </w:p>
    <w:p>
      <w:pPr>
        <w:ind w:firstLine="480"/>
        <w:rPr>
          <w:rFonts w:cs="Times New Roman"/>
          <w:bCs/>
          <w:color w:val="000000" w:themeColor="text1"/>
          <w14:textFill>
            <w14:solidFill>
              <w14:schemeClr w14:val="tx1"/>
            </w14:solidFill>
          </w14:textFill>
        </w:rPr>
        <w:sectPr>
          <w:endnotePr>
            <w:numFmt w:val="decimal"/>
          </w:endnotePr>
          <w:pgSz w:w="11907" w:h="16840"/>
          <w:pgMar w:top="1531" w:right="1418" w:bottom="1531" w:left="1418" w:header="1134" w:footer="1021" w:gutter="0"/>
          <w:cols w:space="720" w:num="1"/>
          <w:docGrid w:linePitch="312" w:charSpace="0"/>
        </w:sectPr>
      </w:pPr>
    </w:p>
    <w:p>
      <w:pPr>
        <w:pStyle w:val="333"/>
        <w:spacing w:before="120"/>
        <w:rPr>
          <w:rFonts w:cs="Times New Roman"/>
          <w:color w:val="000000" w:themeColor="text1"/>
          <w14:textFill>
            <w14:solidFill>
              <w14:schemeClr w14:val="tx1"/>
            </w14:solidFill>
          </w14:textFill>
        </w:rPr>
        <w:sectPr>
          <w:endnotePr>
            <w:numFmt w:val="decimal"/>
          </w:endnotePr>
          <w:pgSz w:w="11907" w:h="16840"/>
          <w:pgMar w:top="1531" w:right="1418" w:bottom="1531" w:left="1418" w:header="1134" w:footer="1021" w:gutter="0"/>
          <w:cols w:space="720" w:num="1"/>
          <w:docGrid w:linePitch="312" w:charSpace="0"/>
        </w:sectPr>
      </w:pPr>
      <w:r>
        <w:rPr>
          <w:rFonts w:cs="Times New Roman"/>
          <w:color w:val="000000" w:themeColor="text1"/>
          <w14:textFill>
            <w14:solidFill>
              <w14:schemeClr w14:val="tx1"/>
            </w14:solidFill>
          </w14:textFill>
        </w:rPr>
        <w:t>图4.1-6 项目与辛安泉域位置关系图</w:t>
      </w:r>
    </w:p>
    <w:bookmarkEnd w:id="449"/>
    <w:bookmarkEnd w:id="450"/>
    <w:bookmarkEnd w:id="464"/>
    <w:bookmarkEnd w:id="465"/>
    <w:bookmarkEnd w:id="466"/>
    <w:bookmarkEnd w:id="467"/>
    <w:bookmarkEnd w:id="468"/>
    <w:p>
      <w:pPr>
        <w:pStyle w:val="3"/>
        <w:spacing w:before="120" w:after="120"/>
        <w:rPr>
          <w:rFonts w:cs="Times New Roman"/>
          <w:color w:val="000000" w:themeColor="text1"/>
          <w14:textFill>
            <w14:solidFill>
              <w14:schemeClr w14:val="tx1"/>
            </w14:solidFill>
          </w14:textFill>
        </w:rPr>
      </w:pPr>
      <w:bookmarkStart w:id="475" w:name="_Toc47619192"/>
      <w:bookmarkStart w:id="476" w:name="_Toc47619363"/>
      <w:bookmarkStart w:id="477" w:name="_Toc47619469"/>
      <w:bookmarkStart w:id="478" w:name="_Toc47619854"/>
      <w:bookmarkStart w:id="479" w:name="_Toc47620040"/>
      <w:bookmarkStart w:id="480" w:name="_Toc52791908"/>
      <w:bookmarkStart w:id="481" w:name="_Toc58362815"/>
      <w:bookmarkStart w:id="482" w:name="_Toc91163903"/>
      <w:r>
        <w:rPr>
          <w:rFonts w:cs="Times New Roman"/>
          <w:color w:val="000000" w:themeColor="text1"/>
          <w14:textFill>
            <w14:solidFill>
              <w14:schemeClr w14:val="tx1"/>
            </w14:solidFill>
          </w14:textFill>
        </w:rPr>
        <w:t>4.2  环境质量现状调查与评价</w:t>
      </w:r>
      <w:bookmarkEnd w:id="475"/>
      <w:bookmarkEnd w:id="476"/>
      <w:bookmarkEnd w:id="477"/>
      <w:bookmarkEnd w:id="478"/>
      <w:bookmarkEnd w:id="479"/>
      <w:bookmarkEnd w:id="480"/>
      <w:bookmarkEnd w:id="481"/>
      <w:bookmarkEnd w:id="482"/>
    </w:p>
    <w:p>
      <w:pPr>
        <w:pStyle w:val="4"/>
        <w:rPr>
          <w:rFonts w:cs="Times New Roman"/>
          <w:color w:val="000000" w:themeColor="text1"/>
          <w14:textFill>
            <w14:solidFill>
              <w14:schemeClr w14:val="tx1"/>
            </w14:solidFill>
          </w14:textFill>
        </w:rPr>
      </w:pPr>
      <w:bookmarkStart w:id="483" w:name="_Toc47620041"/>
      <w:bookmarkStart w:id="484" w:name="_Toc52791909"/>
      <w:bookmarkStart w:id="485" w:name="_Toc58362816"/>
      <w:bookmarkStart w:id="486" w:name="_Toc91163904"/>
      <w:bookmarkStart w:id="487" w:name="_Toc47619855"/>
      <w:bookmarkStart w:id="488" w:name="_Toc47619193"/>
      <w:r>
        <w:rPr>
          <w:rFonts w:cs="Times New Roman"/>
          <w:color w:val="000000" w:themeColor="text1"/>
          <w14:textFill>
            <w14:solidFill>
              <w14:schemeClr w14:val="tx1"/>
            </w14:solidFill>
          </w14:textFill>
        </w:rPr>
        <w:t>4.2.1 环境空气质量现状调查与评价</w:t>
      </w:r>
      <w:bookmarkEnd w:id="483"/>
      <w:bookmarkEnd w:id="484"/>
      <w:bookmarkEnd w:id="485"/>
      <w:bookmarkEnd w:id="486"/>
      <w:bookmarkEnd w:id="487"/>
      <w:bookmarkEnd w:id="488"/>
    </w:p>
    <w:p>
      <w:pPr>
        <w:pStyle w:val="5"/>
        <w:rPr>
          <w:color w:val="000000" w:themeColor="text1"/>
          <w14:textFill>
            <w14:solidFill>
              <w14:schemeClr w14:val="tx1"/>
            </w14:solidFill>
          </w14:textFill>
        </w:rPr>
      </w:pPr>
      <w:r>
        <w:rPr>
          <w:color w:val="000000" w:themeColor="text1"/>
          <w14:textFill>
            <w14:solidFill>
              <w14:schemeClr w14:val="tx1"/>
            </w14:solidFill>
          </w14:textFill>
        </w:rPr>
        <w:t>4.2.1.1区域环境空气质量现状</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本次环评引用山西省发布的2020年度屯留区环境空气质量数据，统计结果详见表4.2-1。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4.2-1</w:t>
      </w:r>
      <w:r>
        <w:rPr>
          <w:rFonts w:cs="Times New Roman"/>
          <w:color w:val="000000" w:themeColor="text1"/>
          <w14:textFill>
            <w14:solidFill>
              <w14:schemeClr w14:val="tx1"/>
            </w14:solidFill>
          </w14:textFill>
        </w:rPr>
        <w:t xml:space="preserve"> 环境空气质量现状数据及统计结果（2020年）</w:t>
      </w:r>
    </w:p>
    <w:tbl>
      <w:tblPr>
        <w:tblStyle w:val="54"/>
        <w:tblW w:w="5000"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3876"/>
        <w:gridCol w:w="1270"/>
        <w:gridCol w:w="1274"/>
        <w:gridCol w:w="994"/>
        <w:gridCol w:w="101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tcBorders>
              <w:top w:val="single" w:color="auto" w:sz="12" w:space="0"/>
              <w:left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208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年评价指标</w:t>
            </w:r>
          </w:p>
        </w:tc>
        <w:tc>
          <w:tcPr>
            <w:tcW w:w="684"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年均值ug/m</w:t>
            </w:r>
            <w:r>
              <w:rPr>
                <w:color w:val="000000" w:themeColor="text1"/>
                <w:vertAlign w:val="superscript"/>
                <w14:textFill>
                  <w14:solidFill>
                    <w14:schemeClr w14:val="tx1"/>
                  </w14:solidFill>
                </w14:textFill>
              </w:rPr>
              <w:t>3</w:t>
            </w:r>
          </w:p>
        </w:tc>
        <w:tc>
          <w:tcPr>
            <w:tcW w:w="686"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标准值</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ug/m</w:t>
            </w:r>
            <w:r>
              <w:rPr>
                <w:color w:val="000000" w:themeColor="text1"/>
                <w:vertAlign w:val="superscript"/>
                <w14:textFill>
                  <w14:solidFill>
                    <w14:schemeClr w14:val="tx1"/>
                  </w14:solidFill>
                </w14:textFill>
              </w:rPr>
              <w:t>3</w:t>
            </w:r>
          </w:p>
        </w:tc>
        <w:tc>
          <w:tcPr>
            <w:tcW w:w="535"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占标率</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546" w:type="pct"/>
            <w:tcBorders>
              <w:top w:val="single" w:color="auto" w:sz="12" w:space="0"/>
              <w:bottom w:val="single" w:color="auto" w:sz="12" w:space="0"/>
              <w:right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达标</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tcBorders>
              <w:top w:val="single" w:color="auto" w:sz="12" w:space="0"/>
              <w:left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p>
        </w:tc>
        <w:tc>
          <w:tcPr>
            <w:tcW w:w="2087"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年平均质量浓度</w:t>
            </w:r>
          </w:p>
        </w:tc>
        <w:tc>
          <w:tcPr>
            <w:tcW w:w="68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59</w:t>
            </w:r>
          </w:p>
        </w:tc>
        <w:tc>
          <w:tcPr>
            <w:tcW w:w="686"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70</w:t>
            </w:r>
          </w:p>
        </w:tc>
        <w:tc>
          <w:tcPr>
            <w:tcW w:w="535" w:type="pct"/>
            <w:tcBorders>
              <w:top w:val="single" w:color="auto" w:sz="12" w:space="0"/>
            </w:tcBorders>
            <w:vAlign w:val="center"/>
          </w:tcPr>
          <w:p>
            <w:pPr>
              <w:pStyle w:val="332"/>
              <w:widowControl w:val="0"/>
              <w:rPr>
                <w:color w:val="000000" w:themeColor="text1"/>
                <w:highlight w:val="yellow"/>
                <w14:textFill>
                  <w14:solidFill>
                    <w14:schemeClr w14:val="tx1"/>
                  </w14:solidFill>
                </w14:textFill>
              </w:rPr>
            </w:pPr>
            <w:r>
              <w:rPr>
                <w:color w:val="000000" w:themeColor="text1"/>
                <w14:textFill>
                  <w14:solidFill>
                    <w14:schemeClr w14:val="tx1"/>
                  </w14:solidFill>
                </w14:textFill>
              </w:rPr>
              <w:t>84</w:t>
            </w:r>
          </w:p>
        </w:tc>
        <w:tc>
          <w:tcPr>
            <w:tcW w:w="546" w:type="pct"/>
            <w:tcBorders>
              <w:top w:val="single" w:color="auto" w:sz="12" w:space="0"/>
              <w:right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tcBorders>
              <w:left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p>
        </w:tc>
        <w:tc>
          <w:tcPr>
            <w:tcW w:w="208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年平均质量浓度</w:t>
            </w:r>
          </w:p>
        </w:tc>
        <w:tc>
          <w:tcPr>
            <w:tcW w:w="6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34</w:t>
            </w:r>
          </w:p>
        </w:tc>
        <w:tc>
          <w:tcPr>
            <w:tcW w:w="68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35</w:t>
            </w:r>
          </w:p>
        </w:tc>
        <w:tc>
          <w:tcPr>
            <w:tcW w:w="535" w:type="pct"/>
            <w:vAlign w:val="center"/>
          </w:tcPr>
          <w:p>
            <w:pPr>
              <w:pStyle w:val="332"/>
              <w:widowControl w:val="0"/>
              <w:rPr>
                <w:color w:val="000000" w:themeColor="text1"/>
                <w:highlight w:val="yellow"/>
                <w14:textFill>
                  <w14:solidFill>
                    <w14:schemeClr w14:val="tx1"/>
                  </w14:solidFill>
                </w14:textFill>
              </w:rPr>
            </w:pPr>
            <w:r>
              <w:rPr>
                <w:color w:val="000000" w:themeColor="text1"/>
                <w14:textFill>
                  <w14:solidFill>
                    <w14:schemeClr w14:val="tx1"/>
                  </w14:solidFill>
                </w14:textFill>
              </w:rPr>
              <w:t>97</w:t>
            </w:r>
          </w:p>
        </w:tc>
        <w:tc>
          <w:tcPr>
            <w:tcW w:w="546" w:type="pct"/>
            <w:tcBorders>
              <w:right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tcBorders>
              <w:left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208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年平均质量浓度</w:t>
            </w:r>
          </w:p>
        </w:tc>
        <w:tc>
          <w:tcPr>
            <w:tcW w:w="6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18</w:t>
            </w:r>
          </w:p>
        </w:tc>
        <w:tc>
          <w:tcPr>
            <w:tcW w:w="68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60</w:t>
            </w:r>
          </w:p>
        </w:tc>
        <w:tc>
          <w:tcPr>
            <w:tcW w:w="535" w:type="pct"/>
            <w:vAlign w:val="center"/>
          </w:tcPr>
          <w:p>
            <w:pPr>
              <w:pStyle w:val="332"/>
              <w:widowControl w:val="0"/>
              <w:rPr>
                <w:color w:val="000000" w:themeColor="text1"/>
                <w:highlight w:val="yellow"/>
                <w14:textFill>
                  <w14:solidFill>
                    <w14:schemeClr w14:val="tx1"/>
                  </w14:solidFill>
                </w14:textFill>
              </w:rPr>
            </w:pPr>
            <w:r>
              <w:rPr>
                <w:color w:val="000000" w:themeColor="text1"/>
                <w14:textFill>
                  <w14:solidFill>
                    <w14:schemeClr w14:val="tx1"/>
                  </w14:solidFill>
                </w14:textFill>
              </w:rPr>
              <w:t>30</w:t>
            </w:r>
          </w:p>
        </w:tc>
        <w:tc>
          <w:tcPr>
            <w:tcW w:w="546" w:type="pct"/>
            <w:tcBorders>
              <w:right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tcBorders>
              <w:left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p>
        </w:tc>
        <w:tc>
          <w:tcPr>
            <w:tcW w:w="208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年平均质量浓度</w:t>
            </w:r>
          </w:p>
        </w:tc>
        <w:tc>
          <w:tcPr>
            <w:tcW w:w="6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26</w:t>
            </w:r>
          </w:p>
        </w:tc>
        <w:tc>
          <w:tcPr>
            <w:tcW w:w="68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40</w:t>
            </w:r>
          </w:p>
        </w:tc>
        <w:tc>
          <w:tcPr>
            <w:tcW w:w="535" w:type="pct"/>
            <w:vAlign w:val="center"/>
          </w:tcPr>
          <w:p>
            <w:pPr>
              <w:pStyle w:val="332"/>
              <w:widowControl w:val="0"/>
              <w:rPr>
                <w:color w:val="000000" w:themeColor="text1"/>
                <w:highlight w:val="yellow"/>
                <w14:textFill>
                  <w14:solidFill>
                    <w14:schemeClr w14:val="tx1"/>
                  </w14:solidFill>
                </w14:textFill>
              </w:rPr>
            </w:pPr>
            <w:r>
              <w:rPr>
                <w:color w:val="000000" w:themeColor="text1"/>
                <w14:textFill>
                  <w14:solidFill>
                    <w14:schemeClr w14:val="tx1"/>
                  </w14:solidFill>
                </w14:textFill>
              </w:rPr>
              <w:t>65</w:t>
            </w:r>
          </w:p>
        </w:tc>
        <w:tc>
          <w:tcPr>
            <w:tcW w:w="546" w:type="pct"/>
            <w:tcBorders>
              <w:right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tcBorders>
              <w:left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CO</w:t>
            </w:r>
          </w:p>
        </w:tc>
        <w:tc>
          <w:tcPr>
            <w:tcW w:w="208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24 h平均第95百分位数</w:t>
            </w:r>
          </w:p>
        </w:tc>
        <w:tc>
          <w:tcPr>
            <w:tcW w:w="6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 mg/m</w:t>
            </w:r>
            <w:r>
              <w:rPr>
                <w:color w:val="000000" w:themeColor="text1"/>
                <w:vertAlign w:val="superscript"/>
                <w14:textFill>
                  <w14:solidFill>
                    <w14:schemeClr w14:val="tx1"/>
                  </w14:solidFill>
                </w14:textFill>
              </w:rPr>
              <w:t>3</w:t>
            </w:r>
          </w:p>
        </w:tc>
        <w:tc>
          <w:tcPr>
            <w:tcW w:w="68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4.0 mg/m</w:t>
            </w:r>
            <w:r>
              <w:rPr>
                <w:color w:val="000000" w:themeColor="text1"/>
                <w:vertAlign w:val="superscript"/>
                <w14:textFill>
                  <w14:solidFill>
                    <w14:schemeClr w14:val="tx1"/>
                  </w14:solidFill>
                </w14:textFill>
              </w:rPr>
              <w:t>3</w:t>
            </w:r>
          </w:p>
        </w:tc>
        <w:tc>
          <w:tcPr>
            <w:tcW w:w="535" w:type="pct"/>
            <w:vAlign w:val="center"/>
          </w:tcPr>
          <w:p>
            <w:pPr>
              <w:pStyle w:val="332"/>
              <w:widowControl w:val="0"/>
              <w:rPr>
                <w:color w:val="000000" w:themeColor="text1"/>
                <w:highlight w:val="yellow"/>
                <w14:textFill>
                  <w14:solidFill>
                    <w14:schemeClr w14:val="tx1"/>
                  </w14:solidFill>
                </w14:textFill>
              </w:rPr>
            </w:pPr>
            <w:r>
              <w:rPr>
                <w:color w:val="000000" w:themeColor="text1"/>
                <w14:textFill>
                  <w14:solidFill>
                    <w14:schemeClr w14:val="tx1"/>
                  </w14:solidFill>
                </w14:textFill>
              </w:rPr>
              <w:t>50</w:t>
            </w:r>
          </w:p>
        </w:tc>
        <w:tc>
          <w:tcPr>
            <w:tcW w:w="546" w:type="pct"/>
            <w:tcBorders>
              <w:right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2" w:type="pct"/>
            <w:tcBorders>
              <w:left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p>
        </w:tc>
        <w:tc>
          <w:tcPr>
            <w:tcW w:w="2087" w:type="pct"/>
            <w:tcBorders>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日最大8小时平均值的第90百分位数</w:t>
            </w:r>
          </w:p>
        </w:tc>
        <w:tc>
          <w:tcPr>
            <w:tcW w:w="684" w:type="pct"/>
            <w:tcBorders>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167</w:t>
            </w:r>
          </w:p>
        </w:tc>
        <w:tc>
          <w:tcPr>
            <w:tcW w:w="686" w:type="pct"/>
            <w:tcBorders>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535" w:type="pct"/>
            <w:tcBorders>
              <w:bottom w:val="single" w:color="auto" w:sz="12" w:space="0"/>
            </w:tcBorders>
            <w:vAlign w:val="center"/>
          </w:tcPr>
          <w:p>
            <w:pPr>
              <w:pStyle w:val="332"/>
              <w:widowControl w:val="0"/>
              <w:rPr>
                <w:b/>
                <w:bCs/>
                <w:color w:val="000000" w:themeColor="text1"/>
                <w:highlight w:val="yellow"/>
                <w14:textFill>
                  <w14:solidFill>
                    <w14:schemeClr w14:val="tx1"/>
                  </w14:solidFill>
                </w14:textFill>
              </w:rPr>
            </w:pPr>
            <w:r>
              <w:rPr>
                <w:b/>
                <w:bCs/>
                <w:color w:val="000000" w:themeColor="text1"/>
                <w:shd w:val="pct10" w:color="auto" w:fill="FFFFFF"/>
                <w14:textFill>
                  <w14:solidFill>
                    <w14:schemeClr w14:val="tx1"/>
                  </w14:solidFill>
                </w14:textFill>
              </w:rPr>
              <w:t>104</w:t>
            </w:r>
          </w:p>
        </w:tc>
        <w:tc>
          <w:tcPr>
            <w:tcW w:w="546" w:type="pct"/>
            <w:tcBorders>
              <w:bottom w:val="single" w:color="auto" w:sz="12" w:space="0"/>
              <w:right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不达标</w:t>
            </w:r>
          </w:p>
        </w:tc>
      </w:tr>
    </w:tbl>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由上表可知，屯留区2020年PM</w:t>
      </w:r>
      <w:r>
        <w:rPr>
          <w:rFonts w:cs="Times New Roman"/>
          <w:bCs/>
          <w:color w:val="000000" w:themeColor="text1"/>
          <w:vertAlign w:val="subscript"/>
          <w14:textFill>
            <w14:solidFill>
              <w14:schemeClr w14:val="tx1"/>
            </w14:solidFill>
          </w14:textFill>
        </w:rPr>
        <w:t>2.5</w:t>
      </w:r>
      <w:r>
        <w:rPr>
          <w:rFonts w:cs="Times New Roman"/>
          <w:bCs/>
          <w:color w:val="000000" w:themeColor="text1"/>
          <w14:textFill>
            <w14:solidFill>
              <w14:schemeClr w14:val="tx1"/>
            </w14:solidFill>
          </w14:textFill>
        </w:rPr>
        <w:t>、PM</w:t>
      </w:r>
      <w:r>
        <w:rPr>
          <w:rFonts w:cs="Times New Roman"/>
          <w:bCs/>
          <w:color w:val="000000" w:themeColor="text1"/>
          <w:vertAlign w:val="subscript"/>
          <w14:textFill>
            <w14:solidFill>
              <w14:schemeClr w14:val="tx1"/>
            </w14:solidFill>
          </w14:textFill>
        </w:rPr>
        <w:t>10</w:t>
      </w:r>
      <w:r>
        <w:rPr>
          <w:rFonts w:cs="Times New Roman"/>
          <w:bCs/>
          <w:color w:val="000000" w:themeColor="text1"/>
          <w14:textFill>
            <w14:solidFill>
              <w14:schemeClr w14:val="tx1"/>
            </w14:solidFill>
          </w14:textFill>
        </w:rPr>
        <w:t>、SO</w:t>
      </w:r>
      <w:r>
        <w:rPr>
          <w:rFonts w:cs="Times New Roman"/>
          <w:bCs/>
          <w:color w:val="000000" w:themeColor="text1"/>
          <w:vertAlign w:val="subscript"/>
          <w14:textFill>
            <w14:solidFill>
              <w14:schemeClr w14:val="tx1"/>
            </w14:solidFill>
          </w14:textFill>
        </w:rPr>
        <w:t>2</w:t>
      </w:r>
      <w:r>
        <w:rPr>
          <w:rFonts w:cs="Times New Roman"/>
          <w:bCs/>
          <w:color w:val="000000" w:themeColor="text1"/>
          <w14:textFill>
            <w14:solidFill>
              <w14:schemeClr w14:val="tx1"/>
            </w14:solidFill>
          </w14:textFill>
        </w:rPr>
        <w:t>、NO</w:t>
      </w:r>
      <w:r>
        <w:rPr>
          <w:rFonts w:cs="Times New Roman"/>
          <w:bCs/>
          <w:color w:val="000000" w:themeColor="text1"/>
          <w:vertAlign w:val="subscript"/>
          <w14:textFill>
            <w14:solidFill>
              <w14:schemeClr w14:val="tx1"/>
            </w14:solidFill>
          </w14:textFill>
        </w:rPr>
        <w:t>2</w:t>
      </w:r>
      <w:r>
        <w:rPr>
          <w:rFonts w:cs="Times New Roman"/>
          <w:bCs/>
          <w:color w:val="000000" w:themeColor="text1"/>
          <w14:textFill>
            <w14:solidFill>
              <w14:schemeClr w14:val="tx1"/>
            </w14:solidFill>
          </w14:textFill>
        </w:rPr>
        <w:t>的年均值、CO百分位数符合《环境空气质量标准》（GB3095-2012）及修改单中的二级标准，O</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 xml:space="preserve"> 8h百分位数超标。屯留区为环境空气质量不达标区。</w:t>
      </w:r>
    </w:p>
    <w:p>
      <w:pPr>
        <w:pStyle w:val="5"/>
        <w:rPr>
          <w:color w:val="000000" w:themeColor="text1"/>
          <w14:textFill>
            <w14:solidFill>
              <w14:schemeClr w14:val="tx1"/>
            </w14:solidFill>
          </w14:textFill>
        </w:rPr>
      </w:pPr>
      <w:bookmarkStart w:id="489" w:name="_Toc58362817"/>
      <w:bookmarkStart w:id="490" w:name="_Toc47619194"/>
      <w:bookmarkStart w:id="491" w:name="_Toc47620042"/>
      <w:bookmarkStart w:id="492" w:name="_Toc47619856"/>
      <w:bookmarkStart w:id="493" w:name="_Toc52791910"/>
      <w:r>
        <w:rPr>
          <w:color w:val="000000" w:themeColor="text1"/>
          <w14:textFill>
            <w14:solidFill>
              <w14:schemeClr w14:val="tx1"/>
            </w14:solidFill>
          </w14:textFill>
        </w:rPr>
        <w:t>4.2.1.2评价范围内环境空气质量现状</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建设单位委托山西京诚检测技术有限公司对项目所在区域大气环境质量进行补充监测。</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1、监测点位及监测项目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监测点监测情况详见表4.2-2，监测布点图见图4.2-1。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表4.2-2 环境空气质量现状监测布点情况</w:t>
      </w:r>
    </w:p>
    <w:p>
      <w:pPr>
        <w:kinsoku w:val="0"/>
        <w:overflowPunct w:val="0"/>
        <w:autoSpaceDE w:val="0"/>
        <w:autoSpaceDN w:val="0"/>
        <w:adjustRightInd w:val="0"/>
        <w:spacing w:before="7" w:line="240" w:lineRule="auto"/>
        <w:ind w:firstLine="0" w:firstLineChars="0"/>
        <w:jc w:val="left"/>
        <w:rPr>
          <w:rFonts w:cs="Times New Roman"/>
          <w:color w:val="000000" w:themeColor="text1"/>
          <w:kern w:val="0"/>
          <w:sz w:val="6"/>
          <w:szCs w:val="6"/>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1334"/>
        <w:gridCol w:w="1563"/>
        <w:gridCol w:w="1799"/>
        <w:gridCol w:w="2422"/>
        <w:gridCol w:w="997"/>
        <w:gridCol w:w="982"/>
      </w:tblGrid>
      <w:tr>
        <w:tblPrEx>
          <w:tblCellMar>
            <w:top w:w="0" w:type="dxa"/>
            <w:left w:w="0" w:type="dxa"/>
            <w:bottom w:w="0" w:type="dxa"/>
            <w:right w:w="0" w:type="dxa"/>
          </w:tblCellMar>
        </w:tblPrEx>
        <w:trPr>
          <w:trHeight w:val="397" w:hRule="atLeast"/>
        </w:trPr>
        <w:tc>
          <w:tcPr>
            <w:tcW w:w="733" w:type="pct"/>
            <w:vMerge w:val="restart"/>
            <w:tcBorders>
              <w:top w:val="single" w:color="000000" w:sz="10"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监测点</w:t>
            </w:r>
          </w:p>
        </w:tc>
        <w:tc>
          <w:tcPr>
            <w:tcW w:w="1848" w:type="pct"/>
            <w:gridSpan w:val="2"/>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监测点坐标</w:t>
            </w:r>
          </w:p>
        </w:tc>
        <w:tc>
          <w:tcPr>
            <w:tcW w:w="1331" w:type="pct"/>
            <w:vMerge w:val="restart"/>
            <w:tcBorders>
              <w:top w:val="single" w:color="000000" w:sz="10"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监测因子</w:t>
            </w:r>
          </w:p>
        </w:tc>
        <w:tc>
          <w:tcPr>
            <w:tcW w:w="548" w:type="pct"/>
            <w:vMerge w:val="restart"/>
            <w:tcBorders>
              <w:top w:val="single" w:color="000000" w:sz="10"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相对厂址方位</w:t>
            </w:r>
          </w:p>
        </w:tc>
        <w:tc>
          <w:tcPr>
            <w:tcW w:w="540" w:type="pct"/>
            <w:vMerge w:val="restart"/>
            <w:tcBorders>
              <w:top w:val="single" w:color="000000" w:sz="10" w:space="0"/>
              <w:left w:val="single" w:color="000000" w:sz="4" w:space="0"/>
              <w:bottom w:val="single" w:color="000000" w:sz="10"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相对厂界距离/m</w:t>
            </w:r>
          </w:p>
        </w:tc>
      </w:tr>
      <w:tr>
        <w:tblPrEx>
          <w:tblCellMar>
            <w:top w:w="0" w:type="dxa"/>
            <w:left w:w="0" w:type="dxa"/>
            <w:bottom w:w="0" w:type="dxa"/>
            <w:right w:w="0" w:type="dxa"/>
          </w:tblCellMar>
        </w:tblPrEx>
        <w:trPr>
          <w:trHeight w:val="397" w:hRule="atLeast"/>
        </w:trPr>
        <w:tc>
          <w:tcPr>
            <w:tcW w:w="733" w:type="pct"/>
            <w:vMerge w:val="continue"/>
            <w:tcBorders>
              <w:top w:val="single" w:color="000000" w:sz="10" w:space="0"/>
              <w:left w:val="single" w:color="000000" w:sz="10"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859"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X</w:t>
            </w:r>
          </w:p>
        </w:tc>
        <w:tc>
          <w:tcPr>
            <w:tcW w:w="989"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Y</w:t>
            </w:r>
          </w:p>
        </w:tc>
        <w:tc>
          <w:tcPr>
            <w:tcW w:w="1331"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548"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540" w:type="pct"/>
            <w:vMerge w:val="continue"/>
            <w:tcBorders>
              <w:top w:val="single" w:color="000000" w:sz="10" w:space="0"/>
              <w:left w:val="single" w:color="000000" w:sz="4" w:space="0"/>
              <w:bottom w:val="single" w:color="auto" w:sz="12" w:space="0"/>
              <w:right w:val="single" w:color="000000" w:sz="10"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733" w:type="pct"/>
            <w:tcBorders>
              <w:top w:val="single" w:color="auto" w:sz="12"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厂址</w:t>
            </w:r>
          </w:p>
        </w:tc>
        <w:tc>
          <w:tcPr>
            <w:tcW w:w="859"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bCs/>
                <w:color w:val="000000" w:themeColor="text1"/>
                <w14:textFill>
                  <w14:solidFill>
                    <w14:schemeClr w14:val="tx1"/>
                  </w14:solidFill>
                </w14:textFill>
              </w:rPr>
              <w:t>36.272742°</w:t>
            </w:r>
          </w:p>
        </w:tc>
        <w:tc>
          <w:tcPr>
            <w:tcW w:w="989"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bCs/>
                <w:color w:val="000000" w:themeColor="text1"/>
                <w14:textFill>
                  <w14:solidFill>
                    <w14:schemeClr w14:val="tx1"/>
                  </w14:solidFill>
                </w14:textFill>
              </w:rPr>
              <w:t>112.8283333°</w:t>
            </w:r>
          </w:p>
        </w:tc>
        <w:tc>
          <w:tcPr>
            <w:tcW w:w="1331"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kern w:val="21"/>
                <w14:textFill>
                  <w14:solidFill>
                    <w14:schemeClr w14:val="tx1"/>
                  </w14:solidFill>
                </w14:textFill>
              </w:rPr>
              <w:t>NH</w:t>
            </w:r>
            <w:r>
              <w:rPr>
                <w:color w:val="000000" w:themeColor="text1"/>
                <w:kern w:val="21"/>
                <w:vertAlign w:val="subscript"/>
                <w14:textFill>
                  <w14:solidFill>
                    <w14:schemeClr w14:val="tx1"/>
                  </w14:solidFill>
                </w14:textFill>
              </w:rPr>
              <w:t>3</w:t>
            </w:r>
            <w:r>
              <w:rPr>
                <w:color w:val="000000" w:themeColor="text1"/>
                <w:kern w:val="21"/>
                <w14:textFill>
                  <w14:solidFill>
                    <w14:schemeClr w14:val="tx1"/>
                  </w14:solidFill>
                </w14:textFill>
              </w:rPr>
              <w:t>、H</w:t>
            </w:r>
            <w:r>
              <w:rPr>
                <w:color w:val="000000" w:themeColor="text1"/>
                <w:kern w:val="21"/>
                <w:vertAlign w:val="subscript"/>
                <w14:textFill>
                  <w14:solidFill>
                    <w14:schemeClr w14:val="tx1"/>
                  </w14:solidFill>
                </w14:textFill>
              </w:rPr>
              <w:t>2</w:t>
            </w:r>
            <w:r>
              <w:rPr>
                <w:color w:val="000000" w:themeColor="text1"/>
                <w:kern w:val="21"/>
                <w14:textFill>
                  <w14:solidFill>
                    <w14:schemeClr w14:val="tx1"/>
                  </w14:solidFill>
                </w14:textFill>
              </w:rPr>
              <w:t>S</w:t>
            </w:r>
          </w:p>
        </w:tc>
        <w:tc>
          <w:tcPr>
            <w:tcW w:w="548"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540" w:type="pct"/>
            <w:tcBorders>
              <w:top w:val="single" w:color="auto" w:sz="12"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bl>
    <w:p>
      <w:pPr>
        <w:ind w:firstLine="482"/>
        <w:rPr>
          <w:rFonts w:cs="Times New Roman"/>
          <w:b/>
          <w:bCs/>
          <w:color w:val="000000" w:themeColor="text1"/>
          <w14:textFill>
            <w14:solidFill>
              <w14:schemeClr w14:val="tx1"/>
            </w14:solidFill>
          </w14:textFill>
        </w:rPr>
        <w:sectPr>
          <w:endnotePr>
            <w:numFmt w:val="decimal"/>
          </w:endnotePr>
          <w:pgSz w:w="11907" w:h="16840"/>
          <w:pgMar w:top="1531" w:right="1418" w:bottom="1531" w:left="1418" w:header="1134" w:footer="1021" w:gutter="0"/>
          <w:cols w:space="720" w:num="1"/>
          <w:docGrid w:linePitch="312" w:charSpace="0"/>
        </w:sectPr>
      </w:pP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图4.2-1现状监测布点图</w:t>
      </w:r>
    </w:p>
    <w:p>
      <w:pPr>
        <w:ind w:firstLine="482"/>
        <w:rPr>
          <w:rFonts w:cs="Times New Roman"/>
          <w:b/>
          <w:bCs/>
          <w:color w:val="000000" w:themeColor="text1"/>
          <w14:textFill>
            <w14:solidFill>
              <w14:schemeClr w14:val="tx1"/>
            </w14:solidFill>
          </w14:textFill>
        </w:rPr>
        <w:sectPr>
          <w:endnotePr>
            <w:numFmt w:val="decimal"/>
          </w:endnotePr>
          <w:pgSz w:w="16840" w:h="11907" w:orient="landscape"/>
          <w:pgMar w:top="1418" w:right="1531" w:bottom="1418" w:left="1531" w:header="1134" w:footer="1021" w:gutter="0"/>
          <w:cols w:space="720" w:num="1"/>
          <w:docGrid w:linePitch="326" w:charSpace="0"/>
        </w:sectPr>
      </w:pP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2、监测时间及频率</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监测时间为2021年8月9日至15日，连续监测七天。</w:t>
      </w:r>
    </w:p>
    <w:p>
      <w:pPr>
        <w:ind w:firstLine="480"/>
        <w:rPr>
          <w:rFonts w:cs="Times New Roman"/>
          <w:b/>
          <w:color w:val="000000" w:themeColor="text1"/>
          <w14:textFill>
            <w14:solidFill>
              <w14:schemeClr w14:val="tx1"/>
            </w14:solidFill>
          </w14:textFill>
        </w:rPr>
      </w:pP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S每天采样4次(采样时间为：02：00、08：00、14：00、20：00)，同时记录风向、风速、气温、气压等常规气象要素。</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3、监测分析方法</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监测分析方法按国家环保总局发布的《空气和废气监测分析方法》和《环境监测技术规范》（大气部分）要求进行，分析方法见表4.2-3。</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表4.2-3 环境空气质量监测分析方法</w:t>
      </w:r>
    </w:p>
    <w:p>
      <w:pPr>
        <w:kinsoku w:val="0"/>
        <w:overflowPunct w:val="0"/>
        <w:autoSpaceDE w:val="0"/>
        <w:autoSpaceDN w:val="0"/>
        <w:adjustRightInd w:val="0"/>
        <w:spacing w:before="9" w:line="240" w:lineRule="auto"/>
        <w:ind w:firstLine="0" w:firstLineChars="0"/>
        <w:jc w:val="left"/>
        <w:rPr>
          <w:rFonts w:cs="Times New Roman"/>
          <w:color w:val="000000" w:themeColor="text1"/>
          <w:kern w:val="0"/>
          <w:sz w:val="3"/>
          <w:szCs w:val="3"/>
          <w14:textFill>
            <w14:solidFill>
              <w14:schemeClr w14:val="tx1"/>
            </w14:solidFill>
          </w14:textFill>
        </w:rPr>
      </w:pPr>
    </w:p>
    <w:tbl>
      <w:tblPr>
        <w:tblStyle w:val="53"/>
        <w:tblW w:w="5000"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0" w:type="dxa"/>
          <w:bottom w:w="0" w:type="dxa"/>
          <w:right w:w="0" w:type="dxa"/>
        </w:tblCellMar>
      </w:tblPr>
      <w:tblGrid>
        <w:gridCol w:w="557"/>
        <w:gridCol w:w="857"/>
        <w:gridCol w:w="1711"/>
        <w:gridCol w:w="1997"/>
        <w:gridCol w:w="2568"/>
        <w:gridCol w:w="1411"/>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06" w:type="pct"/>
            <w:tcBorders>
              <w:top w:val="single" w:color="000000"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监测类别</w:t>
            </w:r>
          </w:p>
        </w:tc>
        <w:tc>
          <w:tcPr>
            <w:tcW w:w="471" w:type="pct"/>
            <w:tcBorders>
              <w:top w:val="single" w:color="000000"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监测内容</w:t>
            </w:r>
          </w:p>
        </w:tc>
        <w:tc>
          <w:tcPr>
            <w:tcW w:w="940" w:type="pct"/>
            <w:tcBorders>
              <w:top w:val="single" w:color="000000"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采样方法依据</w:t>
            </w:r>
          </w:p>
        </w:tc>
        <w:tc>
          <w:tcPr>
            <w:tcW w:w="1097" w:type="pct"/>
            <w:tcBorders>
              <w:top w:val="single" w:color="000000"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分析方法</w:t>
            </w:r>
          </w:p>
        </w:tc>
        <w:tc>
          <w:tcPr>
            <w:tcW w:w="1411" w:type="pct"/>
            <w:tcBorders>
              <w:top w:val="single" w:color="000000"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分析方法来源</w:t>
            </w:r>
          </w:p>
        </w:tc>
        <w:tc>
          <w:tcPr>
            <w:tcW w:w="775" w:type="pct"/>
            <w:tcBorders>
              <w:top w:val="single" w:color="000000"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检出限或最低检出浓度</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0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471"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940"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环境空气质量手工监测技术规范HJ/T194-2017</w:t>
            </w:r>
          </w:p>
        </w:tc>
        <w:tc>
          <w:tcPr>
            <w:tcW w:w="109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亚甲基蓝分光光度法</w:t>
            </w:r>
          </w:p>
        </w:tc>
        <w:tc>
          <w:tcPr>
            <w:tcW w:w="1411"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空气和废气监测（第四版）</w:t>
            </w:r>
          </w:p>
        </w:tc>
        <w:tc>
          <w:tcPr>
            <w:tcW w:w="775"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 mg/m</w:t>
            </w:r>
            <w:r>
              <w:rPr>
                <w:color w:val="000000" w:themeColor="text1"/>
                <w:vertAlign w:val="superscript"/>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940" w:type="pct"/>
            <w:vMerge w:val="continue"/>
            <w:vAlign w:val="center"/>
          </w:tcPr>
          <w:p>
            <w:pPr>
              <w:pStyle w:val="332"/>
              <w:rPr>
                <w:color w:val="000000" w:themeColor="text1"/>
                <w14:textFill>
                  <w14:solidFill>
                    <w14:schemeClr w14:val="tx1"/>
                  </w14:solidFill>
                </w14:textFill>
              </w:rPr>
            </w:pPr>
          </w:p>
        </w:tc>
        <w:tc>
          <w:tcPr>
            <w:tcW w:w="1097"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纳氏试剂分光光度法</w:t>
            </w:r>
          </w:p>
        </w:tc>
        <w:tc>
          <w:tcPr>
            <w:tcW w:w="1411" w:type="pct"/>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HJ 533-2009</w:t>
            </w:r>
          </w:p>
        </w:tc>
        <w:tc>
          <w:tcPr>
            <w:tcW w:w="77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0.01 mg/m</w:t>
            </w:r>
            <w:r>
              <w:rPr>
                <w:color w:val="000000" w:themeColor="text1"/>
                <w:vertAlign w:val="superscript"/>
                <w14:textFill>
                  <w14:solidFill>
                    <w14:schemeClr w14:val="tx1"/>
                  </w14:solidFill>
                </w14:textFill>
              </w:rPr>
              <w:t>3</w:t>
            </w: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4、监测结果统计与分析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S小时浓度监测统计结果见表4.2-4。</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表4.2-4 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S小时浓度监测统计结果一览表   单位：mg/m</w:t>
      </w:r>
      <w:r>
        <w:rPr>
          <w:rFonts w:cs="Times New Roman"/>
          <w:color w:val="000000" w:themeColor="text1"/>
          <w:position w:val="10"/>
          <w:sz w:val="14"/>
          <w:szCs w:val="14"/>
          <w14:textFill>
            <w14:solidFill>
              <w14:schemeClr w14:val="tx1"/>
            </w14:solidFill>
          </w14:textFill>
        </w:rPr>
        <w:t>3</w:t>
      </w:r>
    </w:p>
    <w:p>
      <w:pPr>
        <w:kinsoku w:val="0"/>
        <w:overflowPunct w:val="0"/>
        <w:autoSpaceDE w:val="0"/>
        <w:autoSpaceDN w:val="0"/>
        <w:adjustRightInd w:val="0"/>
        <w:spacing w:before="3" w:line="240" w:lineRule="auto"/>
        <w:ind w:firstLine="0" w:firstLineChars="0"/>
        <w:jc w:val="left"/>
        <w:rPr>
          <w:rFonts w:cs="Times New Roman"/>
          <w:color w:val="000000" w:themeColor="text1"/>
          <w:kern w:val="0"/>
          <w:sz w:val="7"/>
          <w:szCs w:val="7"/>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506"/>
        <w:gridCol w:w="761"/>
        <w:gridCol w:w="1283"/>
        <w:gridCol w:w="1283"/>
        <w:gridCol w:w="1283"/>
        <w:gridCol w:w="1287"/>
        <w:gridCol w:w="916"/>
        <w:gridCol w:w="801"/>
        <w:gridCol w:w="981"/>
      </w:tblGrid>
      <w:tr>
        <w:tblPrEx>
          <w:tblCellMar>
            <w:top w:w="0" w:type="dxa"/>
            <w:left w:w="0" w:type="dxa"/>
            <w:bottom w:w="0" w:type="dxa"/>
            <w:right w:w="0" w:type="dxa"/>
          </w:tblCellMar>
        </w:tblPrEx>
        <w:trPr>
          <w:trHeight w:val="397" w:hRule="atLeast"/>
        </w:trPr>
        <w:tc>
          <w:tcPr>
            <w:tcW w:w="278" w:type="pct"/>
            <w:vMerge w:val="restart"/>
            <w:tcBorders>
              <w:top w:val="single" w:color="auto" w:sz="12"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418" w:type="pct"/>
            <w:vMerge w:val="restart"/>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2822" w:type="pct"/>
            <w:gridSpan w:val="4"/>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各时段浓度范围</w:t>
            </w:r>
          </w:p>
        </w:tc>
        <w:tc>
          <w:tcPr>
            <w:tcW w:w="503" w:type="pct"/>
            <w:vMerge w:val="restart"/>
            <w:tcBorders>
              <w:top w:val="single" w:color="auto" w:sz="12" w:space="0"/>
              <w:left w:val="single" w:color="000000" w:sz="6"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样本数</w:t>
            </w:r>
          </w:p>
        </w:tc>
        <w:tc>
          <w:tcPr>
            <w:tcW w:w="440" w:type="pct"/>
            <w:vMerge w:val="restart"/>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超标率</w:t>
            </w:r>
          </w:p>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539" w:type="pct"/>
            <w:vMerge w:val="restart"/>
            <w:tcBorders>
              <w:top w:val="single" w:color="auto" w:sz="12"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最大浓度占标率</w:t>
            </w:r>
          </w:p>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CellMar>
            <w:top w:w="0" w:type="dxa"/>
            <w:left w:w="0" w:type="dxa"/>
            <w:bottom w:w="0" w:type="dxa"/>
            <w:right w:w="0" w:type="dxa"/>
          </w:tblCellMar>
        </w:tblPrEx>
        <w:trPr>
          <w:trHeight w:val="397" w:hRule="atLeast"/>
        </w:trPr>
        <w:tc>
          <w:tcPr>
            <w:tcW w:w="278" w:type="pct"/>
            <w:vMerge w:val="continue"/>
            <w:tcBorders>
              <w:top w:val="single" w:color="000000" w:sz="4" w:space="0"/>
              <w:left w:val="single" w:color="auto"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p>
        </w:tc>
        <w:tc>
          <w:tcPr>
            <w:tcW w:w="418" w:type="pct"/>
            <w:vMerge w:val="continue"/>
            <w:tcBorders>
              <w:top w:val="single" w:color="000000" w:sz="4"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p>
        </w:tc>
        <w:tc>
          <w:tcPr>
            <w:tcW w:w="705" w:type="pct"/>
            <w:tcBorders>
              <w:top w:val="single" w:color="000000" w:sz="4"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02:00</w:t>
            </w:r>
          </w:p>
        </w:tc>
        <w:tc>
          <w:tcPr>
            <w:tcW w:w="705" w:type="pct"/>
            <w:tcBorders>
              <w:top w:val="single" w:color="000000" w:sz="4"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08:00</w:t>
            </w:r>
          </w:p>
        </w:tc>
        <w:tc>
          <w:tcPr>
            <w:tcW w:w="705" w:type="pct"/>
            <w:tcBorders>
              <w:top w:val="single" w:color="000000" w:sz="4"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14:00</w:t>
            </w:r>
          </w:p>
        </w:tc>
        <w:tc>
          <w:tcPr>
            <w:tcW w:w="707" w:type="pct"/>
            <w:tcBorders>
              <w:top w:val="single" w:color="000000" w:sz="4"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20:00</w:t>
            </w:r>
          </w:p>
        </w:tc>
        <w:tc>
          <w:tcPr>
            <w:tcW w:w="503" w:type="pct"/>
            <w:vMerge w:val="continue"/>
            <w:tcBorders>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p>
        </w:tc>
        <w:tc>
          <w:tcPr>
            <w:tcW w:w="440" w:type="pct"/>
            <w:vMerge w:val="continue"/>
            <w:tcBorders>
              <w:top w:val="single" w:color="000000" w:sz="4"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p>
        </w:tc>
        <w:tc>
          <w:tcPr>
            <w:tcW w:w="539" w:type="pct"/>
            <w:vMerge w:val="continue"/>
            <w:tcBorders>
              <w:top w:val="single" w:color="000000" w:sz="4" w:space="0"/>
              <w:left w:val="single" w:color="000000" w:sz="6"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278" w:type="pct"/>
            <w:tcBorders>
              <w:top w:val="single" w:color="auto" w:sz="12" w:space="0"/>
              <w:left w:val="single" w:color="auto" w:sz="12" w:space="0"/>
              <w:bottom w:val="single" w:color="000000" w:sz="6"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418" w:type="pct"/>
            <w:tcBorders>
              <w:top w:val="single" w:color="auto" w:sz="12" w:space="0"/>
              <w:left w:val="single" w:color="000000" w:sz="6" w:space="0"/>
              <w:bottom w:val="single" w:color="000000" w:sz="6"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0.2</w:t>
            </w:r>
          </w:p>
        </w:tc>
        <w:tc>
          <w:tcPr>
            <w:tcW w:w="705" w:type="pct"/>
            <w:tcBorders>
              <w:top w:val="single" w:color="auto" w:sz="12" w:space="0"/>
              <w:left w:val="single" w:color="000000" w:sz="6" w:space="0"/>
              <w:bottom w:val="single" w:color="000000" w:sz="6"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0.07-0.09</w:t>
            </w:r>
          </w:p>
        </w:tc>
        <w:tc>
          <w:tcPr>
            <w:tcW w:w="705" w:type="pct"/>
            <w:tcBorders>
              <w:top w:val="single" w:color="auto" w:sz="12" w:space="0"/>
              <w:left w:val="single" w:color="000000" w:sz="6" w:space="0"/>
              <w:bottom w:val="single" w:color="000000" w:sz="6"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0.07-0.09</w:t>
            </w:r>
          </w:p>
        </w:tc>
        <w:tc>
          <w:tcPr>
            <w:tcW w:w="705" w:type="pct"/>
            <w:tcBorders>
              <w:top w:val="single" w:color="auto" w:sz="12" w:space="0"/>
              <w:left w:val="single" w:color="000000" w:sz="6" w:space="0"/>
              <w:bottom w:val="single" w:color="000000" w:sz="6"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0.06-0.09</w:t>
            </w:r>
          </w:p>
        </w:tc>
        <w:tc>
          <w:tcPr>
            <w:tcW w:w="707" w:type="pct"/>
            <w:tcBorders>
              <w:top w:val="single" w:color="auto" w:sz="12" w:space="0"/>
              <w:left w:val="single" w:color="000000" w:sz="6" w:space="0"/>
              <w:bottom w:val="single" w:color="000000" w:sz="6"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0.07-0.09</w:t>
            </w:r>
          </w:p>
        </w:tc>
        <w:tc>
          <w:tcPr>
            <w:tcW w:w="503" w:type="pct"/>
            <w:tcBorders>
              <w:top w:val="single" w:color="auto" w:sz="12" w:space="0"/>
              <w:left w:val="single" w:color="000000" w:sz="6" w:space="0"/>
              <w:bottom w:val="single" w:color="000000" w:sz="6"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w:t>
            </w:r>
          </w:p>
        </w:tc>
        <w:tc>
          <w:tcPr>
            <w:tcW w:w="440" w:type="pct"/>
            <w:tcBorders>
              <w:top w:val="single" w:color="auto" w:sz="12" w:space="0"/>
              <w:left w:val="single" w:color="000000" w:sz="6" w:space="0"/>
              <w:bottom w:val="single" w:color="000000" w:sz="6"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539" w:type="pct"/>
            <w:tcBorders>
              <w:top w:val="single" w:color="auto" w:sz="12" w:space="0"/>
              <w:left w:val="single" w:color="000000" w:sz="6" w:space="0"/>
              <w:bottom w:val="single" w:color="000000" w:sz="6"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45</w:t>
            </w:r>
          </w:p>
        </w:tc>
      </w:tr>
      <w:tr>
        <w:tblPrEx>
          <w:tblCellMar>
            <w:top w:w="0" w:type="dxa"/>
            <w:left w:w="0" w:type="dxa"/>
            <w:bottom w:w="0" w:type="dxa"/>
            <w:right w:w="0" w:type="dxa"/>
          </w:tblCellMar>
        </w:tblPrEx>
        <w:trPr>
          <w:trHeight w:val="397" w:hRule="atLeast"/>
        </w:trPr>
        <w:tc>
          <w:tcPr>
            <w:tcW w:w="278" w:type="pct"/>
            <w:tcBorders>
              <w:top w:val="single" w:color="000000" w:sz="6" w:space="0"/>
              <w:left w:val="single" w:color="auto"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418" w:type="pct"/>
            <w:tcBorders>
              <w:top w:val="single" w:color="000000" w:sz="6"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705" w:type="pct"/>
            <w:tcBorders>
              <w:top w:val="single" w:color="000000" w:sz="6"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0.002-0.003</w:t>
            </w:r>
          </w:p>
        </w:tc>
        <w:tc>
          <w:tcPr>
            <w:tcW w:w="705" w:type="pct"/>
            <w:tcBorders>
              <w:top w:val="single" w:color="000000" w:sz="6"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0.003</w:t>
            </w:r>
          </w:p>
        </w:tc>
        <w:tc>
          <w:tcPr>
            <w:tcW w:w="705" w:type="pct"/>
            <w:tcBorders>
              <w:top w:val="single" w:color="000000" w:sz="6"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0.002-0.004</w:t>
            </w:r>
          </w:p>
        </w:tc>
        <w:tc>
          <w:tcPr>
            <w:tcW w:w="707" w:type="pct"/>
            <w:tcBorders>
              <w:top w:val="single" w:color="000000" w:sz="6"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0.002-0.003</w:t>
            </w:r>
          </w:p>
        </w:tc>
        <w:tc>
          <w:tcPr>
            <w:tcW w:w="503" w:type="pct"/>
            <w:tcBorders>
              <w:top w:val="single" w:color="000000" w:sz="6"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w:t>
            </w:r>
          </w:p>
        </w:tc>
        <w:tc>
          <w:tcPr>
            <w:tcW w:w="440" w:type="pct"/>
            <w:tcBorders>
              <w:top w:val="single" w:color="000000" w:sz="6"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539" w:type="pct"/>
            <w:tcBorders>
              <w:top w:val="single" w:color="000000" w:sz="6" w:space="0"/>
              <w:left w:val="single" w:color="000000" w:sz="6"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40</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由以上监测统计表可知，NH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小时浓度监测范围在0.06~0.09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之间，最大浓度占标率45.0%，未超标；H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S小时浓度监测范围在0.002~0.004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之间，最大浓度占标率40.0%，未超标。</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综上所述，评价区NH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S小时浓度均低于《环境影响评价技术导则 大气环境》（HJ2.2-2018）附录D中氨和硫化氢空气质量浓度限值，评价区环境空气质量现状一般。</w:t>
      </w:r>
    </w:p>
    <w:p>
      <w:pPr>
        <w:pStyle w:val="4"/>
        <w:rPr>
          <w:rFonts w:cs="Times New Roman"/>
          <w:color w:val="000000" w:themeColor="text1"/>
          <w14:textFill>
            <w14:solidFill>
              <w14:schemeClr w14:val="tx1"/>
            </w14:solidFill>
          </w14:textFill>
        </w:rPr>
      </w:pPr>
      <w:bookmarkStart w:id="494" w:name="_Toc91163905"/>
      <w:r>
        <w:rPr>
          <w:rFonts w:cs="Times New Roman"/>
          <w:color w:val="000000" w:themeColor="text1"/>
          <w14:textFill>
            <w14:solidFill>
              <w14:schemeClr w14:val="tx1"/>
            </w14:solidFill>
          </w14:textFill>
        </w:rPr>
        <w:t>4.2.2 地表水环境质量现状调查与评价</w:t>
      </w:r>
      <w:bookmarkEnd w:id="489"/>
      <w:bookmarkEnd w:id="490"/>
      <w:bookmarkEnd w:id="491"/>
      <w:bookmarkEnd w:id="492"/>
      <w:bookmarkEnd w:id="493"/>
      <w:bookmarkEnd w:id="494"/>
    </w:p>
    <w:p>
      <w:pPr>
        <w:ind w:firstLine="480"/>
        <w:rPr>
          <w:rFonts w:cs="Times New Roman"/>
          <w:color w:val="000000" w:themeColor="text1"/>
          <w14:textFill>
            <w14:solidFill>
              <w14:schemeClr w14:val="tx1"/>
            </w14:solidFill>
          </w14:textFill>
        </w:rPr>
      </w:pPr>
      <w:bookmarkStart w:id="495" w:name="_Toc47619195"/>
      <w:bookmarkStart w:id="496" w:name="_Toc47619857"/>
      <w:bookmarkStart w:id="497" w:name="_Toc47620043"/>
      <w:bookmarkStart w:id="498" w:name="_Toc52791911"/>
      <w:bookmarkStart w:id="499" w:name="_Toc58362818"/>
      <w:r>
        <w:rPr>
          <w:rFonts w:cs="Times New Roman"/>
          <w:color w:val="000000" w:themeColor="text1"/>
          <w14:textFill>
            <w14:solidFill>
              <w14:schemeClr w14:val="tx1"/>
            </w14:solidFill>
          </w14:textFill>
        </w:rPr>
        <w:t>根据《环境影响评价技术导则 地表水环境》（HJ2.3-2018）表1水污染影响型建设项目评价等级判定所述，建设项目生产工艺中有废水产生且间接排放的建设项目地表水评价等级为三级B评价，水污染影响型三级B评价，可不开展区域污染源调查。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本项目废水经厌氧发酵处理后储存于场区沼液塘，施肥季用于周围农田施肥，废水不外排，因此本项目不对地表水现状进行监测。</w:t>
      </w:r>
    </w:p>
    <w:p>
      <w:pPr>
        <w:ind w:firstLine="480"/>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评价引用长治市生态环境局在其官网(https://sthjj.changzhi.gov.cn/hjgl/hjzl/)发布的2020年1月至2021年10月的长治市地表水环境质量月报中绛河-司徒桥断面（国家考核断面），说明项目所在区域最近地表水绛河的水环境质量现状。2020年1月至2021年10月的长治市地表水环境质量月报统计结果见表4.2-5。</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表4.2-5 长治市地表水环境质量月报-绛河-司徒桥断面统计结果</w:t>
      </w:r>
    </w:p>
    <w:tbl>
      <w:tblPr>
        <w:tblStyle w:val="3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682"/>
        <w:gridCol w:w="682"/>
        <w:gridCol w:w="682"/>
        <w:gridCol w:w="682"/>
        <w:gridCol w:w="682"/>
        <w:gridCol w:w="711"/>
        <w:gridCol w:w="656"/>
        <w:gridCol w:w="682"/>
        <w:gridCol w:w="622"/>
        <w:gridCol w:w="741"/>
        <w:gridCol w:w="754"/>
        <w:gridCol w:w="7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24" w:type="pct"/>
            <w:tcBorders>
              <w:top w:val="single" w:color="auto" w:sz="12" w:space="0"/>
              <w:bottom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水期</w:t>
            </w:r>
          </w:p>
        </w:tc>
        <w:tc>
          <w:tcPr>
            <w:tcW w:w="2218" w:type="pct"/>
            <w:gridSpan w:val="6"/>
            <w:tcBorders>
              <w:top w:val="single" w:color="auto" w:sz="12" w:space="0"/>
              <w:bottom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枯</w:t>
            </w:r>
          </w:p>
        </w:tc>
        <w:tc>
          <w:tcPr>
            <w:tcW w:w="1055" w:type="pct"/>
            <w:gridSpan w:val="3"/>
            <w:tcBorders>
              <w:top w:val="single" w:color="auto" w:sz="12" w:space="0"/>
              <w:bottom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丰</w:t>
            </w:r>
          </w:p>
        </w:tc>
        <w:tc>
          <w:tcPr>
            <w:tcW w:w="399" w:type="pct"/>
            <w:tcBorders>
              <w:top w:val="single" w:color="auto" w:sz="12" w:space="0"/>
              <w:bottom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平</w:t>
            </w:r>
          </w:p>
        </w:tc>
        <w:tc>
          <w:tcPr>
            <w:tcW w:w="804" w:type="pct"/>
            <w:gridSpan w:val="2"/>
            <w:tcBorders>
              <w:top w:val="single" w:color="auto" w:sz="12" w:space="0"/>
              <w:bottom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24" w:type="pct"/>
            <w:tcBorders>
              <w:top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月份</w:t>
            </w:r>
          </w:p>
        </w:tc>
        <w:tc>
          <w:tcPr>
            <w:tcW w:w="367" w:type="pct"/>
            <w:tcBorders>
              <w:top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1月</w:t>
            </w:r>
          </w:p>
        </w:tc>
        <w:tc>
          <w:tcPr>
            <w:tcW w:w="367" w:type="pct"/>
            <w:tcBorders>
              <w:top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2月</w:t>
            </w:r>
          </w:p>
        </w:tc>
        <w:tc>
          <w:tcPr>
            <w:tcW w:w="367" w:type="pct"/>
            <w:tcBorders>
              <w:top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3月</w:t>
            </w:r>
          </w:p>
        </w:tc>
        <w:tc>
          <w:tcPr>
            <w:tcW w:w="367" w:type="pct"/>
            <w:tcBorders>
              <w:top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4月</w:t>
            </w:r>
          </w:p>
        </w:tc>
        <w:tc>
          <w:tcPr>
            <w:tcW w:w="367" w:type="pct"/>
            <w:tcBorders>
              <w:top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5月</w:t>
            </w:r>
          </w:p>
        </w:tc>
        <w:tc>
          <w:tcPr>
            <w:tcW w:w="382" w:type="pct"/>
            <w:tcBorders>
              <w:top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6月</w:t>
            </w:r>
          </w:p>
        </w:tc>
        <w:tc>
          <w:tcPr>
            <w:tcW w:w="353" w:type="pct"/>
            <w:tcBorders>
              <w:top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7月</w:t>
            </w:r>
          </w:p>
        </w:tc>
        <w:tc>
          <w:tcPr>
            <w:tcW w:w="367" w:type="pct"/>
            <w:tcBorders>
              <w:top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8月</w:t>
            </w:r>
          </w:p>
        </w:tc>
        <w:tc>
          <w:tcPr>
            <w:tcW w:w="335" w:type="pct"/>
            <w:tcBorders>
              <w:top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9月</w:t>
            </w:r>
          </w:p>
        </w:tc>
        <w:tc>
          <w:tcPr>
            <w:tcW w:w="399" w:type="pct"/>
            <w:tcBorders>
              <w:top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10月</w:t>
            </w:r>
          </w:p>
        </w:tc>
        <w:tc>
          <w:tcPr>
            <w:tcW w:w="406" w:type="pct"/>
            <w:tcBorders>
              <w:top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11月</w:t>
            </w:r>
          </w:p>
        </w:tc>
        <w:tc>
          <w:tcPr>
            <w:tcW w:w="398" w:type="pct"/>
            <w:tcBorders>
              <w:top w:val="single" w:color="auto" w:sz="12" w:space="0"/>
            </w:tcBorders>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24"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2020年</w:t>
            </w:r>
          </w:p>
        </w:tc>
        <w:tc>
          <w:tcPr>
            <w:tcW w:w="367"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Ⅲ</w:t>
            </w:r>
          </w:p>
        </w:tc>
        <w:tc>
          <w:tcPr>
            <w:tcW w:w="367"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Ⅱ</w:t>
            </w:r>
          </w:p>
        </w:tc>
        <w:tc>
          <w:tcPr>
            <w:tcW w:w="367"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Ⅲ</w:t>
            </w:r>
          </w:p>
        </w:tc>
        <w:tc>
          <w:tcPr>
            <w:tcW w:w="367"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Ⅲ</w:t>
            </w:r>
          </w:p>
        </w:tc>
        <w:tc>
          <w:tcPr>
            <w:tcW w:w="367"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eastAsia="仿宋" w:asciiTheme="minorHAnsi" w:hAnsiTheme="minorHAnsi" w:cstheme="minorBidi"/>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 = 5 \* ROMAN </w:instrText>
            </w:r>
            <w:r>
              <w:rPr>
                <w:rFonts w:eastAsia="仿宋" w:asciiTheme="minorHAnsi" w:hAnsiTheme="minorHAnsi" w:cstheme="minorBidi"/>
                <w:color w:val="000000" w:themeColor="text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V</w:t>
            </w:r>
            <w:r>
              <w:rPr>
                <w:rFonts w:eastAsia="仿宋" w:asciiTheme="minorHAnsi" w:hAnsiTheme="minorHAnsi" w:cstheme="minorBidi"/>
                <w:color w:val="000000" w:themeColor="text1"/>
                <w:szCs w:val="21"/>
                <w14:textFill>
                  <w14:solidFill>
                    <w14:schemeClr w14:val="tx1"/>
                  </w14:solidFill>
                </w14:textFill>
              </w:rPr>
              <w:fldChar w:fldCharType="end"/>
            </w:r>
          </w:p>
        </w:tc>
        <w:tc>
          <w:tcPr>
            <w:tcW w:w="382"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eastAsia="仿宋" w:asciiTheme="minorHAnsi" w:hAnsiTheme="minorHAnsi" w:cstheme="minorBidi"/>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 = 5 \* ROMAN </w:instrText>
            </w:r>
            <w:r>
              <w:rPr>
                <w:rFonts w:eastAsia="仿宋" w:asciiTheme="minorHAnsi" w:hAnsiTheme="minorHAnsi" w:cstheme="minorBidi"/>
                <w:color w:val="000000" w:themeColor="text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V</w:t>
            </w:r>
            <w:r>
              <w:rPr>
                <w:rFonts w:eastAsia="仿宋" w:asciiTheme="minorHAnsi" w:hAnsiTheme="minorHAnsi" w:cstheme="minorBidi"/>
                <w:color w:val="000000" w:themeColor="text1"/>
                <w:szCs w:val="21"/>
                <w14:textFill>
                  <w14:solidFill>
                    <w14:schemeClr w14:val="tx1"/>
                  </w14:solidFill>
                </w14:textFill>
              </w:rPr>
              <w:fldChar w:fldCharType="end"/>
            </w:r>
          </w:p>
        </w:tc>
        <w:tc>
          <w:tcPr>
            <w:tcW w:w="353"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Ⅲ</w:t>
            </w:r>
          </w:p>
        </w:tc>
        <w:tc>
          <w:tcPr>
            <w:tcW w:w="367"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Ⅳ</w:t>
            </w:r>
          </w:p>
        </w:tc>
        <w:tc>
          <w:tcPr>
            <w:tcW w:w="335"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Ⅳ</w:t>
            </w:r>
          </w:p>
        </w:tc>
        <w:tc>
          <w:tcPr>
            <w:tcW w:w="399"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Ⅲ</w:t>
            </w:r>
          </w:p>
        </w:tc>
        <w:tc>
          <w:tcPr>
            <w:tcW w:w="406"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eastAsia="仿宋" w:asciiTheme="minorHAnsi" w:hAnsiTheme="minorHAnsi" w:cstheme="minorBidi"/>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 = 5 \* ROMAN </w:instrText>
            </w:r>
            <w:r>
              <w:rPr>
                <w:rFonts w:eastAsia="仿宋" w:asciiTheme="minorHAnsi" w:hAnsiTheme="minorHAnsi" w:cstheme="minorBidi"/>
                <w:color w:val="000000" w:themeColor="text1"/>
                <w:szCs w:val="21"/>
                <w14:textFill>
                  <w14:solidFill>
                    <w14:schemeClr w14:val="tx1"/>
                  </w14:solidFill>
                </w14:textFill>
              </w:rPr>
              <w:fldChar w:fldCharType="separate"/>
            </w:r>
            <w:r>
              <w:rPr>
                <w:rFonts w:ascii="Times New Roman" w:hAnsi="Times New Roman" w:eastAsia="宋体" w:cs="Times New Roman"/>
                <w:color w:val="000000" w:themeColor="text1"/>
                <w:szCs w:val="21"/>
                <w14:textFill>
                  <w14:solidFill>
                    <w14:schemeClr w14:val="tx1"/>
                  </w14:solidFill>
                </w14:textFill>
              </w:rPr>
              <w:t>V</w:t>
            </w:r>
            <w:r>
              <w:rPr>
                <w:rFonts w:eastAsia="仿宋" w:asciiTheme="minorHAnsi" w:hAnsiTheme="minorHAnsi" w:cstheme="minorBidi"/>
                <w:color w:val="000000" w:themeColor="text1"/>
                <w:szCs w:val="21"/>
                <w14:textFill>
                  <w14:solidFill>
                    <w14:schemeClr w14:val="tx1"/>
                  </w14:solidFill>
                </w14:textFill>
              </w:rPr>
              <w:fldChar w:fldCharType="end"/>
            </w:r>
          </w:p>
        </w:tc>
        <w:tc>
          <w:tcPr>
            <w:tcW w:w="398"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24"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2021年</w:t>
            </w:r>
          </w:p>
        </w:tc>
        <w:tc>
          <w:tcPr>
            <w:tcW w:w="367"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Ⅱ</w:t>
            </w:r>
          </w:p>
        </w:tc>
        <w:tc>
          <w:tcPr>
            <w:tcW w:w="367"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Ⅲ</w:t>
            </w:r>
          </w:p>
        </w:tc>
        <w:tc>
          <w:tcPr>
            <w:tcW w:w="367"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Ⅲ</w:t>
            </w:r>
          </w:p>
        </w:tc>
        <w:tc>
          <w:tcPr>
            <w:tcW w:w="367"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Ⅳ</w:t>
            </w:r>
          </w:p>
        </w:tc>
        <w:tc>
          <w:tcPr>
            <w:tcW w:w="367"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Ⅳ</w:t>
            </w:r>
          </w:p>
        </w:tc>
        <w:tc>
          <w:tcPr>
            <w:tcW w:w="382"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Ⅳ</w:t>
            </w:r>
          </w:p>
        </w:tc>
        <w:tc>
          <w:tcPr>
            <w:tcW w:w="353"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Ⅳ</w:t>
            </w:r>
          </w:p>
        </w:tc>
        <w:tc>
          <w:tcPr>
            <w:tcW w:w="367"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Ⅳ</w:t>
            </w:r>
          </w:p>
        </w:tc>
        <w:tc>
          <w:tcPr>
            <w:tcW w:w="335"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Ⅳ</w:t>
            </w:r>
          </w:p>
        </w:tc>
        <w:tc>
          <w:tcPr>
            <w:tcW w:w="399"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Ⅲ</w:t>
            </w:r>
          </w:p>
        </w:tc>
        <w:tc>
          <w:tcPr>
            <w:tcW w:w="406"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p>
        </w:tc>
        <w:tc>
          <w:tcPr>
            <w:tcW w:w="398" w:type="pct"/>
            <w:noWrap/>
            <w:vAlign w:val="center"/>
          </w:tcPr>
          <w:p>
            <w:pPr>
              <w:pStyle w:val="332"/>
              <w:rPr>
                <w:rFonts w:ascii="Times New Roman" w:hAnsi="Times New Roman" w:eastAsia="宋体" w:cs="Times New Roman"/>
                <w:color w:val="000000" w:themeColor="text1"/>
                <w:szCs w:val="21"/>
                <w14:textFill>
                  <w14:solidFill>
                    <w14:schemeClr w14:val="tx1"/>
                  </w14:solidFill>
                </w14:textFill>
              </w:rPr>
            </w:pP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根据2020年1月至2021年10月长治市地表水环境质量绛河-司徒桥断面（国家考核断面）统计结果表明，绛河-司徒桥断面水质达不到《地表水环境质量标准》（GB3838-2002）中Ⅱ类标准。司徒桥断面水质未达标。</w:t>
      </w:r>
    </w:p>
    <w:p>
      <w:pPr>
        <w:pStyle w:val="4"/>
        <w:rPr>
          <w:rFonts w:cs="Times New Roman"/>
          <w:color w:val="000000" w:themeColor="text1"/>
          <w14:textFill>
            <w14:solidFill>
              <w14:schemeClr w14:val="tx1"/>
            </w14:solidFill>
          </w14:textFill>
        </w:rPr>
      </w:pPr>
      <w:bookmarkStart w:id="500" w:name="_Toc91163906"/>
      <w:r>
        <w:rPr>
          <w:rFonts w:cs="Times New Roman"/>
          <w:color w:val="000000" w:themeColor="text1"/>
          <w14:textFill>
            <w14:solidFill>
              <w14:schemeClr w14:val="tx1"/>
            </w14:solidFill>
          </w14:textFill>
        </w:rPr>
        <w:t>4.2.3 地下水环境质量现状调查与评价</w:t>
      </w:r>
      <w:bookmarkEnd w:id="495"/>
      <w:bookmarkEnd w:id="496"/>
      <w:bookmarkEnd w:id="497"/>
      <w:bookmarkEnd w:id="498"/>
      <w:bookmarkEnd w:id="499"/>
      <w:bookmarkEnd w:id="500"/>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为了解本项目的地下水环境质量现状，建设单位委托山西京诚检测技术有限公司于2021年8月9日对评价区内的苗岭村、牛角川村、东庄村的地下水环境质量进行监测。</w:t>
      </w:r>
    </w:p>
    <w:p>
      <w:pPr>
        <w:pStyle w:val="5"/>
        <w:rPr>
          <w:color w:val="000000" w:themeColor="text1"/>
          <w14:textFill>
            <w14:solidFill>
              <w14:schemeClr w14:val="tx1"/>
            </w14:solidFill>
          </w14:textFill>
        </w:rPr>
      </w:pPr>
      <w:r>
        <w:rPr>
          <w:color w:val="000000" w:themeColor="text1"/>
          <w14:textFill>
            <w14:solidFill>
              <w14:schemeClr w14:val="tx1"/>
            </w14:solidFill>
          </w14:textFill>
        </w:rPr>
        <w:t>4.2.3.1 地下水环境质量现状监测</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1、监测点位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本次评价共设3个地下水水质监测点，5个水位监测点，监测布点情况见表4.2-5，</w:t>
      </w:r>
      <w:r>
        <w:rPr>
          <w:rFonts w:cs="Times New Roman"/>
          <w:color w:val="000000" w:themeColor="text1"/>
          <w:kern w:val="0"/>
          <w:szCs w:val="24"/>
          <w14:textFill>
            <w14:solidFill>
              <w14:schemeClr w14:val="tx1"/>
            </w14:solidFill>
          </w14:textFill>
        </w:rPr>
        <w:t>监测布点图见图4.2-1。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表4.2-5 地下水水质、水位环境现状监测布点</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1"/>
        <w:gridCol w:w="1694"/>
        <w:gridCol w:w="2010"/>
        <w:gridCol w:w="2010"/>
        <w:gridCol w:w="1270"/>
        <w:gridCol w:w="14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54" w:type="pct"/>
            <w:gridSpan w:val="2"/>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点位名称</w:t>
            </w:r>
          </w:p>
        </w:tc>
        <w:tc>
          <w:tcPr>
            <w:tcW w:w="1082" w:type="pct"/>
            <w:tcBorders>
              <w:top w:val="single" w:color="auto" w:sz="12" w:space="0"/>
              <w:bottom w:val="single" w:color="auto" w:sz="12" w:space="0"/>
            </w:tcBorders>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经度</w:t>
            </w:r>
          </w:p>
        </w:tc>
        <w:tc>
          <w:tcPr>
            <w:tcW w:w="1082" w:type="pct"/>
            <w:tcBorders>
              <w:top w:val="single" w:color="auto" w:sz="12" w:space="0"/>
              <w:bottom w:val="single" w:color="auto" w:sz="12" w:space="0"/>
            </w:tcBorders>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纬度</w:t>
            </w:r>
          </w:p>
        </w:tc>
        <w:tc>
          <w:tcPr>
            <w:tcW w:w="68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方位</w:t>
            </w:r>
          </w:p>
        </w:tc>
        <w:tc>
          <w:tcPr>
            <w:tcW w:w="798" w:type="pct"/>
            <w:tcBorders>
              <w:top w:val="single" w:color="auto" w:sz="12"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距离/km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pct"/>
            <w:tcBorders>
              <w:top w:val="single" w:color="auto" w:sz="12" w:space="0"/>
              <w:bottom w:val="single" w:color="auto"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911" w:type="pct"/>
            <w:tcBorders>
              <w:top w:val="single" w:color="auto" w:sz="12" w:space="0"/>
              <w:bottom w:val="single" w:color="auto"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苗岭村</w:t>
            </w:r>
          </w:p>
        </w:tc>
        <w:tc>
          <w:tcPr>
            <w:tcW w:w="1082" w:type="pct"/>
            <w:tcBorders>
              <w:top w:val="single" w:color="auto" w:sz="12" w:space="0"/>
            </w:tcBorders>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112º49'2"</w:t>
            </w:r>
          </w:p>
        </w:tc>
        <w:tc>
          <w:tcPr>
            <w:tcW w:w="1082" w:type="pct"/>
            <w:tcBorders>
              <w:top w:val="single" w:color="auto" w:sz="12" w:space="0"/>
            </w:tcBorders>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36º16'41"</w:t>
            </w:r>
          </w:p>
        </w:tc>
        <w:tc>
          <w:tcPr>
            <w:tcW w:w="68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NW</w:t>
            </w:r>
          </w:p>
        </w:tc>
        <w:tc>
          <w:tcPr>
            <w:tcW w:w="798" w:type="pct"/>
            <w:tcBorders>
              <w:top w:val="single" w:color="auto" w:sz="12" w:space="0"/>
              <w:bottom w:val="single" w:color="auto" w:sz="6"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pct"/>
            <w:tcBorders>
              <w:top w:val="single" w:color="auto"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911" w:type="pct"/>
            <w:tcBorders>
              <w:top w:val="single" w:color="auto"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牛角川</w:t>
            </w:r>
          </w:p>
        </w:tc>
        <w:tc>
          <w:tcPr>
            <w:tcW w:w="1082"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112º50'16"</w:t>
            </w:r>
          </w:p>
        </w:tc>
        <w:tc>
          <w:tcPr>
            <w:tcW w:w="1082"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36º19'49"</w:t>
            </w:r>
          </w:p>
        </w:tc>
        <w:tc>
          <w:tcPr>
            <w:tcW w:w="68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NE</w:t>
            </w:r>
          </w:p>
        </w:tc>
        <w:tc>
          <w:tcPr>
            <w:tcW w:w="798" w:type="pct"/>
            <w:tcBorders>
              <w:top w:val="single" w:color="auto" w:sz="6"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pct"/>
            <w:tcBorders>
              <w:top w:val="single" w:color="auto"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911" w:type="pct"/>
            <w:tcBorders>
              <w:top w:val="single" w:color="auto"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东庄村</w:t>
            </w:r>
          </w:p>
        </w:tc>
        <w:tc>
          <w:tcPr>
            <w:tcW w:w="1082"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112º50'19"</w:t>
            </w:r>
          </w:p>
        </w:tc>
        <w:tc>
          <w:tcPr>
            <w:tcW w:w="1082"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36º15'47"</w:t>
            </w:r>
          </w:p>
        </w:tc>
        <w:tc>
          <w:tcPr>
            <w:tcW w:w="68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SE</w:t>
            </w:r>
          </w:p>
        </w:tc>
        <w:tc>
          <w:tcPr>
            <w:tcW w:w="798" w:type="pct"/>
            <w:tcBorders>
              <w:top w:val="single" w:color="auto" w:sz="6"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pct"/>
            <w:tcBorders>
              <w:top w:val="single" w:color="auto"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911" w:type="pct"/>
            <w:tcBorders>
              <w:top w:val="single" w:color="auto"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杜村</w:t>
            </w:r>
          </w:p>
        </w:tc>
        <w:tc>
          <w:tcPr>
            <w:tcW w:w="1082"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112º49'38"</w:t>
            </w:r>
          </w:p>
        </w:tc>
        <w:tc>
          <w:tcPr>
            <w:tcW w:w="1082"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36º15'42"</w:t>
            </w:r>
          </w:p>
        </w:tc>
        <w:tc>
          <w:tcPr>
            <w:tcW w:w="68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SW</w:t>
            </w:r>
          </w:p>
        </w:tc>
        <w:tc>
          <w:tcPr>
            <w:tcW w:w="798" w:type="pct"/>
            <w:tcBorders>
              <w:top w:val="single" w:color="auto" w:sz="6"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pct"/>
            <w:tcBorders>
              <w:top w:val="single" w:color="auto"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911" w:type="pct"/>
            <w:tcBorders>
              <w:top w:val="single" w:color="auto"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杨家湾村</w:t>
            </w:r>
          </w:p>
        </w:tc>
        <w:tc>
          <w:tcPr>
            <w:tcW w:w="1082"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112º49'25"</w:t>
            </w:r>
          </w:p>
        </w:tc>
        <w:tc>
          <w:tcPr>
            <w:tcW w:w="1082"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36º17'28"</w:t>
            </w:r>
          </w:p>
        </w:tc>
        <w:tc>
          <w:tcPr>
            <w:tcW w:w="68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w:t>
            </w:r>
          </w:p>
        </w:tc>
        <w:tc>
          <w:tcPr>
            <w:tcW w:w="798" w:type="pct"/>
            <w:tcBorders>
              <w:top w:val="single" w:color="auto" w:sz="6"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1.83</w:t>
            </w: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2、监测项目</w:t>
      </w:r>
      <w:bookmarkStart w:id="501" w:name="图像_(28)"/>
      <w:bookmarkEnd w:id="501"/>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bCs/>
          <w:color w:val="000000" w:themeColor="text1"/>
          <w14:textFill>
            <w14:solidFill>
              <w14:schemeClr w14:val="tx1"/>
            </w14:solidFill>
          </w14:textFill>
        </w:rPr>
        <w:t>K</w:t>
      </w:r>
      <w:r>
        <w:rPr>
          <w:rFonts w:cs="Times New Roman"/>
          <w:bCs/>
          <w:color w:val="000000" w:themeColor="text1"/>
          <w:vertAlign w:val="superscript"/>
          <w14:textFill>
            <w14:solidFill>
              <w14:schemeClr w14:val="tx1"/>
            </w14:solidFill>
          </w14:textFill>
        </w:rPr>
        <w:t>+</w:t>
      </w:r>
      <w:r>
        <w:rPr>
          <w:rFonts w:cs="Times New Roman"/>
          <w:bCs/>
          <w:color w:val="000000" w:themeColor="text1"/>
          <w14:textFill>
            <w14:solidFill>
              <w14:schemeClr w14:val="tx1"/>
            </w14:solidFill>
          </w14:textFill>
        </w:rPr>
        <w:t>、Na</w:t>
      </w:r>
      <w:r>
        <w:rPr>
          <w:rFonts w:cs="Times New Roman"/>
          <w:bCs/>
          <w:color w:val="000000" w:themeColor="text1"/>
          <w:vertAlign w:val="superscript"/>
          <w14:textFill>
            <w14:solidFill>
              <w14:schemeClr w14:val="tx1"/>
            </w14:solidFill>
          </w14:textFill>
        </w:rPr>
        <w:t>+</w:t>
      </w:r>
      <w:r>
        <w:rPr>
          <w:rFonts w:cs="Times New Roman"/>
          <w:bCs/>
          <w:color w:val="000000" w:themeColor="text1"/>
          <w14:textFill>
            <w14:solidFill>
              <w14:schemeClr w14:val="tx1"/>
            </w14:solidFill>
          </w14:textFill>
        </w:rPr>
        <w:t>、Ca</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、Mg</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、CO</w:t>
      </w:r>
      <w:r>
        <w:rPr>
          <w:rFonts w:cs="Times New Roman"/>
          <w:bCs/>
          <w:color w:val="000000" w:themeColor="text1"/>
          <w:vertAlign w:val="subscript"/>
          <w14:textFill>
            <w14:solidFill>
              <w14:schemeClr w14:val="tx1"/>
            </w14:solidFill>
          </w14:textFill>
        </w:rPr>
        <w:t>3</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、HCO</w:t>
      </w:r>
      <w:r>
        <w:rPr>
          <w:rFonts w:cs="Times New Roman"/>
          <w:bCs/>
          <w:color w:val="000000" w:themeColor="text1"/>
          <w:vertAlign w:val="subscript"/>
          <w14:textFill>
            <w14:solidFill>
              <w14:schemeClr w14:val="tx1"/>
            </w14:solidFill>
          </w14:textFill>
        </w:rPr>
        <w:t>3</w:t>
      </w:r>
      <w:r>
        <w:rPr>
          <w:rFonts w:cs="Times New Roman"/>
          <w:bCs/>
          <w:color w:val="000000" w:themeColor="text1"/>
          <w:vertAlign w:val="superscript"/>
          <w14:textFill>
            <w14:solidFill>
              <w14:schemeClr w14:val="tx1"/>
            </w14:solidFill>
          </w14:textFill>
        </w:rPr>
        <w:t>-</w:t>
      </w:r>
      <w:r>
        <w:rPr>
          <w:rFonts w:cs="Times New Roman"/>
          <w:bCs/>
          <w:color w:val="000000" w:themeColor="text1"/>
          <w14:textFill>
            <w14:solidFill>
              <w14:schemeClr w14:val="tx1"/>
            </w14:solidFill>
          </w14:textFill>
        </w:rPr>
        <w:t>、Cl</w:t>
      </w:r>
      <w:r>
        <w:rPr>
          <w:rFonts w:cs="Times New Roman"/>
          <w:bCs/>
          <w:color w:val="000000" w:themeColor="text1"/>
          <w:vertAlign w:val="superscript"/>
          <w14:textFill>
            <w14:solidFill>
              <w14:schemeClr w14:val="tx1"/>
            </w14:solidFill>
          </w14:textFill>
        </w:rPr>
        <w:t>-</w:t>
      </w:r>
      <w:r>
        <w:rPr>
          <w:rFonts w:cs="Times New Roman"/>
          <w:bCs/>
          <w:color w:val="000000" w:themeColor="text1"/>
          <w14:textFill>
            <w14:solidFill>
              <w14:schemeClr w14:val="tx1"/>
            </w14:solidFill>
          </w14:textFill>
        </w:rPr>
        <w:t>、SO</w:t>
      </w:r>
      <w:r>
        <w:rPr>
          <w:rFonts w:cs="Times New Roman"/>
          <w:bCs/>
          <w:color w:val="000000" w:themeColor="text1"/>
          <w:vertAlign w:val="subscript"/>
          <w14:textFill>
            <w14:solidFill>
              <w14:schemeClr w14:val="tx1"/>
            </w14:solidFill>
          </w14:textFill>
        </w:rPr>
        <w:t>4</w:t>
      </w:r>
      <w:r>
        <w:rPr>
          <w:rFonts w:cs="Times New Roman"/>
          <w:bCs/>
          <w:color w:val="000000" w:themeColor="text1"/>
          <w:vertAlign w:val="superscript"/>
          <w14:textFill>
            <w14:solidFill>
              <w14:schemeClr w14:val="tx1"/>
            </w14:solidFill>
          </w14:textFill>
        </w:rPr>
        <w:t>2-</w:t>
      </w:r>
      <w:r>
        <w:rPr>
          <w:rFonts w:cs="Times New Roman"/>
          <w:bCs/>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基本水质因子：pH、氨氮、硝酸盐、亚硝酸盐、挥发性酚类、氰化物、砷、汞、铬（六价）、总硬度、铅、氟、镉、铁、</w:t>
      </w:r>
      <w:r>
        <w:rPr>
          <w:rFonts w:cs="Times New Roman"/>
          <w:bCs/>
          <w:color w:val="000000" w:themeColor="text1"/>
          <w14:textFill>
            <w14:solidFill>
              <w14:schemeClr w14:val="tx1"/>
            </w14:solidFill>
          </w14:textFill>
        </w:rPr>
        <w:t>锰、</w:t>
      </w:r>
      <w:r>
        <w:rPr>
          <w:rFonts w:cs="Times New Roman"/>
          <w:color w:val="000000" w:themeColor="text1"/>
          <w14:textFill>
            <w14:solidFill>
              <w14:schemeClr w14:val="tx1"/>
            </w14:solidFill>
          </w14:textFill>
        </w:rPr>
        <w:t>溶解性总固体、耗氧量、硫酸盐、氯化物、总大肠菌群、细菌总数，共计21项。</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3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同步记录水井的坐标、井深、水位、水温。</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3、监测时间及频率</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监测时间：2021年8月9日，采样一次，监测一天。</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4、采样与分析方法</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按照《地下水监测技术规范》(HJ/T 164-2004)和《环境影响评价技术导则 地下水环境》（HJ610-2016）的要求进行采样和分析。</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5、监测结果</w:t>
      </w:r>
    </w:p>
    <w:p>
      <w:pPr>
        <w:ind w:firstLine="480"/>
        <w:rPr>
          <w:rFonts w:cs="Times New Roman"/>
          <w:color w:val="000000" w:themeColor="text1"/>
          <w14:textFill>
            <w14:solidFill>
              <w14:schemeClr w14:val="tx1"/>
            </w14:solidFill>
          </w14:textFill>
        </w:rPr>
        <w:sectPr>
          <w:endnotePr>
            <w:numFmt w:val="decimal"/>
          </w:endnotePr>
          <w:pgSz w:w="11907" w:h="16840"/>
          <w:pgMar w:top="1531" w:right="1418" w:bottom="1531" w:left="1418" w:header="1134" w:footer="1021" w:gutter="0"/>
          <w:cols w:space="720" w:num="1"/>
          <w:docGrid w:linePitch="312" w:charSpace="0"/>
        </w:sectPr>
      </w:pPr>
      <w:r>
        <w:rPr>
          <w:rFonts w:cs="Times New Roman"/>
          <w:color w:val="000000" w:themeColor="text1"/>
          <w14:textFill>
            <w14:solidFill>
              <w14:schemeClr w14:val="tx1"/>
            </w14:solidFill>
          </w14:textFill>
        </w:rPr>
        <w:t>评价区地下水水质现状监测结果列于表4.2-6、表4.2-7。</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表4.2-6 地下水水质监测结果   （单位：mg/L）</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938"/>
        <w:gridCol w:w="837"/>
        <w:gridCol w:w="1464"/>
        <w:gridCol w:w="1153"/>
        <w:gridCol w:w="1010"/>
        <w:gridCol w:w="1010"/>
        <w:gridCol w:w="1010"/>
        <w:gridCol w:w="1156"/>
        <w:gridCol w:w="1371"/>
        <w:gridCol w:w="1145"/>
        <w:gridCol w:w="938"/>
        <w:gridCol w:w="8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5"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点位</w:t>
            </w:r>
          </w:p>
        </w:tc>
        <w:tc>
          <w:tcPr>
            <w:tcW w:w="335"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pH值</w:t>
            </w:r>
          </w:p>
        </w:tc>
        <w:tc>
          <w:tcPr>
            <w:tcW w:w="299"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523"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硝酸盐</w:t>
            </w:r>
          </w:p>
          <w:p>
            <w:pPr>
              <w:pStyle w:val="332"/>
              <w:rPr>
                <w:color w:val="000000" w:themeColor="text1"/>
                <w14:textFill>
                  <w14:solidFill>
                    <w14:schemeClr w14:val="tx1"/>
                  </w14:solidFill>
                </w14:textFill>
              </w:rPr>
            </w:pPr>
            <w:r>
              <w:rPr>
                <w:color w:val="000000" w:themeColor="text1"/>
                <w14:textFill>
                  <w14:solidFill>
                    <w14:schemeClr w14:val="tx1"/>
                  </w14:solidFill>
                </w14:textFill>
              </w:rPr>
              <w:t>（以N计）</w:t>
            </w:r>
          </w:p>
        </w:tc>
        <w:tc>
          <w:tcPr>
            <w:tcW w:w="412"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亚硝酸盐</w:t>
            </w:r>
          </w:p>
        </w:tc>
        <w:tc>
          <w:tcPr>
            <w:tcW w:w="361"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挥发酚</w:t>
            </w:r>
          </w:p>
        </w:tc>
        <w:tc>
          <w:tcPr>
            <w:tcW w:w="361"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氰化物</w:t>
            </w:r>
          </w:p>
        </w:tc>
        <w:tc>
          <w:tcPr>
            <w:tcW w:w="361"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413"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490"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铬（六价）</w:t>
            </w:r>
          </w:p>
        </w:tc>
        <w:tc>
          <w:tcPr>
            <w:tcW w:w="409"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总硬度</w:t>
            </w:r>
          </w:p>
        </w:tc>
        <w:tc>
          <w:tcPr>
            <w:tcW w:w="335"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31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氟化物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5"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1#苗岭村</w:t>
            </w:r>
          </w:p>
        </w:tc>
        <w:tc>
          <w:tcPr>
            <w:tcW w:w="335"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7.2</w:t>
            </w:r>
          </w:p>
        </w:tc>
        <w:tc>
          <w:tcPr>
            <w:tcW w:w="299"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0.02L</w:t>
            </w:r>
          </w:p>
        </w:tc>
        <w:tc>
          <w:tcPr>
            <w:tcW w:w="523"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3.68</w:t>
            </w:r>
          </w:p>
        </w:tc>
        <w:tc>
          <w:tcPr>
            <w:tcW w:w="412"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361"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0.002L</w:t>
            </w:r>
          </w:p>
        </w:tc>
        <w:tc>
          <w:tcPr>
            <w:tcW w:w="361"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0.002L</w:t>
            </w:r>
          </w:p>
        </w:tc>
        <w:tc>
          <w:tcPr>
            <w:tcW w:w="361"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0.0010L</w:t>
            </w:r>
          </w:p>
        </w:tc>
        <w:tc>
          <w:tcPr>
            <w:tcW w:w="413"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0.0001L</w:t>
            </w:r>
          </w:p>
        </w:tc>
        <w:tc>
          <w:tcPr>
            <w:tcW w:w="490"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409"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175</w:t>
            </w:r>
          </w:p>
        </w:tc>
        <w:tc>
          <w:tcPr>
            <w:tcW w:w="335"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0.0025L</w:t>
            </w:r>
          </w:p>
        </w:tc>
        <w:tc>
          <w:tcPr>
            <w:tcW w:w="316"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0.853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5"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2#牛角川</w:t>
            </w:r>
          </w:p>
        </w:tc>
        <w:tc>
          <w:tcPr>
            <w:tcW w:w="335"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7.4</w:t>
            </w:r>
          </w:p>
        </w:tc>
        <w:tc>
          <w:tcPr>
            <w:tcW w:w="29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523"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5.78</w:t>
            </w:r>
          </w:p>
        </w:tc>
        <w:tc>
          <w:tcPr>
            <w:tcW w:w="412"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0.003</w:t>
            </w:r>
          </w:p>
        </w:tc>
        <w:tc>
          <w:tcPr>
            <w:tcW w:w="361"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0.002L</w:t>
            </w:r>
          </w:p>
        </w:tc>
        <w:tc>
          <w:tcPr>
            <w:tcW w:w="361"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0.002L</w:t>
            </w:r>
          </w:p>
        </w:tc>
        <w:tc>
          <w:tcPr>
            <w:tcW w:w="361"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0.0010L</w:t>
            </w:r>
          </w:p>
        </w:tc>
        <w:tc>
          <w:tcPr>
            <w:tcW w:w="413"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0.0001L</w:t>
            </w:r>
          </w:p>
        </w:tc>
        <w:tc>
          <w:tcPr>
            <w:tcW w:w="490"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0.004L</w:t>
            </w:r>
          </w:p>
        </w:tc>
        <w:tc>
          <w:tcPr>
            <w:tcW w:w="40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177</w:t>
            </w:r>
          </w:p>
        </w:tc>
        <w:tc>
          <w:tcPr>
            <w:tcW w:w="335"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0.0025L</w:t>
            </w:r>
          </w:p>
        </w:tc>
        <w:tc>
          <w:tcPr>
            <w:tcW w:w="316"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0.743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5"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3#东庄村</w:t>
            </w:r>
          </w:p>
        </w:tc>
        <w:tc>
          <w:tcPr>
            <w:tcW w:w="335"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7.1</w:t>
            </w:r>
          </w:p>
        </w:tc>
        <w:tc>
          <w:tcPr>
            <w:tcW w:w="299"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523"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9.49</w:t>
            </w:r>
          </w:p>
        </w:tc>
        <w:tc>
          <w:tcPr>
            <w:tcW w:w="412"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0.003</w:t>
            </w:r>
          </w:p>
        </w:tc>
        <w:tc>
          <w:tcPr>
            <w:tcW w:w="361"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0.002L</w:t>
            </w:r>
          </w:p>
        </w:tc>
        <w:tc>
          <w:tcPr>
            <w:tcW w:w="361"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0.002L</w:t>
            </w:r>
          </w:p>
        </w:tc>
        <w:tc>
          <w:tcPr>
            <w:tcW w:w="361"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0.0010L</w:t>
            </w:r>
          </w:p>
        </w:tc>
        <w:tc>
          <w:tcPr>
            <w:tcW w:w="413"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0.0001L</w:t>
            </w:r>
          </w:p>
        </w:tc>
        <w:tc>
          <w:tcPr>
            <w:tcW w:w="490"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0.008</w:t>
            </w:r>
          </w:p>
        </w:tc>
        <w:tc>
          <w:tcPr>
            <w:tcW w:w="409"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220</w:t>
            </w:r>
          </w:p>
        </w:tc>
        <w:tc>
          <w:tcPr>
            <w:tcW w:w="335"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0.0025L</w:t>
            </w:r>
          </w:p>
        </w:tc>
        <w:tc>
          <w:tcPr>
            <w:tcW w:w="316" w:type="pct"/>
            <w:tcBorders>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5"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点位</w:t>
            </w:r>
          </w:p>
        </w:tc>
        <w:tc>
          <w:tcPr>
            <w:tcW w:w="335"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299"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铁</w:t>
            </w:r>
          </w:p>
        </w:tc>
        <w:tc>
          <w:tcPr>
            <w:tcW w:w="523"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锰</w:t>
            </w:r>
          </w:p>
        </w:tc>
        <w:tc>
          <w:tcPr>
            <w:tcW w:w="412"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溶解性总固体</w:t>
            </w:r>
          </w:p>
        </w:tc>
        <w:tc>
          <w:tcPr>
            <w:tcW w:w="361"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耗氧量</w:t>
            </w:r>
          </w:p>
        </w:tc>
        <w:tc>
          <w:tcPr>
            <w:tcW w:w="361"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硫酸盐</w:t>
            </w:r>
          </w:p>
        </w:tc>
        <w:tc>
          <w:tcPr>
            <w:tcW w:w="361"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氯化物</w:t>
            </w:r>
          </w:p>
        </w:tc>
        <w:tc>
          <w:tcPr>
            <w:tcW w:w="903" w:type="pct"/>
            <w:gridSpan w:val="2"/>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总大肠菌群（MPN/100mL）</w:t>
            </w:r>
          </w:p>
        </w:tc>
        <w:tc>
          <w:tcPr>
            <w:tcW w:w="744" w:type="pct"/>
            <w:gridSpan w:val="2"/>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细菌总数（CFU/mL）</w:t>
            </w:r>
          </w:p>
        </w:tc>
        <w:tc>
          <w:tcPr>
            <w:tcW w:w="316" w:type="pct"/>
            <w:tcBorders>
              <w:top w:val="single" w:color="auto" w:sz="12" w:space="0"/>
              <w:bottom w:val="single" w:color="auto" w:sz="12" w:space="0"/>
            </w:tcBorders>
            <w:shd w:val="clear" w:color="auto" w:fill="auto"/>
            <w:noWrap/>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5"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1#苗岭村</w:t>
            </w:r>
          </w:p>
        </w:tc>
        <w:tc>
          <w:tcPr>
            <w:tcW w:w="335"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0.0005L</w:t>
            </w:r>
          </w:p>
        </w:tc>
        <w:tc>
          <w:tcPr>
            <w:tcW w:w="299"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0.3L</w:t>
            </w:r>
          </w:p>
        </w:tc>
        <w:tc>
          <w:tcPr>
            <w:tcW w:w="523"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0.1L</w:t>
            </w:r>
          </w:p>
        </w:tc>
        <w:tc>
          <w:tcPr>
            <w:tcW w:w="412"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237</w:t>
            </w:r>
          </w:p>
        </w:tc>
        <w:tc>
          <w:tcPr>
            <w:tcW w:w="361"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0.16</w:t>
            </w:r>
          </w:p>
        </w:tc>
        <w:tc>
          <w:tcPr>
            <w:tcW w:w="361"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w:t>
            </w:r>
          </w:p>
        </w:tc>
        <w:tc>
          <w:tcPr>
            <w:tcW w:w="361"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7.52</w:t>
            </w:r>
          </w:p>
        </w:tc>
        <w:tc>
          <w:tcPr>
            <w:tcW w:w="903" w:type="pct"/>
            <w:gridSpan w:val="2"/>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&lt;2</w:t>
            </w:r>
          </w:p>
        </w:tc>
        <w:tc>
          <w:tcPr>
            <w:tcW w:w="744" w:type="pct"/>
            <w:gridSpan w:val="2"/>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42</w:t>
            </w:r>
          </w:p>
        </w:tc>
        <w:tc>
          <w:tcPr>
            <w:tcW w:w="316" w:type="pct"/>
            <w:tcBorders>
              <w:top w:val="single" w:color="auto" w:sz="12" w:space="0"/>
            </w:tcBorders>
            <w:shd w:val="clear" w:color="auto" w:fill="auto"/>
            <w:noWrap/>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5"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2#牛角川</w:t>
            </w:r>
          </w:p>
        </w:tc>
        <w:tc>
          <w:tcPr>
            <w:tcW w:w="335"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0.0005L</w:t>
            </w:r>
          </w:p>
        </w:tc>
        <w:tc>
          <w:tcPr>
            <w:tcW w:w="29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0.3L</w:t>
            </w:r>
          </w:p>
        </w:tc>
        <w:tc>
          <w:tcPr>
            <w:tcW w:w="523"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0.1L</w:t>
            </w:r>
          </w:p>
        </w:tc>
        <w:tc>
          <w:tcPr>
            <w:tcW w:w="412"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365</w:t>
            </w:r>
          </w:p>
        </w:tc>
        <w:tc>
          <w:tcPr>
            <w:tcW w:w="361"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0.18</w:t>
            </w:r>
          </w:p>
        </w:tc>
        <w:tc>
          <w:tcPr>
            <w:tcW w:w="361"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16.5</w:t>
            </w:r>
          </w:p>
        </w:tc>
        <w:tc>
          <w:tcPr>
            <w:tcW w:w="361"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14.7</w:t>
            </w:r>
          </w:p>
        </w:tc>
        <w:tc>
          <w:tcPr>
            <w:tcW w:w="903" w:type="pct"/>
            <w:gridSpan w:val="2"/>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&lt;2</w:t>
            </w:r>
          </w:p>
        </w:tc>
        <w:tc>
          <w:tcPr>
            <w:tcW w:w="744" w:type="pct"/>
            <w:gridSpan w:val="2"/>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67</w:t>
            </w:r>
          </w:p>
        </w:tc>
        <w:tc>
          <w:tcPr>
            <w:tcW w:w="316" w:type="pct"/>
            <w:shd w:val="clear" w:color="auto" w:fill="auto"/>
            <w:noWrap/>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5"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3#东庄村</w:t>
            </w:r>
          </w:p>
        </w:tc>
        <w:tc>
          <w:tcPr>
            <w:tcW w:w="335"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0.0005L</w:t>
            </w:r>
          </w:p>
        </w:tc>
        <w:tc>
          <w:tcPr>
            <w:tcW w:w="29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0.3L</w:t>
            </w:r>
          </w:p>
        </w:tc>
        <w:tc>
          <w:tcPr>
            <w:tcW w:w="523"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0.1L</w:t>
            </w:r>
          </w:p>
        </w:tc>
        <w:tc>
          <w:tcPr>
            <w:tcW w:w="412"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324</w:t>
            </w:r>
          </w:p>
        </w:tc>
        <w:tc>
          <w:tcPr>
            <w:tcW w:w="361"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0.24</w:t>
            </w:r>
          </w:p>
        </w:tc>
        <w:tc>
          <w:tcPr>
            <w:tcW w:w="361"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12.4</w:t>
            </w:r>
          </w:p>
        </w:tc>
        <w:tc>
          <w:tcPr>
            <w:tcW w:w="361"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17.4</w:t>
            </w:r>
          </w:p>
        </w:tc>
        <w:tc>
          <w:tcPr>
            <w:tcW w:w="903" w:type="pct"/>
            <w:gridSpan w:val="2"/>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&lt;2</w:t>
            </w:r>
          </w:p>
        </w:tc>
        <w:tc>
          <w:tcPr>
            <w:tcW w:w="744" w:type="pct"/>
            <w:gridSpan w:val="2"/>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53</w:t>
            </w:r>
          </w:p>
        </w:tc>
        <w:tc>
          <w:tcPr>
            <w:tcW w:w="316" w:type="pct"/>
            <w:shd w:val="clear" w:color="auto" w:fill="auto"/>
            <w:noWrap/>
            <w:vAlign w:val="center"/>
          </w:tcPr>
          <w:p>
            <w:pPr>
              <w:pStyle w:val="332"/>
              <w:rPr>
                <w:color w:val="000000" w:themeColor="text1"/>
                <w14:textFill>
                  <w14:solidFill>
                    <w14:schemeClr w14:val="tx1"/>
                  </w14:solidFill>
                </w14:textFill>
              </w:rPr>
            </w:pPr>
          </w:p>
        </w:tc>
      </w:tr>
    </w:tbl>
    <w:p>
      <w:pPr>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注：检出限L”表示未检出</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表4.2-7 其他几个地下水水质常量成分现状监测结果    （单位：mg/L）</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1556"/>
        <w:gridCol w:w="1559"/>
        <w:gridCol w:w="1556"/>
        <w:gridCol w:w="1559"/>
        <w:gridCol w:w="1556"/>
        <w:gridCol w:w="1556"/>
        <w:gridCol w:w="1551"/>
        <w:gridCol w:w="15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点位</w:t>
            </w:r>
          </w:p>
        </w:tc>
        <w:tc>
          <w:tcPr>
            <w:tcW w:w="556" w:type="pct"/>
            <w:tcBorders>
              <w:top w:val="single" w:color="auto" w:sz="12" w:space="0"/>
              <w:bottom w:val="single" w:color="auto" w:sz="12" w:space="0"/>
            </w:tcBorders>
            <w:vAlign w:val="center"/>
          </w:tcPr>
          <w:p>
            <w:pPr>
              <w:pStyle w:val="332"/>
              <w:rPr>
                <w:color w:val="000000" w:themeColor="text1"/>
                <w:vertAlign w:val="superscript"/>
                <w14:textFill>
                  <w14:solidFill>
                    <w14:schemeClr w14:val="tx1"/>
                  </w14:solidFill>
                </w14:textFill>
              </w:rPr>
            </w:pPr>
            <w:r>
              <w:rPr>
                <w:color w:val="000000" w:themeColor="text1"/>
                <w14:textFill>
                  <w14:solidFill>
                    <w14:schemeClr w14:val="tx1"/>
                  </w14:solidFill>
                </w14:textFill>
              </w:rPr>
              <w:t>K</w:t>
            </w:r>
            <w:r>
              <w:rPr>
                <w:color w:val="000000" w:themeColor="text1"/>
                <w:vertAlign w:val="superscript"/>
                <w14:textFill>
                  <w14:solidFill>
                    <w14:schemeClr w14:val="tx1"/>
                  </w14:solidFill>
                </w14:textFill>
              </w:rPr>
              <w:t>+</w:t>
            </w:r>
          </w:p>
        </w:tc>
        <w:tc>
          <w:tcPr>
            <w:tcW w:w="557" w:type="pct"/>
            <w:tcBorders>
              <w:top w:val="single" w:color="auto" w:sz="12" w:space="0"/>
              <w:bottom w:val="single" w:color="auto" w:sz="12" w:space="0"/>
            </w:tcBorders>
            <w:vAlign w:val="center"/>
          </w:tcPr>
          <w:p>
            <w:pPr>
              <w:pStyle w:val="332"/>
              <w:rPr>
                <w:color w:val="000000" w:themeColor="text1"/>
                <w:vertAlign w:val="superscript"/>
                <w14:textFill>
                  <w14:solidFill>
                    <w14:schemeClr w14:val="tx1"/>
                  </w14:solidFill>
                </w14:textFill>
              </w:rPr>
            </w:pPr>
            <w:r>
              <w:rPr>
                <w:color w:val="000000" w:themeColor="text1"/>
                <w14:textFill>
                  <w14:solidFill>
                    <w14:schemeClr w14:val="tx1"/>
                  </w14:solidFill>
                </w14:textFill>
              </w:rPr>
              <w:t>Na</w:t>
            </w:r>
            <w:r>
              <w:rPr>
                <w:color w:val="000000" w:themeColor="text1"/>
                <w:vertAlign w:val="superscript"/>
                <w14:textFill>
                  <w14:solidFill>
                    <w14:schemeClr w14:val="tx1"/>
                  </w14:solidFill>
                </w14:textFill>
              </w:rPr>
              <w:t>+</w:t>
            </w:r>
          </w:p>
        </w:tc>
        <w:tc>
          <w:tcPr>
            <w:tcW w:w="556" w:type="pct"/>
            <w:tcBorders>
              <w:top w:val="single" w:color="auto" w:sz="12" w:space="0"/>
              <w:bottom w:val="single" w:color="auto" w:sz="12" w:space="0"/>
            </w:tcBorders>
            <w:vAlign w:val="center"/>
          </w:tcPr>
          <w:p>
            <w:pPr>
              <w:pStyle w:val="332"/>
              <w:rPr>
                <w:color w:val="000000" w:themeColor="text1"/>
                <w:vertAlign w:val="superscript"/>
                <w14:textFill>
                  <w14:solidFill>
                    <w14:schemeClr w14:val="tx1"/>
                  </w14:solidFill>
                </w14:textFill>
              </w:rPr>
            </w:pPr>
            <w:r>
              <w:rPr>
                <w:color w:val="000000" w:themeColor="text1"/>
                <w14:textFill>
                  <w14:solidFill>
                    <w14:schemeClr w14:val="tx1"/>
                  </w14:solidFill>
                </w14:textFill>
              </w:rPr>
              <w:t>Ca</w:t>
            </w:r>
            <w:r>
              <w:rPr>
                <w:color w:val="000000" w:themeColor="text1"/>
                <w:vertAlign w:val="superscript"/>
                <w14:textFill>
                  <w14:solidFill>
                    <w14:schemeClr w14:val="tx1"/>
                  </w14:solidFill>
                </w14:textFill>
              </w:rPr>
              <w:t>2+</w:t>
            </w:r>
          </w:p>
        </w:tc>
        <w:tc>
          <w:tcPr>
            <w:tcW w:w="557" w:type="pct"/>
            <w:tcBorders>
              <w:top w:val="single" w:color="auto" w:sz="12" w:space="0"/>
              <w:bottom w:val="single" w:color="auto" w:sz="12" w:space="0"/>
            </w:tcBorders>
            <w:vAlign w:val="center"/>
          </w:tcPr>
          <w:p>
            <w:pPr>
              <w:pStyle w:val="332"/>
              <w:rPr>
                <w:color w:val="000000" w:themeColor="text1"/>
                <w:vertAlign w:val="superscript"/>
                <w14:textFill>
                  <w14:solidFill>
                    <w14:schemeClr w14:val="tx1"/>
                  </w14:solidFill>
                </w14:textFill>
              </w:rPr>
            </w:pPr>
            <w:r>
              <w:rPr>
                <w:color w:val="000000" w:themeColor="text1"/>
                <w14:textFill>
                  <w14:solidFill>
                    <w14:schemeClr w14:val="tx1"/>
                  </w14:solidFill>
                </w14:textFill>
              </w:rPr>
              <w:t>Mg</w:t>
            </w:r>
            <w:r>
              <w:rPr>
                <w:color w:val="000000" w:themeColor="text1"/>
                <w:vertAlign w:val="superscript"/>
                <w14:textFill>
                  <w14:solidFill>
                    <w14:schemeClr w14:val="tx1"/>
                  </w14:solidFill>
                </w14:textFill>
              </w:rPr>
              <w:t>2+</w:t>
            </w:r>
          </w:p>
        </w:tc>
        <w:tc>
          <w:tcPr>
            <w:tcW w:w="556" w:type="pct"/>
            <w:tcBorders>
              <w:top w:val="single" w:color="auto" w:sz="12" w:space="0"/>
              <w:bottom w:val="single" w:color="auto" w:sz="12" w:space="0"/>
            </w:tcBorders>
            <w:vAlign w:val="center"/>
          </w:tcPr>
          <w:p>
            <w:pPr>
              <w:pStyle w:val="332"/>
              <w:rPr>
                <w:color w:val="000000" w:themeColor="text1"/>
                <w:vertAlign w:val="superscript"/>
                <w14:textFill>
                  <w14:solidFill>
                    <w14:schemeClr w14:val="tx1"/>
                  </w14:solidFill>
                </w14:textFill>
              </w:rPr>
            </w:pP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3</w:t>
            </w:r>
            <w:r>
              <w:rPr>
                <w:color w:val="000000" w:themeColor="text1"/>
                <w:vertAlign w:val="superscript"/>
                <w14:textFill>
                  <w14:solidFill>
                    <w14:schemeClr w14:val="tx1"/>
                  </w14:solidFill>
                </w14:textFill>
              </w:rPr>
              <w:t>2-</w:t>
            </w:r>
          </w:p>
        </w:tc>
        <w:tc>
          <w:tcPr>
            <w:tcW w:w="556" w:type="pct"/>
            <w:tcBorders>
              <w:top w:val="single" w:color="auto" w:sz="12" w:space="0"/>
              <w:bottom w:val="single" w:color="auto" w:sz="12" w:space="0"/>
            </w:tcBorders>
            <w:vAlign w:val="center"/>
          </w:tcPr>
          <w:p>
            <w:pPr>
              <w:pStyle w:val="332"/>
              <w:rPr>
                <w:color w:val="000000" w:themeColor="text1"/>
                <w:vertAlign w:val="superscript"/>
                <w14:textFill>
                  <w14:solidFill>
                    <w14:schemeClr w14:val="tx1"/>
                  </w14:solidFill>
                </w14:textFill>
              </w:rPr>
            </w:pPr>
            <w:r>
              <w:rPr>
                <w:color w:val="000000" w:themeColor="text1"/>
                <w14:textFill>
                  <w14:solidFill>
                    <w14:schemeClr w14:val="tx1"/>
                  </w14:solidFill>
                </w14:textFill>
              </w:rPr>
              <w:t>HCO</w:t>
            </w:r>
            <w:r>
              <w:rPr>
                <w:color w:val="000000" w:themeColor="text1"/>
                <w:vertAlign w:val="subscript"/>
                <w14:textFill>
                  <w14:solidFill>
                    <w14:schemeClr w14:val="tx1"/>
                  </w14:solidFill>
                </w14:textFill>
              </w:rPr>
              <w:t>3</w:t>
            </w:r>
            <w:r>
              <w:rPr>
                <w:color w:val="000000" w:themeColor="text1"/>
                <w:vertAlign w:val="superscript"/>
                <w14:textFill>
                  <w14:solidFill>
                    <w14:schemeClr w14:val="tx1"/>
                  </w14:solidFill>
                </w14:textFill>
              </w:rPr>
              <w:t>-</w:t>
            </w:r>
          </w:p>
        </w:tc>
        <w:tc>
          <w:tcPr>
            <w:tcW w:w="55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bCs/>
                <w:color w:val="000000" w:themeColor="text1"/>
                <w14:textFill>
                  <w14:solidFill>
                    <w14:schemeClr w14:val="tx1"/>
                  </w14:solidFill>
                </w14:textFill>
              </w:rPr>
              <w:t>Cl</w:t>
            </w:r>
            <w:r>
              <w:rPr>
                <w:bCs/>
                <w:color w:val="000000" w:themeColor="text1"/>
                <w:vertAlign w:val="superscript"/>
                <w14:textFill>
                  <w14:solidFill>
                    <w14:schemeClr w14:val="tx1"/>
                  </w14:solidFill>
                </w14:textFill>
              </w:rPr>
              <w:t>-</w:t>
            </w:r>
          </w:p>
        </w:tc>
        <w:tc>
          <w:tcPr>
            <w:tcW w:w="55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bCs/>
                <w:color w:val="000000" w:themeColor="text1"/>
                <w14:textFill>
                  <w14:solidFill>
                    <w14:schemeClr w14:val="tx1"/>
                  </w14:solidFill>
                </w14:textFill>
              </w:rPr>
              <w:t>SO</w:t>
            </w:r>
            <w:r>
              <w:rPr>
                <w:bCs/>
                <w:color w:val="000000" w:themeColor="text1"/>
                <w:vertAlign w:val="subscript"/>
                <w14:textFill>
                  <w14:solidFill>
                    <w14:schemeClr w14:val="tx1"/>
                  </w14:solidFill>
                </w14:textFill>
              </w:rPr>
              <w:t>4</w:t>
            </w:r>
            <w:r>
              <w:rPr>
                <w:bCs/>
                <w:color w:val="000000" w:themeColor="text1"/>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1</w:t>
            </w:r>
            <w:r>
              <w:rPr>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苗岭村</w:t>
            </w:r>
          </w:p>
        </w:tc>
        <w:tc>
          <w:tcPr>
            <w:tcW w:w="556" w:type="pct"/>
            <w:tcBorders>
              <w:top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0.55</w:t>
            </w:r>
          </w:p>
        </w:tc>
        <w:tc>
          <w:tcPr>
            <w:tcW w:w="557" w:type="pct"/>
            <w:tcBorders>
              <w:top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13.8</w:t>
            </w:r>
          </w:p>
        </w:tc>
        <w:tc>
          <w:tcPr>
            <w:tcW w:w="556" w:type="pct"/>
            <w:tcBorders>
              <w:top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39.7</w:t>
            </w:r>
          </w:p>
        </w:tc>
        <w:tc>
          <w:tcPr>
            <w:tcW w:w="557" w:type="pct"/>
            <w:tcBorders>
              <w:top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8.33</w:t>
            </w:r>
          </w:p>
        </w:tc>
        <w:tc>
          <w:tcPr>
            <w:tcW w:w="556" w:type="pct"/>
            <w:tcBorders>
              <w:top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0</w:t>
            </w:r>
          </w:p>
        </w:tc>
        <w:tc>
          <w:tcPr>
            <w:tcW w:w="556" w:type="pct"/>
            <w:tcBorders>
              <w:top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187</w:t>
            </w:r>
          </w:p>
        </w:tc>
        <w:tc>
          <w:tcPr>
            <w:tcW w:w="554" w:type="pct"/>
            <w:tcBorders>
              <w:top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7.52</w:t>
            </w:r>
          </w:p>
        </w:tc>
        <w:tc>
          <w:tcPr>
            <w:tcW w:w="552" w:type="pct"/>
            <w:tcBorders>
              <w:top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2</w:t>
            </w:r>
            <w:r>
              <w:rPr>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牛角川</w:t>
            </w:r>
          </w:p>
        </w:tc>
        <w:tc>
          <w:tcPr>
            <w:tcW w:w="556"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0.78</w:t>
            </w:r>
          </w:p>
        </w:tc>
        <w:tc>
          <w:tcPr>
            <w:tcW w:w="557"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37.3</w:t>
            </w:r>
          </w:p>
        </w:tc>
        <w:tc>
          <w:tcPr>
            <w:tcW w:w="556"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39.8</w:t>
            </w:r>
          </w:p>
        </w:tc>
        <w:tc>
          <w:tcPr>
            <w:tcW w:w="557"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10.3</w:t>
            </w:r>
          </w:p>
        </w:tc>
        <w:tc>
          <w:tcPr>
            <w:tcW w:w="556"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0</w:t>
            </w:r>
          </w:p>
        </w:tc>
        <w:tc>
          <w:tcPr>
            <w:tcW w:w="556"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218</w:t>
            </w:r>
          </w:p>
        </w:tc>
        <w:tc>
          <w:tcPr>
            <w:tcW w:w="554"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14.7</w:t>
            </w:r>
          </w:p>
        </w:tc>
        <w:tc>
          <w:tcPr>
            <w:tcW w:w="552"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16.5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3</w:t>
            </w:r>
            <w:r>
              <w:rPr>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东庄村</w:t>
            </w:r>
          </w:p>
        </w:tc>
        <w:tc>
          <w:tcPr>
            <w:tcW w:w="556"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0.65</w:t>
            </w:r>
          </w:p>
        </w:tc>
        <w:tc>
          <w:tcPr>
            <w:tcW w:w="557"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15</w:t>
            </w:r>
          </w:p>
        </w:tc>
        <w:tc>
          <w:tcPr>
            <w:tcW w:w="556"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39.8</w:t>
            </w:r>
          </w:p>
        </w:tc>
        <w:tc>
          <w:tcPr>
            <w:tcW w:w="557"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13.2</w:t>
            </w:r>
          </w:p>
        </w:tc>
        <w:tc>
          <w:tcPr>
            <w:tcW w:w="556"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0</w:t>
            </w:r>
          </w:p>
        </w:tc>
        <w:tc>
          <w:tcPr>
            <w:tcW w:w="556"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184</w:t>
            </w:r>
          </w:p>
        </w:tc>
        <w:tc>
          <w:tcPr>
            <w:tcW w:w="554"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17.4</w:t>
            </w:r>
          </w:p>
        </w:tc>
        <w:tc>
          <w:tcPr>
            <w:tcW w:w="552" w:type="pct"/>
            <w:vAlign w:val="center"/>
          </w:tcPr>
          <w:p>
            <w:pPr>
              <w:pStyle w:val="332"/>
              <w:rPr>
                <w:color w:val="000000" w:themeColor="text1"/>
                <w:highlight w:val="yellow"/>
                <w14:textFill>
                  <w14:solidFill>
                    <w14:schemeClr w14:val="tx1"/>
                  </w14:solidFill>
                </w14:textFill>
              </w:rPr>
            </w:pPr>
            <w:r>
              <w:rPr>
                <w:rFonts w:eastAsia="等线"/>
                <w:color w:val="000000" w:themeColor="text1"/>
                <w:szCs w:val="21"/>
                <w14:textFill>
                  <w14:solidFill>
                    <w14:schemeClr w14:val="tx1"/>
                  </w14:solidFill>
                </w14:textFill>
              </w:rPr>
              <w:t>12.4</w:t>
            </w:r>
          </w:p>
        </w:tc>
      </w:tr>
    </w:tbl>
    <w:p>
      <w:pPr>
        <w:ind w:firstLine="480"/>
        <w:rPr>
          <w:rFonts w:cs="Times New Roman"/>
          <w:color w:val="000000" w:themeColor="text1"/>
          <w14:textFill>
            <w14:solidFill>
              <w14:schemeClr w14:val="tx1"/>
            </w14:solidFill>
          </w14:textFill>
        </w:rPr>
        <w:sectPr>
          <w:endnotePr>
            <w:numFmt w:val="decimal"/>
          </w:endnotePr>
          <w:pgSz w:w="16840" w:h="11907" w:orient="landscape"/>
          <w:pgMar w:top="1418" w:right="1531" w:bottom="1418" w:left="1531" w:header="1134" w:footer="1021" w:gutter="0"/>
          <w:cols w:space="720" w:num="1"/>
          <w:docGrid w:linePitch="326" w:charSpace="0"/>
        </w:sectPr>
      </w:pPr>
    </w:p>
    <w:p>
      <w:pPr>
        <w:pStyle w:val="5"/>
        <w:rPr>
          <w:color w:val="000000" w:themeColor="text1"/>
          <w14:textFill>
            <w14:solidFill>
              <w14:schemeClr w14:val="tx1"/>
            </w14:solidFill>
          </w14:textFill>
        </w:rPr>
      </w:pPr>
      <w:r>
        <w:rPr>
          <w:color w:val="000000" w:themeColor="text1"/>
          <w14:textFill>
            <w14:solidFill>
              <w14:schemeClr w14:val="tx1"/>
            </w14:solidFill>
          </w14:textFill>
        </w:rPr>
        <w:t>4.2.3.2 地下水质量现状评价</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1、评价方法</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采用单因子指数法进行评价，其计算公式如下：</w:t>
      </w:r>
    </w:p>
    <w:p>
      <w:pPr>
        <w:spacing w:before="48" w:beforeLines="20" w:after="48" w:afterLines="20"/>
        <w:ind w:firstLine="1440" w:firstLineChars="6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w:t>
      </w:r>
      <w:r>
        <w:rPr>
          <w:rFonts w:cs="Times New Roman"/>
          <w:color w:val="000000" w:themeColor="text1"/>
          <w:position w:val="-30"/>
          <w14:textFill>
            <w14:solidFill>
              <w14:schemeClr w14:val="tx1"/>
            </w14:solidFill>
          </w14:textFill>
        </w:rPr>
        <w:object>
          <v:shape id="_x0000_i1032" o:spt="75" type="#_x0000_t75" style="height:34.8pt;width:18pt;" o:ole="t" filled="f" o:preferrelative="t" stroked="f" coordsize="21600,21600">
            <v:path/>
            <v:fill on="f" focussize="0,0"/>
            <v:stroke on="f" joinstyle="miter"/>
            <v:imagedata r:id="rId44" o:title=""/>
            <o:lock v:ext="edit" aspectratio="t"/>
            <w10:wrap type="none"/>
            <w10:anchorlock/>
          </v:shape>
          <o:OLEObject Type="Embed" ProgID="Equation.3" ShapeID="_x0000_i1032" DrawAspect="Content" ObjectID="_1468075732" r:id="rId43">
            <o:LockedField>false</o:LockedField>
          </o:OLEObject>
        </w:objec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式中：P</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—第i个水质因子的标准指数；</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—第i个水质因子的监测质量浓度值，mg/L；</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w:t>
      </w:r>
      <w:r>
        <w:rPr>
          <w:rFonts w:cs="Times New Roman"/>
          <w:color w:val="000000" w:themeColor="text1"/>
          <w:vertAlign w:val="subscript"/>
          <w14:textFill>
            <w14:solidFill>
              <w14:schemeClr w14:val="tx1"/>
            </w14:solidFill>
          </w14:textFill>
        </w:rPr>
        <w:t>si</w:t>
      </w:r>
      <w:r>
        <w:rPr>
          <w:rFonts w:cs="Times New Roman"/>
          <w:color w:val="000000" w:themeColor="text1"/>
          <w14:textFill>
            <w14:solidFill>
              <w14:schemeClr w14:val="tx1"/>
            </w14:solidFill>
          </w14:textFill>
        </w:rPr>
        <w:t>—第i个水质因子的标准质量浓度值，mg/L。</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pH的标准指数为：</w:t>
      </w:r>
    </w:p>
    <w:p>
      <w:pPr>
        <w:ind w:firstLine="480"/>
        <w:jc w:val="left"/>
        <w:rPr>
          <w:rFonts w:cs="Times New Roman"/>
          <w:color w:val="000000" w:themeColor="text1"/>
          <w14:textFill>
            <w14:solidFill>
              <w14:schemeClr w14:val="tx1"/>
            </w14:solidFill>
          </w14:textFill>
        </w:rPr>
      </w:pPr>
      <w:r>
        <w:rPr>
          <w:rFonts w:cs="Times New Roman"/>
          <w:color w:val="000000" w:themeColor="text1"/>
          <w:position w:val="-66"/>
          <w14:textFill>
            <w14:solidFill>
              <w14:schemeClr w14:val="tx1"/>
            </w14:solidFill>
          </w14:textFill>
        </w:rPr>
        <w:object>
          <v:shape id="_x0000_i1033" o:spt="75" type="#_x0000_t75" style="height:72pt;width:165.6pt;" o:ole="t" filled="f" o:preferrelative="t" stroked="f" coordsize="21600,21600">
            <v:path/>
            <v:fill on="f" focussize="0,0"/>
            <v:stroke on="f" joinstyle="miter"/>
            <v:imagedata r:id="rId46" o:title=""/>
            <o:lock v:ext="edit" aspectratio="t"/>
            <w10:wrap type="none"/>
            <w10:anchorlock/>
          </v:shape>
          <o:OLEObject Type="Embed" ProgID="Equation.3" ShapeID="_x0000_i1033" DrawAspect="Content" ObjectID="_1468075733" r:id="rId45">
            <o:LockedField>false</o:LockedField>
          </o:OLEObject>
        </w:objec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式中：p</w:t>
      </w:r>
      <w:r>
        <w:rPr>
          <w:rFonts w:cs="Times New Roman"/>
          <w:color w:val="000000" w:themeColor="text1"/>
          <w:vertAlign w:val="subscript"/>
          <w14:textFill>
            <w14:solidFill>
              <w14:schemeClr w14:val="tx1"/>
            </w14:solidFill>
          </w14:textFill>
        </w:rPr>
        <w:t>pH</w:t>
      </w:r>
      <w:r>
        <w:rPr>
          <w:rFonts w:cs="Times New Roman"/>
          <w:color w:val="000000" w:themeColor="text1"/>
          <w14:textFill>
            <w14:solidFill>
              <w14:schemeClr w14:val="tx1"/>
            </w14:solidFill>
          </w14:textFill>
        </w:rPr>
        <w:t>——指pH值的单因子指数；</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pH</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——指pH的监测结果；</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pH</w:t>
      </w:r>
      <w:r>
        <w:rPr>
          <w:rFonts w:cs="Times New Roman"/>
          <w:color w:val="000000" w:themeColor="text1"/>
          <w:vertAlign w:val="subscript"/>
          <w14:textFill>
            <w14:solidFill>
              <w14:schemeClr w14:val="tx1"/>
            </w14:solidFill>
          </w14:textFill>
        </w:rPr>
        <w:t>sd</w:t>
      </w:r>
      <w:r>
        <w:rPr>
          <w:rFonts w:cs="Times New Roman"/>
          <w:color w:val="000000" w:themeColor="text1"/>
          <w14:textFill>
            <w14:solidFill>
              <w14:schemeClr w14:val="tx1"/>
            </w14:solidFill>
          </w14:textFill>
        </w:rPr>
        <w:t>——指水质标准中pH值的下限；</w:t>
      </w:r>
    </w:p>
    <w:p>
      <w:pPr>
        <w:ind w:firstLine="1200" w:firstLineChars="500"/>
        <w:rPr>
          <w:rFonts w:eastAsia="仿宋_GB2312" w:cs="Times New Roman"/>
          <w:color w:val="000000" w:themeColor="text1"/>
          <w:sz w:val="28"/>
          <w:szCs w:val="28"/>
          <w14:textFill>
            <w14:solidFill>
              <w14:schemeClr w14:val="tx1"/>
            </w14:solidFill>
          </w14:textFill>
        </w:rPr>
      </w:pPr>
      <w:r>
        <w:rPr>
          <w:rFonts w:cs="Times New Roman"/>
          <w:color w:val="000000" w:themeColor="text1"/>
          <w14:textFill>
            <w14:solidFill>
              <w14:schemeClr w14:val="tx1"/>
            </w14:solidFill>
          </w14:textFill>
        </w:rPr>
        <w:t>pH</w:t>
      </w:r>
      <w:r>
        <w:rPr>
          <w:rFonts w:cs="Times New Roman"/>
          <w:color w:val="000000" w:themeColor="text1"/>
          <w:vertAlign w:val="subscript"/>
          <w14:textFill>
            <w14:solidFill>
              <w14:schemeClr w14:val="tx1"/>
            </w14:solidFill>
          </w14:textFill>
        </w:rPr>
        <w:t>su</w:t>
      </w:r>
      <w:r>
        <w:rPr>
          <w:rFonts w:cs="Times New Roman"/>
          <w:color w:val="000000" w:themeColor="text1"/>
          <w14:textFill>
            <w14:solidFill>
              <w14:schemeClr w14:val="tx1"/>
            </w14:solidFill>
          </w14:textFill>
        </w:rPr>
        <w:t>——指水质标准中pH值的上限。</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2、评价结果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评价结果统计表见4.2-8。地下水现状评价执行《地下水质量标准》（GB14848-93）Ⅲ类标准，各监测井的各项监测因子值均P</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＜1，故评价区地下水环境质量达到《地下水质量标准》（GB14848-93）Ⅲ类标准要求，地下水环境质量较好。</w:t>
      </w:r>
    </w:p>
    <w:p>
      <w:pPr>
        <w:ind w:firstLine="480"/>
        <w:rPr>
          <w:rFonts w:cs="Times New Roman"/>
          <w:color w:val="000000" w:themeColor="text1"/>
          <w14:textFill>
            <w14:solidFill>
              <w14:schemeClr w14:val="tx1"/>
            </w14:solidFill>
          </w14:textFill>
        </w:rPr>
      </w:pPr>
    </w:p>
    <w:p>
      <w:pPr>
        <w:ind w:firstLine="480"/>
        <w:rPr>
          <w:rFonts w:cs="Times New Roman"/>
          <w:color w:val="000000" w:themeColor="text1"/>
          <w14:textFill>
            <w14:solidFill>
              <w14:schemeClr w14:val="tx1"/>
            </w14:solidFill>
          </w14:textFill>
        </w:rPr>
        <w:sectPr>
          <w:endnotePr>
            <w:numFmt w:val="decimal"/>
          </w:endnotePr>
          <w:pgSz w:w="11907" w:h="16840"/>
          <w:pgMar w:top="1531" w:right="1418" w:bottom="1531" w:left="1418" w:header="1134" w:footer="1021" w:gutter="0"/>
          <w:cols w:space="720" w:num="1"/>
          <w:docGrid w:linePitch="312" w:charSpace="0"/>
        </w:sectPr>
      </w:pP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表4.2-8 地下水水质评价结果</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1052"/>
        <w:gridCol w:w="1052"/>
        <w:gridCol w:w="1052"/>
        <w:gridCol w:w="1117"/>
        <w:gridCol w:w="991"/>
        <w:gridCol w:w="1052"/>
        <w:gridCol w:w="1052"/>
        <w:gridCol w:w="1052"/>
        <w:gridCol w:w="1380"/>
        <w:gridCol w:w="1052"/>
        <w:gridCol w:w="1053"/>
        <w:gridCol w:w="10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点位</w:t>
            </w:r>
          </w:p>
        </w:tc>
        <w:tc>
          <w:tcPr>
            <w:tcW w:w="376" w:type="pct"/>
            <w:tcBorders>
              <w:top w:val="single" w:color="auto" w:sz="12" w:space="0"/>
              <w:bottom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pH</w:t>
            </w:r>
            <w:r>
              <w:rPr>
                <w:color w:val="000000" w:themeColor="text1"/>
                <w14:textFill>
                  <w14:solidFill>
                    <w14:schemeClr w14:val="tx1"/>
                  </w14:solidFill>
                </w14:textFill>
              </w:rPr>
              <w:t>值</w:t>
            </w:r>
          </w:p>
        </w:tc>
        <w:tc>
          <w:tcPr>
            <w:tcW w:w="37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37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硝酸盐</w:t>
            </w:r>
          </w:p>
        </w:tc>
        <w:tc>
          <w:tcPr>
            <w:tcW w:w="399"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亚硝酸盐</w:t>
            </w:r>
          </w:p>
        </w:tc>
        <w:tc>
          <w:tcPr>
            <w:tcW w:w="354"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挥发酚</w:t>
            </w:r>
          </w:p>
        </w:tc>
        <w:tc>
          <w:tcPr>
            <w:tcW w:w="37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氰化物</w:t>
            </w:r>
          </w:p>
        </w:tc>
        <w:tc>
          <w:tcPr>
            <w:tcW w:w="37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37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493"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铬（六价）</w:t>
            </w:r>
          </w:p>
        </w:tc>
        <w:tc>
          <w:tcPr>
            <w:tcW w:w="37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总硬度</w:t>
            </w:r>
          </w:p>
        </w:tc>
        <w:tc>
          <w:tcPr>
            <w:tcW w:w="37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370"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氟化物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376" w:type="pct"/>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6.5-8.5</w:t>
            </w:r>
          </w:p>
        </w:tc>
        <w:tc>
          <w:tcPr>
            <w:tcW w:w="376" w:type="pct"/>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0.5</w:t>
            </w:r>
          </w:p>
        </w:tc>
        <w:tc>
          <w:tcPr>
            <w:tcW w:w="376" w:type="pct"/>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20</w:t>
            </w:r>
          </w:p>
        </w:tc>
        <w:tc>
          <w:tcPr>
            <w:tcW w:w="399" w:type="pct"/>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w:t>
            </w:r>
          </w:p>
        </w:tc>
        <w:tc>
          <w:tcPr>
            <w:tcW w:w="354" w:type="pct"/>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w:t>
            </w:r>
          </w:p>
        </w:tc>
        <w:tc>
          <w:tcPr>
            <w:tcW w:w="376" w:type="pct"/>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0.05</w:t>
            </w:r>
          </w:p>
        </w:tc>
        <w:tc>
          <w:tcPr>
            <w:tcW w:w="376" w:type="pct"/>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0.01</w:t>
            </w:r>
          </w:p>
        </w:tc>
        <w:tc>
          <w:tcPr>
            <w:tcW w:w="376" w:type="pct"/>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0.001</w:t>
            </w:r>
          </w:p>
        </w:tc>
        <w:tc>
          <w:tcPr>
            <w:tcW w:w="493" w:type="pct"/>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0.05</w:t>
            </w:r>
          </w:p>
        </w:tc>
        <w:tc>
          <w:tcPr>
            <w:tcW w:w="376" w:type="pct"/>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450</w:t>
            </w:r>
          </w:p>
        </w:tc>
        <w:tc>
          <w:tcPr>
            <w:tcW w:w="376" w:type="pct"/>
            <w:tcBorders>
              <w:top w:val="single" w:color="auto" w:sz="12" w:space="0"/>
            </w:tcBorders>
            <w:shd w:val="clear" w:color="auto" w:fill="auto"/>
            <w:noWrap/>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0.01</w:t>
            </w:r>
          </w:p>
        </w:tc>
        <w:tc>
          <w:tcPr>
            <w:tcW w:w="370" w:type="pct"/>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w:t>
            </w:r>
            <w:r>
              <w:rPr>
                <w:rFonts w:eastAsia="等线"/>
                <w:color w:val="000000" w:themeColor="text1"/>
                <w:vertAlign w:val="superscript"/>
                <w14:textFill>
                  <w14:solidFill>
                    <w14:schemeClr w14:val="tx1"/>
                  </w14:solidFill>
                </w14:textFill>
              </w:rPr>
              <w:t>#</w:t>
            </w:r>
            <w:r>
              <w:rPr>
                <w:color w:val="000000" w:themeColor="text1"/>
                <w14:textFill>
                  <w14:solidFill>
                    <w14:schemeClr w14:val="tx1"/>
                  </w14:solidFill>
                </w14:textFill>
              </w:rPr>
              <w:t>苗岭村</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7.2</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0.02L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3.68</w:t>
            </w:r>
          </w:p>
        </w:tc>
        <w:tc>
          <w:tcPr>
            <w:tcW w:w="399"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w:t>
            </w:r>
          </w:p>
        </w:tc>
        <w:tc>
          <w:tcPr>
            <w:tcW w:w="354"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0.0010L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0.0001L</w:t>
            </w:r>
          </w:p>
        </w:tc>
        <w:tc>
          <w:tcPr>
            <w:tcW w:w="493"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175</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0.0025L</w:t>
            </w:r>
          </w:p>
        </w:tc>
        <w:tc>
          <w:tcPr>
            <w:tcW w:w="370"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P</w:t>
            </w:r>
            <w:r>
              <w:rPr>
                <w:rFonts w:eastAsia="等线"/>
                <w:color w:val="000000" w:themeColor="text1"/>
                <w:vertAlign w:val="subscript"/>
                <w14:textFill>
                  <w14:solidFill>
                    <w14:schemeClr w14:val="tx1"/>
                  </w14:solidFill>
                </w14:textFill>
              </w:rPr>
              <w:t>i</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0.1</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0.02</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c>
          <w:tcPr>
            <w:tcW w:w="399"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0.002</w:t>
            </w:r>
          </w:p>
        </w:tc>
        <w:tc>
          <w:tcPr>
            <w:tcW w:w="354"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0.5</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0.02</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0.05</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0.05</w:t>
            </w:r>
          </w:p>
        </w:tc>
        <w:tc>
          <w:tcPr>
            <w:tcW w:w="493"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0.1</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0.4</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0.1</w:t>
            </w:r>
          </w:p>
        </w:tc>
        <w:tc>
          <w:tcPr>
            <w:tcW w:w="370"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w:t>
            </w:r>
            <w:r>
              <w:rPr>
                <w:rFonts w:eastAsia="等线"/>
                <w:color w:val="000000" w:themeColor="text1"/>
                <w:vertAlign w:val="superscript"/>
                <w14:textFill>
                  <w14:solidFill>
                    <w14:schemeClr w14:val="tx1"/>
                  </w14:solidFill>
                </w14:textFill>
              </w:rPr>
              <w:t>#</w:t>
            </w:r>
            <w:r>
              <w:rPr>
                <w:color w:val="000000" w:themeColor="text1"/>
                <w14:textFill>
                  <w14:solidFill>
                    <w14:schemeClr w14:val="tx1"/>
                  </w14:solidFill>
                </w14:textFill>
              </w:rPr>
              <w:t>牛角川</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7.4</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0.04</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5.78</w:t>
            </w:r>
          </w:p>
        </w:tc>
        <w:tc>
          <w:tcPr>
            <w:tcW w:w="399"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w:t>
            </w:r>
          </w:p>
        </w:tc>
        <w:tc>
          <w:tcPr>
            <w:tcW w:w="354"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0.0010L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0.0001L</w:t>
            </w:r>
          </w:p>
        </w:tc>
        <w:tc>
          <w:tcPr>
            <w:tcW w:w="493"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0.004L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177</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0.0025L</w:t>
            </w:r>
          </w:p>
        </w:tc>
        <w:tc>
          <w:tcPr>
            <w:tcW w:w="370"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P</w:t>
            </w:r>
            <w:r>
              <w:rPr>
                <w:rFonts w:eastAsia="等线"/>
                <w:color w:val="000000" w:themeColor="text1"/>
                <w:vertAlign w:val="subscript"/>
                <w14:textFill>
                  <w14:solidFill>
                    <w14:schemeClr w14:val="tx1"/>
                  </w14:solidFill>
                </w14:textFill>
              </w:rPr>
              <w:t>i</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0.3</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0.08</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0.3</w:t>
            </w:r>
          </w:p>
        </w:tc>
        <w:tc>
          <w:tcPr>
            <w:tcW w:w="399"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0.003</w:t>
            </w:r>
          </w:p>
        </w:tc>
        <w:tc>
          <w:tcPr>
            <w:tcW w:w="354"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0.5</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0.05</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0.05</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0.05</w:t>
            </w:r>
          </w:p>
        </w:tc>
        <w:tc>
          <w:tcPr>
            <w:tcW w:w="493"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0.04</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0.4</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0.1</w:t>
            </w:r>
          </w:p>
        </w:tc>
        <w:tc>
          <w:tcPr>
            <w:tcW w:w="370"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w:t>
            </w:r>
            <w:r>
              <w:rPr>
                <w:rFonts w:eastAsia="等线"/>
                <w:color w:val="000000" w:themeColor="text1"/>
                <w:vertAlign w:val="superscript"/>
                <w14:textFill>
                  <w14:solidFill>
                    <w14:schemeClr w14:val="tx1"/>
                  </w14:solidFill>
                </w14:textFill>
              </w:rPr>
              <w:t>#</w:t>
            </w:r>
            <w:r>
              <w:rPr>
                <w:color w:val="000000" w:themeColor="text1"/>
                <w14:textFill>
                  <w14:solidFill>
                    <w14:schemeClr w14:val="tx1"/>
                  </w14:solidFill>
                </w14:textFill>
              </w:rPr>
              <w:t>东庄村</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7.1</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0.05</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9.49</w:t>
            </w:r>
          </w:p>
        </w:tc>
        <w:tc>
          <w:tcPr>
            <w:tcW w:w="399"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0.003</w:t>
            </w:r>
          </w:p>
        </w:tc>
        <w:tc>
          <w:tcPr>
            <w:tcW w:w="354"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0.0010L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0.0001L</w:t>
            </w:r>
          </w:p>
        </w:tc>
        <w:tc>
          <w:tcPr>
            <w:tcW w:w="493"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0.008</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220</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0.0025L</w:t>
            </w:r>
          </w:p>
        </w:tc>
        <w:tc>
          <w:tcPr>
            <w:tcW w:w="370"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tcBorders>
              <w:bottom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P</w:t>
            </w:r>
            <w:r>
              <w:rPr>
                <w:rFonts w:eastAsia="等线"/>
                <w:color w:val="000000" w:themeColor="text1"/>
                <w:vertAlign w:val="subscript"/>
                <w14:textFill>
                  <w14:solidFill>
                    <w14:schemeClr w14:val="tx1"/>
                  </w14:solidFill>
                </w14:textFill>
              </w:rPr>
              <w:t>i</w:t>
            </w:r>
          </w:p>
        </w:tc>
        <w:tc>
          <w:tcPr>
            <w:tcW w:w="376" w:type="pct"/>
            <w:tcBorders>
              <w:bottom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0.07</w:t>
            </w:r>
          </w:p>
        </w:tc>
        <w:tc>
          <w:tcPr>
            <w:tcW w:w="376" w:type="pct"/>
            <w:tcBorders>
              <w:bottom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0.1</w:t>
            </w:r>
          </w:p>
        </w:tc>
        <w:tc>
          <w:tcPr>
            <w:tcW w:w="376" w:type="pct"/>
            <w:tcBorders>
              <w:bottom w:val="single" w:color="auto" w:sz="12" w:space="0"/>
            </w:tcBorders>
            <w:shd w:val="clear" w:color="auto" w:fill="auto"/>
            <w:vAlign w:val="center"/>
          </w:tcPr>
          <w:p>
            <w:pPr>
              <w:pStyle w:val="332"/>
              <w:rPr>
                <w:rFonts w:eastAsia="Times New Roman"/>
                <w:color w:val="000000" w:themeColor="text1"/>
                <w:sz w:val="20"/>
                <w:szCs w:val="20"/>
                <w14:textFill>
                  <w14:solidFill>
                    <w14:schemeClr w14:val="tx1"/>
                  </w14:solidFill>
                </w14:textFill>
              </w:rPr>
            </w:pPr>
            <w:r>
              <w:rPr>
                <w:rFonts w:eastAsia="等线"/>
                <w:color w:val="000000" w:themeColor="text1"/>
                <w:szCs w:val="21"/>
                <w14:textFill>
                  <w14:solidFill>
                    <w14:schemeClr w14:val="tx1"/>
                  </w14:solidFill>
                </w14:textFill>
              </w:rPr>
              <w:t>0.5</w:t>
            </w:r>
          </w:p>
        </w:tc>
        <w:tc>
          <w:tcPr>
            <w:tcW w:w="399" w:type="pct"/>
            <w:tcBorders>
              <w:bottom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0.003</w:t>
            </w:r>
          </w:p>
        </w:tc>
        <w:tc>
          <w:tcPr>
            <w:tcW w:w="354" w:type="pct"/>
            <w:tcBorders>
              <w:bottom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0.5</w:t>
            </w:r>
          </w:p>
        </w:tc>
        <w:tc>
          <w:tcPr>
            <w:tcW w:w="376" w:type="pct"/>
            <w:tcBorders>
              <w:bottom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0.02</w:t>
            </w:r>
          </w:p>
        </w:tc>
        <w:tc>
          <w:tcPr>
            <w:tcW w:w="376" w:type="pct"/>
            <w:tcBorders>
              <w:bottom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0.05</w:t>
            </w:r>
          </w:p>
        </w:tc>
        <w:tc>
          <w:tcPr>
            <w:tcW w:w="376" w:type="pct"/>
            <w:tcBorders>
              <w:bottom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0.05</w:t>
            </w:r>
          </w:p>
        </w:tc>
        <w:tc>
          <w:tcPr>
            <w:tcW w:w="493" w:type="pct"/>
            <w:tcBorders>
              <w:bottom w:val="single" w:color="auto" w:sz="12" w:space="0"/>
            </w:tcBorders>
            <w:shd w:val="clear" w:color="auto" w:fill="auto"/>
            <w:vAlign w:val="center"/>
          </w:tcPr>
          <w:p>
            <w:pPr>
              <w:pStyle w:val="332"/>
              <w:rPr>
                <w:rFonts w:eastAsia="Times New Roman"/>
                <w:color w:val="000000" w:themeColor="text1"/>
                <w:sz w:val="20"/>
                <w:szCs w:val="20"/>
                <w14:textFill>
                  <w14:solidFill>
                    <w14:schemeClr w14:val="tx1"/>
                  </w14:solidFill>
                </w14:textFill>
              </w:rPr>
            </w:pPr>
            <w:r>
              <w:rPr>
                <w:rFonts w:eastAsia="等线"/>
                <w:color w:val="000000" w:themeColor="text1"/>
                <w:szCs w:val="21"/>
                <w14:textFill>
                  <w14:solidFill>
                    <w14:schemeClr w14:val="tx1"/>
                  </w14:solidFill>
                </w14:textFill>
              </w:rPr>
              <w:t>0.2</w:t>
            </w:r>
          </w:p>
        </w:tc>
        <w:tc>
          <w:tcPr>
            <w:tcW w:w="376" w:type="pct"/>
            <w:tcBorders>
              <w:bottom w:val="single" w:color="auto" w:sz="12" w:space="0"/>
            </w:tcBorders>
            <w:shd w:val="clear" w:color="auto" w:fill="auto"/>
            <w:vAlign w:val="center"/>
          </w:tcPr>
          <w:p>
            <w:pPr>
              <w:pStyle w:val="332"/>
              <w:rPr>
                <w:rFonts w:eastAsia="Times New Roman"/>
                <w:color w:val="000000" w:themeColor="text1"/>
                <w:sz w:val="20"/>
                <w:szCs w:val="20"/>
                <w14:textFill>
                  <w14:solidFill>
                    <w14:schemeClr w14:val="tx1"/>
                  </w14:solidFill>
                </w14:textFill>
              </w:rPr>
            </w:pPr>
            <w:r>
              <w:rPr>
                <w:rFonts w:eastAsia="等线"/>
                <w:color w:val="000000" w:themeColor="text1"/>
                <w:szCs w:val="21"/>
                <w14:textFill>
                  <w14:solidFill>
                    <w14:schemeClr w14:val="tx1"/>
                  </w14:solidFill>
                </w14:textFill>
              </w:rPr>
              <w:t>0.5</w:t>
            </w:r>
          </w:p>
        </w:tc>
        <w:tc>
          <w:tcPr>
            <w:tcW w:w="376" w:type="pct"/>
            <w:tcBorders>
              <w:bottom w:val="single" w:color="auto" w:sz="12" w:space="0"/>
            </w:tcBorders>
            <w:shd w:val="clear" w:color="auto" w:fill="auto"/>
            <w:vAlign w:val="center"/>
          </w:tcPr>
          <w:p>
            <w:pPr>
              <w:pStyle w:val="332"/>
              <w:rPr>
                <w:rFonts w:eastAsia="Times New Roman"/>
                <w:color w:val="000000" w:themeColor="text1"/>
                <w:sz w:val="20"/>
                <w:szCs w:val="20"/>
                <w14:textFill>
                  <w14:solidFill>
                    <w14:schemeClr w14:val="tx1"/>
                  </w14:solidFill>
                </w14:textFill>
              </w:rPr>
            </w:pPr>
            <w:r>
              <w:rPr>
                <w:rFonts w:eastAsia="等线"/>
                <w:color w:val="000000" w:themeColor="text1"/>
                <w:szCs w:val="21"/>
                <w14:textFill>
                  <w14:solidFill>
                    <w14:schemeClr w14:val="tx1"/>
                  </w14:solidFill>
                </w14:textFill>
              </w:rPr>
              <w:t>0.1</w:t>
            </w:r>
          </w:p>
        </w:tc>
        <w:tc>
          <w:tcPr>
            <w:tcW w:w="370" w:type="pct"/>
            <w:tcBorders>
              <w:bottom w:val="single" w:color="auto" w:sz="12" w:space="0"/>
            </w:tcBorders>
            <w:shd w:val="clear" w:color="auto" w:fill="auto"/>
            <w:vAlign w:val="center"/>
          </w:tcPr>
          <w:p>
            <w:pPr>
              <w:pStyle w:val="332"/>
              <w:rPr>
                <w:rFonts w:eastAsia="Times New Roman"/>
                <w:color w:val="000000" w:themeColor="text1"/>
                <w:sz w:val="20"/>
                <w:szCs w:val="20"/>
                <w14:textFill>
                  <w14:solidFill>
                    <w14:schemeClr w14:val="tx1"/>
                  </w14:solidFill>
                </w14:textFill>
              </w:rPr>
            </w:pPr>
            <w:r>
              <w:rPr>
                <w:rFonts w:eastAsia="等线"/>
                <w:color w:val="000000" w:themeColor="text1"/>
                <w:szCs w:val="21"/>
                <w14:textFill>
                  <w14:solidFill>
                    <w14:schemeClr w14:val="tx1"/>
                  </w14:solidFill>
                </w14:textFill>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点位</w:t>
            </w:r>
          </w:p>
        </w:tc>
        <w:tc>
          <w:tcPr>
            <w:tcW w:w="37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37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铁</w:t>
            </w:r>
          </w:p>
        </w:tc>
        <w:tc>
          <w:tcPr>
            <w:tcW w:w="37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锰</w:t>
            </w:r>
          </w:p>
        </w:tc>
        <w:tc>
          <w:tcPr>
            <w:tcW w:w="399"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溶解性总固体</w:t>
            </w:r>
          </w:p>
        </w:tc>
        <w:tc>
          <w:tcPr>
            <w:tcW w:w="354"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耗氧量</w:t>
            </w:r>
          </w:p>
        </w:tc>
        <w:tc>
          <w:tcPr>
            <w:tcW w:w="37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硫酸盐</w:t>
            </w:r>
          </w:p>
        </w:tc>
        <w:tc>
          <w:tcPr>
            <w:tcW w:w="376" w:type="pct"/>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氯化物</w:t>
            </w:r>
          </w:p>
        </w:tc>
        <w:tc>
          <w:tcPr>
            <w:tcW w:w="869" w:type="pct"/>
            <w:gridSpan w:val="2"/>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总大肠菌群（MPN/100mL）</w:t>
            </w:r>
          </w:p>
        </w:tc>
        <w:tc>
          <w:tcPr>
            <w:tcW w:w="752" w:type="pct"/>
            <w:gridSpan w:val="2"/>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细菌总数（CFU/mL）</w:t>
            </w:r>
          </w:p>
        </w:tc>
        <w:tc>
          <w:tcPr>
            <w:tcW w:w="370" w:type="pct"/>
            <w:tcBorders>
              <w:top w:val="single" w:color="auto" w:sz="12" w:space="0"/>
              <w:bottom w:val="single" w:color="auto" w:sz="12" w:space="0"/>
            </w:tcBorders>
            <w:shd w:val="clear" w:color="auto" w:fill="auto"/>
            <w:noWrap/>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376" w:type="pct"/>
            <w:tcBorders>
              <w:top w:val="single" w:color="auto" w:sz="12" w:space="0"/>
            </w:tcBorders>
            <w:shd w:val="clear" w:color="auto" w:fill="auto"/>
            <w:noWrap/>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0.005</w:t>
            </w:r>
          </w:p>
        </w:tc>
        <w:tc>
          <w:tcPr>
            <w:tcW w:w="376" w:type="pct"/>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0.3</w:t>
            </w:r>
          </w:p>
        </w:tc>
        <w:tc>
          <w:tcPr>
            <w:tcW w:w="376" w:type="pct"/>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0.1</w:t>
            </w:r>
          </w:p>
        </w:tc>
        <w:tc>
          <w:tcPr>
            <w:tcW w:w="399" w:type="pct"/>
            <w:tcBorders>
              <w:top w:val="single" w:color="auto" w:sz="12" w:space="0"/>
            </w:tcBorders>
            <w:shd w:val="clear" w:color="auto" w:fill="auto"/>
            <w:noWrap/>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1000</w:t>
            </w:r>
          </w:p>
        </w:tc>
        <w:tc>
          <w:tcPr>
            <w:tcW w:w="354" w:type="pct"/>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w:t>
            </w:r>
          </w:p>
        </w:tc>
        <w:tc>
          <w:tcPr>
            <w:tcW w:w="376" w:type="pct"/>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250</w:t>
            </w:r>
          </w:p>
        </w:tc>
        <w:tc>
          <w:tcPr>
            <w:tcW w:w="376" w:type="pct"/>
            <w:tcBorders>
              <w:top w:val="single" w:color="auto" w:sz="12" w:space="0"/>
            </w:tcBorders>
            <w:shd w:val="clear" w:color="auto" w:fill="auto"/>
            <w:noWrap/>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250</w:t>
            </w:r>
          </w:p>
        </w:tc>
        <w:tc>
          <w:tcPr>
            <w:tcW w:w="869" w:type="pct"/>
            <w:gridSpan w:val="2"/>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752" w:type="pct"/>
            <w:gridSpan w:val="2"/>
            <w:tcBorders>
              <w:top w:val="single" w:color="auto" w:sz="12" w:space="0"/>
            </w:tcBorders>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100</w:t>
            </w:r>
          </w:p>
        </w:tc>
        <w:tc>
          <w:tcPr>
            <w:tcW w:w="370" w:type="pct"/>
            <w:tcBorders>
              <w:top w:val="single" w:color="auto" w:sz="12" w:space="0"/>
            </w:tcBorders>
            <w:shd w:val="clear" w:color="auto" w:fill="auto"/>
            <w:noWrap/>
            <w:vAlign w:val="center"/>
          </w:tcPr>
          <w:p>
            <w:pPr>
              <w:pStyle w:val="332"/>
              <w:rPr>
                <w:rFonts w:eastAsia="等线"/>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w:t>
            </w:r>
            <w:r>
              <w:rPr>
                <w:rFonts w:eastAsia="等线"/>
                <w:color w:val="000000" w:themeColor="text1"/>
                <w:vertAlign w:val="superscript"/>
                <w14:textFill>
                  <w14:solidFill>
                    <w14:schemeClr w14:val="tx1"/>
                  </w14:solidFill>
                </w14:textFill>
              </w:rPr>
              <w:t>#</w:t>
            </w:r>
            <w:r>
              <w:rPr>
                <w:color w:val="000000" w:themeColor="text1"/>
                <w14:textFill>
                  <w14:solidFill>
                    <w14:schemeClr w14:val="tx1"/>
                  </w14:solidFill>
                </w14:textFill>
              </w:rPr>
              <w:t>苗岭村</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0.0005L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0.3L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0.1L</w:t>
            </w:r>
          </w:p>
        </w:tc>
        <w:tc>
          <w:tcPr>
            <w:tcW w:w="399"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237</w:t>
            </w:r>
          </w:p>
        </w:tc>
        <w:tc>
          <w:tcPr>
            <w:tcW w:w="354"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0.16</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11.2</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7.52</w:t>
            </w:r>
          </w:p>
        </w:tc>
        <w:tc>
          <w:tcPr>
            <w:tcW w:w="869" w:type="pct"/>
            <w:gridSpan w:val="2"/>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&lt;2</w:t>
            </w:r>
          </w:p>
        </w:tc>
        <w:tc>
          <w:tcPr>
            <w:tcW w:w="752" w:type="pct"/>
            <w:gridSpan w:val="2"/>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42</w:t>
            </w:r>
          </w:p>
        </w:tc>
        <w:tc>
          <w:tcPr>
            <w:tcW w:w="370" w:type="pct"/>
            <w:shd w:val="clear" w:color="auto" w:fill="auto"/>
            <w:noWrap/>
            <w:vAlign w:val="center"/>
          </w:tcPr>
          <w:p>
            <w:pPr>
              <w:pStyle w:val="332"/>
              <w:rPr>
                <w:rFonts w:eastAsia="等线"/>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P</w:t>
            </w:r>
            <w:r>
              <w:rPr>
                <w:rFonts w:eastAsia="等线"/>
                <w:color w:val="000000" w:themeColor="text1"/>
                <w:vertAlign w:val="subscript"/>
                <w14:textFill>
                  <w14:solidFill>
                    <w14:schemeClr w14:val="tx1"/>
                  </w14:solidFill>
                </w14:textFill>
              </w:rPr>
              <w:t>i</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0.05</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0.5</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0.5</w:t>
            </w:r>
          </w:p>
        </w:tc>
        <w:tc>
          <w:tcPr>
            <w:tcW w:w="399"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c>
          <w:tcPr>
            <w:tcW w:w="354"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0.05</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0.04</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0.03</w:t>
            </w:r>
          </w:p>
        </w:tc>
        <w:tc>
          <w:tcPr>
            <w:tcW w:w="869" w:type="pct"/>
            <w:gridSpan w:val="2"/>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w:t>
            </w:r>
          </w:p>
        </w:tc>
        <w:tc>
          <w:tcPr>
            <w:tcW w:w="752" w:type="pct"/>
            <w:gridSpan w:val="2"/>
            <w:shd w:val="clear" w:color="auto" w:fill="auto"/>
            <w:vAlign w:val="center"/>
          </w:tcPr>
          <w:p>
            <w:pPr>
              <w:pStyle w:val="332"/>
              <w:rPr>
                <w:rFonts w:eastAsia="等线"/>
                <w:color w:val="000000" w:themeColor="text1"/>
                <w:kern w:val="0"/>
                <w:szCs w:val="21"/>
                <w14:textFill>
                  <w14:solidFill>
                    <w14:schemeClr w14:val="tx1"/>
                  </w14:solidFill>
                </w14:textFill>
              </w:rPr>
            </w:pPr>
            <w:r>
              <w:rPr>
                <w:rFonts w:eastAsia="等线"/>
                <w:color w:val="000000" w:themeColor="text1"/>
                <w:szCs w:val="21"/>
                <w14:textFill>
                  <w14:solidFill>
                    <w14:schemeClr w14:val="tx1"/>
                  </w14:solidFill>
                </w14:textFill>
              </w:rPr>
              <w:t>0.9</w:t>
            </w:r>
          </w:p>
        </w:tc>
        <w:tc>
          <w:tcPr>
            <w:tcW w:w="370" w:type="pct"/>
            <w:shd w:val="clear" w:color="auto" w:fill="auto"/>
            <w:noWrap/>
            <w:vAlign w:val="center"/>
          </w:tcPr>
          <w:p>
            <w:pPr>
              <w:pStyle w:val="332"/>
              <w:rPr>
                <w:rFonts w:eastAsia="Times New Roman"/>
                <w:color w:val="000000" w:themeColor="text1"/>
                <w:sz w:val="20"/>
                <w:szCs w:val="2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2</w:t>
            </w:r>
            <w:r>
              <w:rPr>
                <w:rFonts w:eastAsia="等线"/>
                <w:color w:val="000000" w:themeColor="text1"/>
                <w:vertAlign w:val="superscript"/>
                <w14:textFill>
                  <w14:solidFill>
                    <w14:schemeClr w14:val="tx1"/>
                  </w14:solidFill>
                </w14:textFill>
              </w:rPr>
              <w:t>#</w:t>
            </w:r>
            <w:r>
              <w:rPr>
                <w:color w:val="000000" w:themeColor="text1"/>
                <w14:textFill>
                  <w14:solidFill>
                    <w14:schemeClr w14:val="tx1"/>
                  </w14:solidFill>
                </w14:textFill>
              </w:rPr>
              <w:t>牛角川</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0.0005L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0.3L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0.1L</w:t>
            </w:r>
          </w:p>
        </w:tc>
        <w:tc>
          <w:tcPr>
            <w:tcW w:w="399"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365</w:t>
            </w:r>
          </w:p>
        </w:tc>
        <w:tc>
          <w:tcPr>
            <w:tcW w:w="354"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0.18</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16.5</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14.7</w:t>
            </w:r>
          </w:p>
        </w:tc>
        <w:tc>
          <w:tcPr>
            <w:tcW w:w="869" w:type="pct"/>
            <w:gridSpan w:val="2"/>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&lt;2</w:t>
            </w:r>
          </w:p>
        </w:tc>
        <w:tc>
          <w:tcPr>
            <w:tcW w:w="752" w:type="pct"/>
            <w:gridSpan w:val="2"/>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67</w:t>
            </w:r>
          </w:p>
        </w:tc>
        <w:tc>
          <w:tcPr>
            <w:tcW w:w="370" w:type="pct"/>
            <w:shd w:val="clear" w:color="auto" w:fill="auto"/>
            <w:noWrap/>
            <w:vAlign w:val="center"/>
          </w:tcPr>
          <w:p>
            <w:pPr>
              <w:pStyle w:val="332"/>
              <w:rPr>
                <w:rFonts w:eastAsia="等线"/>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P</w:t>
            </w:r>
            <w:r>
              <w:rPr>
                <w:rFonts w:eastAsia="等线"/>
                <w:color w:val="000000" w:themeColor="text1"/>
                <w:vertAlign w:val="subscript"/>
                <w14:textFill>
                  <w14:solidFill>
                    <w14:schemeClr w14:val="tx1"/>
                  </w14:solidFill>
                </w14:textFill>
              </w:rPr>
              <w:t>i</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0.05</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0.5</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0.5</w:t>
            </w:r>
          </w:p>
        </w:tc>
        <w:tc>
          <w:tcPr>
            <w:tcW w:w="399"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0.4</w:t>
            </w:r>
          </w:p>
        </w:tc>
        <w:tc>
          <w:tcPr>
            <w:tcW w:w="354"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0.06</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0.07</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0.06</w:t>
            </w:r>
          </w:p>
        </w:tc>
        <w:tc>
          <w:tcPr>
            <w:tcW w:w="869" w:type="pct"/>
            <w:gridSpan w:val="2"/>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w:t>
            </w:r>
          </w:p>
        </w:tc>
        <w:tc>
          <w:tcPr>
            <w:tcW w:w="752" w:type="pct"/>
            <w:gridSpan w:val="2"/>
            <w:shd w:val="clear" w:color="auto" w:fill="auto"/>
            <w:vAlign w:val="center"/>
          </w:tcPr>
          <w:p>
            <w:pPr>
              <w:pStyle w:val="332"/>
              <w:rPr>
                <w:rFonts w:eastAsiaTheme="minorEastAsia"/>
                <w:color w:val="000000" w:themeColor="text1"/>
                <w:sz w:val="20"/>
                <w:szCs w:val="20"/>
                <w14:textFill>
                  <w14:solidFill>
                    <w14:schemeClr w14:val="tx1"/>
                  </w14:solidFill>
                </w14:textFill>
              </w:rPr>
            </w:pPr>
            <w:r>
              <w:rPr>
                <w:rFonts w:eastAsiaTheme="minorEastAsia"/>
                <w:color w:val="000000" w:themeColor="text1"/>
                <w:sz w:val="20"/>
                <w:szCs w:val="20"/>
                <w14:textFill>
                  <w14:solidFill>
                    <w14:schemeClr w14:val="tx1"/>
                  </w14:solidFill>
                </w14:textFill>
              </w:rPr>
              <w:t>0.4</w:t>
            </w:r>
          </w:p>
        </w:tc>
        <w:tc>
          <w:tcPr>
            <w:tcW w:w="370" w:type="pct"/>
            <w:shd w:val="clear" w:color="auto" w:fill="auto"/>
            <w:noWrap/>
            <w:vAlign w:val="center"/>
          </w:tcPr>
          <w:p>
            <w:pPr>
              <w:pStyle w:val="332"/>
              <w:rPr>
                <w:rFonts w:eastAsia="Times New Roman"/>
                <w:color w:val="000000" w:themeColor="text1"/>
                <w:sz w:val="20"/>
                <w:szCs w:val="2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w:t>
            </w:r>
            <w:r>
              <w:rPr>
                <w:rFonts w:eastAsia="等线"/>
                <w:color w:val="000000" w:themeColor="text1"/>
                <w:vertAlign w:val="superscript"/>
                <w14:textFill>
                  <w14:solidFill>
                    <w14:schemeClr w14:val="tx1"/>
                  </w14:solidFill>
                </w14:textFill>
              </w:rPr>
              <w:t>#</w:t>
            </w:r>
            <w:r>
              <w:rPr>
                <w:color w:val="000000" w:themeColor="text1"/>
                <w14:textFill>
                  <w14:solidFill>
                    <w14:schemeClr w14:val="tx1"/>
                  </w14:solidFill>
                </w14:textFill>
              </w:rPr>
              <w:t>东庄村</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0.0005L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0.3L</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0.1L</w:t>
            </w:r>
          </w:p>
        </w:tc>
        <w:tc>
          <w:tcPr>
            <w:tcW w:w="399"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324</w:t>
            </w:r>
          </w:p>
        </w:tc>
        <w:tc>
          <w:tcPr>
            <w:tcW w:w="354"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0.24</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12.4</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17.4</w:t>
            </w:r>
          </w:p>
        </w:tc>
        <w:tc>
          <w:tcPr>
            <w:tcW w:w="869" w:type="pct"/>
            <w:gridSpan w:val="2"/>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&lt;2</w:t>
            </w:r>
          </w:p>
        </w:tc>
        <w:tc>
          <w:tcPr>
            <w:tcW w:w="752" w:type="pct"/>
            <w:gridSpan w:val="2"/>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53</w:t>
            </w:r>
          </w:p>
        </w:tc>
        <w:tc>
          <w:tcPr>
            <w:tcW w:w="370" w:type="pct"/>
            <w:shd w:val="clear" w:color="auto" w:fill="auto"/>
            <w:noWrap/>
            <w:vAlign w:val="center"/>
          </w:tcPr>
          <w:p>
            <w:pPr>
              <w:pStyle w:val="332"/>
              <w:rPr>
                <w:rFonts w:eastAsia="等线"/>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P</w:t>
            </w:r>
            <w:r>
              <w:rPr>
                <w:rFonts w:eastAsia="等线"/>
                <w:color w:val="000000" w:themeColor="text1"/>
                <w:vertAlign w:val="subscript"/>
                <w14:textFill>
                  <w14:solidFill>
                    <w14:schemeClr w14:val="tx1"/>
                  </w14:solidFill>
                </w14:textFill>
              </w:rPr>
              <w:t>i</w:t>
            </w:r>
          </w:p>
        </w:tc>
        <w:tc>
          <w:tcPr>
            <w:tcW w:w="376" w:type="pct"/>
            <w:shd w:val="clear" w:color="auto" w:fill="auto"/>
            <w:vAlign w:val="bottom"/>
          </w:tcPr>
          <w:p>
            <w:pPr>
              <w:pStyle w:val="332"/>
              <w:rPr>
                <w:rFonts w:eastAsia="等线"/>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0.05</w:t>
            </w:r>
          </w:p>
        </w:tc>
        <w:tc>
          <w:tcPr>
            <w:tcW w:w="376" w:type="pct"/>
            <w:shd w:val="clear" w:color="auto" w:fill="auto"/>
            <w:vAlign w:val="bottom"/>
          </w:tcPr>
          <w:p>
            <w:pPr>
              <w:pStyle w:val="332"/>
              <w:rPr>
                <w:rFonts w:eastAsia="等线"/>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0.5</w:t>
            </w:r>
          </w:p>
        </w:tc>
        <w:tc>
          <w:tcPr>
            <w:tcW w:w="376" w:type="pct"/>
            <w:shd w:val="clear" w:color="auto" w:fill="auto"/>
            <w:vAlign w:val="bottom"/>
          </w:tcPr>
          <w:p>
            <w:pPr>
              <w:pStyle w:val="332"/>
              <w:rPr>
                <w:rFonts w:eastAsia="等线"/>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0.5</w:t>
            </w:r>
          </w:p>
        </w:tc>
        <w:tc>
          <w:tcPr>
            <w:tcW w:w="399"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0.3</w:t>
            </w:r>
          </w:p>
        </w:tc>
        <w:tc>
          <w:tcPr>
            <w:tcW w:w="354"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0.08</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0.05</w:t>
            </w:r>
          </w:p>
        </w:tc>
        <w:tc>
          <w:tcPr>
            <w:tcW w:w="376" w:type="pct"/>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0.07</w:t>
            </w:r>
          </w:p>
        </w:tc>
        <w:tc>
          <w:tcPr>
            <w:tcW w:w="869" w:type="pct"/>
            <w:gridSpan w:val="2"/>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0.7</w:t>
            </w:r>
          </w:p>
        </w:tc>
        <w:tc>
          <w:tcPr>
            <w:tcW w:w="752" w:type="pct"/>
            <w:gridSpan w:val="2"/>
            <w:shd w:val="clear" w:color="auto" w:fill="auto"/>
            <w:vAlign w:val="center"/>
          </w:tcPr>
          <w:p>
            <w:pPr>
              <w:pStyle w:val="332"/>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0.9</w:t>
            </w:r>
          </w:p>
        </w:tc>
        <w:tc>
          <w:tcPr>
            <w:tcW w:w="370" w:type="pct"/>
            <w:shd w:val="clear" w:color="auto" w:fill="auto"/>
            <w:noWrap/>
            <w:vAlign w:val="center"/>
          </w:tcPr>
          <w:p>
            <w:pPr>
              <w:pStyle w:val="332"/>
              <w:rPr>
                <w:rFonts w:eastAsia="等线"/>
                <w:color w:val="000000" w:themeColor="text1"/>
                <w14:textFill>
                  <w14:solidFill>
                    <w14:schemeClr w14:val="tx1"/>
                  </w14:solidFill>
                </w14:textFill>
              </w:rPr>
            </w:pPr>
          </w:p>
        </w:tc>
      </w:tr>
    </w:tbl>
    <w:p>
      <w:pPr>
        <w:ind w:firstLine="0" w:firstLineChars="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注：表中单位：PH值无量纲；细菌总数为个/ml；总大肠菌群为个/L；其他单位为mg/L。</w:t>
      </w:r>
    </w:p>
    <w:p>
      <w:pPr>
        <w:ind w:firstLine="439" w:firstLineChars="183"/>
        <w:rPr>
          <w:rFonts w:cs="Times New Roman"/>
          <w:color w:val="000000" w:themeColor="text1"/>
          <w14:textFill>
            <w14:solidFill>
              <w14:schemeClr w14:val="tx1"/>
            </w14:solidFill>
          </w14:textFill>
        </w:rPr>
      </w:pPr>
      <w:r>
        <w:rPr>
          <w:rFonts w:cs="Times New Roman"/>
          <w:color w:val="000000" w:themeColor="text1"/>
          <w:kern w:val="0"/>
          <w14:textFill>
            <w14:solidFill>
              <w14:schemeClr w14:val="tx1"/>
            </w14:solidFill>
          </w14:textFill>
        </w:rPr>
        <w:t>表中</w:t>
      </w:r>
      <w:r>
        <w:rPr>
          <w:rFonts w:cs="Times New Roman"/>
          <w:color w:val="000000" w:themeColor="text1"/>
          <w14:textFill>
            <w14:solidFill>
              <w14:schemeClr w14:val="tx1"/>
            </w14:solidFill>
          </w14:textFill>
        </w:rPr>
        <w:t>“ND”表示未检出。</w:t>
      </w:r>
    </w:p>
    <w:p>
      <w:pPr>
        <w:ind w:firstLine="480"/>
        <w:rPr>
          <w:rFonts w:cs="Times New Roman"/>
          <w:color w:val="000000" w:themeColor="text1"/>
          <w14:textFill>
            <w14:solidFill>
              <w14:schemeClr w14:val="tx1"/>
            </w14:solidFill>
          </w14:textFill>
        </w:rPr>
      </w:pPr>
    </w:p>
    <w:p>
      <w:pPr>
        <w:ind w:firstLine="480"/>
        <w:rPr>
          <w:rFonts w:cs="Times New Roman"/>
          <w:color w:val="000000" w:themeColor="text1"/>
          <w14:textFill>
            <w14:solidFill>
              <w14:schemeClr w14:val="tx1"/>
            </w14:solidFill>
          </w14:textFill>
        </w:rPr>
        <w:sectPr>
          <w:pgSz w:w="16840" w:h="11907"/>
          <w:pgMar w:top="1418" w:right="1531" w:bottom="1418" w:left="1531" w:header="851" w:footer="992" w:gutter="0"/>
          <w:pgNumType w:fmt="numberInDash"/>
          <w:cols w:space="720" w:num="1"/>
          <w:docGrid w:linePitch="312" w:charSpace="0"/>
        </w:sectPr>
      </w:pPr>
    </w:p>
    <w:p>
      <w:pPr>
        <w:pStyle w:val="4"/>
        <w:rPr>
          <w:rFonts w:cs="Times New Roman"/>
          <w:color w:val="000000" w:themeColor="text1"/>
          <w14:textFill>
            <w14:solidFill>
              <w14:schemeClr w14:val="tx1"/>
            </w14:solidFill>
          </w14:textFill>
        </w:rPr>
      </w:pPr>
      <w:bookmarkStart w:id="502" w:name="_Toc58362819"/>
      <w:bookmarkStart w:id="503" w:name="_Toc91163907"/>
      <w:bookmarkStart w:id="504" w:name="_Toc52791912"/>
      <w:bookmarkStart w:id="505" w:name="_Toc47620044"/>
      <w:bookmarkStart w:id="506" w:name="_Toc47619858"/>
      <w:bookmarkStart w:id="507" w:name="_Toc47619196"/>
      <w:r>
        <w:rPr>
          <w:rFonts w:cs="Times New Roman"/>
          <w:color w:val="000000" w:themeColor="text1"/>
          <w14:textFill>
            <w14:solidFill>
              <w14:schemeClr w14:val="tx1"/>
            </w14:solidFill>
          </w14:textFill>
        </w:rPr>
        <w:t>4.2.4 声环境质量现状调查与评价</w:t>
      </w:r>
      <w:bookmarkEnd w:id="502"/>
      <w:bookmarkEnd w:id="503"/>
      <w:bookmarkEnd w:id="504"/>
      <w:bookmarkEnd w:id="505"/>
      <w:bookmarkEnd w:id="506"/>
      <w:bookmarkEnd w:id="50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建设单位委托山西京诚检测技术有限公司于2021年8月10日对场界四周的声环境现状进行了监测。</w:t>
      </w:r>
    </w:p>
    <w:p>
      <w:pPr>
        <w:pStyle w:val="5"/>
        <w:rPr>
          <w:color w:val="000000" w:themeColor="text1"/>
          <w14:textFill>
            <w14:solidFill>
              <w14:schemeClr w14:val="tx1"/>
            </w14:solidFill>
          </w14:textFill>
        </w:rPr>
      </w:pPr>
      <w:r>
        <w:rPr>
          <w:color w:val="000000" w:themeColor="text1"/>
          <w14:textFill>
            <w14:solidFill>
              <w14:schemeClr w14:val="tx1"/>
            </w14:solidFill>
          </w14:textFill>
        </w:rPr>
        <w:t>4.2.4.1 环境噪声现状监测</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1、监测点的布设</w:t>
      </w:r>
    </w:p>
    <w:p>
      <w:pPr>
        <w:ind w:firstLine="480"/>
        <w:rPr>
          <w:rFonts w:cs="Times New Roman"/>
          <w:color w:val="000000" w:themeColor="text1"/>
          <w14:textFill>
            <w14:solidFill>
              <w14:schemeClr w14:val="tx1"/>
            </w14:solidFill>
          </w14:textFill>
        </w:rPr>
      </w:pPr>
      <w:r>
        <w:rPr>
          <w:rFonts w:cs="Times New Roman"/>
          <w:color w:val="000000" w:themeColor="text1"/>
          <w:kern w:val="0"/>
          <w:szCs w:val="24"/>
          <w14:textFill>
            <w14:solidFill>
              <w14:schemeClr w14:val="tx1"/>
            </w14:solidFill>
          </w14:textFill>
        </w:rPr>
        <w:t>本次监测在场界四周各设置1个监测点（1#~4#）。</w:t>
      </w:r>
      <w:r>
        <w:rPr>
          <w:rFonts w:cs="Times New Roman"/>
          <w:color w:val="000000" w:themeColor="text1"/>
          <w14:textFill>
            <w14:solidFill>
              <w14:schemeClr w14:val="tx1"/>
            </w14:solidFill>
          </w14:textFill>
        </w:rPr>
        <w:t>噪声监测布点图见图4.2-1。</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2、监测项目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监测项目为监测点的等效连续A 声级（Leq）及其统计声级L</w:t>
      </w:r>
      <w:r>
        <w:rPr>
          <w:rFonts w:cs="Times New Roman"/>
          <w:color w:val="000000" w:themeColor="text1"/>
          <w:vertAlign w:val="subscript"/>
          <w14:textFill>
            <w14:solidFill>
              <w14:schemeClr w14:val="tx1"/>
            </w14:solidFill>
          </w14:textFill>
        </w:rPr>
        <w:t>10</w:t>
      </w:r>
      <w:r>
        <w:rPr>
          <w:rFonts w:cs="Times New Roman"/>
          <w:color w:val="000000" w:themeColor="text1"/>
          <w14:textFill>
            <w14:solidFill>
              <w14:schemeClr w14:val="tx1"/>
            </w14:solidFill>
          </w14:textFill>
        </w:rPr>
        <w:t>、L</w:t>
      </w:r>
      <w:r>
        <w:rPr>
          <w:rFonts w:cs="Times New Roman"/>
          <w:color w:val="000000" w:themeColor="text1"/>
          <w:vertAlign w:val="subscript"/>
          <w14:textFill>
            <w14:solidFill>
              <w14:schemeClr w14:val="tx1"/>
            </w14:solidFill>
          </w14:textFill>
        </w:rPr>
        <w:t>50</w:t>
      </w:r>
      <w:r>
        <w:rPr>
          <w:rFonts w:cs="Times New Roman"/>
          <w:color w:val="000000" w:themeColor="text1"/>
          <w14:textFill>
            <w14:solidFill>
              <w14:schemeClr w14:val="tx1"/>
            </w14:solidFill>
          </w14:textFill>
        </w:rPr>
        <w:t>、L</w:t>
      </w:r>
      <w:r>
        <w:rPr>
          <w:rFonts w:cs="Times New Roman"/>
          <w:color w:val="000000" w:themeColor="text1"/>
          <w:vertAlign w:val="subscript"/>
          <w14:textFill>
            <w14:solidFill>
              <w14:schemeClr w14:val="tx1"/>
            </w14:solidFill>
          </w14:textFill>
        </w:rPr>
        <w:t>90</w:t>
      </w:r>
      <w:r>
        <w:rPr>
          <w:rFonts w:cs="Times New Roman"/>
          <w:color w:val="000000" w:themeColor="text1"/>
          <w14:textFill>
            <w14:solidFill>
              <w14:schemeClr w14:val="tx1"/>
            </w14:solidFill>
          </w14:textFill>
        </w:rPr>
        <w:t>。</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3、监测时间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噪声现状监测时间为2021年8月10日，共监测一天，分昼、夜两次进行。昼间监测在06:00-22:00时间段之间，夜间监测在22:00-6:00时间段之间。</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4、测量条件</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测量时的气象条件满足无雨、无雪、风力小于5 m/s的要求。传声器均设在1.2 m高处，同时距周围建筑物最少1 m，监测中尽量避免人群对测量的干扰。</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5、评价方法</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根据现状监测结果，用等效连续A声级L</w:t>
      </w:r>
      <w:r>
        <w:rPr>
          <w:rFonts w:cs="Times New Roman"/>
          <w:color w:val="000000" w:themeColor="text1"/>
          <w:vertAlign w:val="subscript"/>
          <w14:textFill>
            <w14:solidFill>
              <w14:schemeClr w14:val="tx1"/>
            </w14:solidFill>
          </w14:textFill>
        </w:rPr>
        <w:t>Aeq</w:t>
      </w:r>
      <w:r>
        <w:rPr>
          <w:rFonts w:cs="Times New Roman"/>
          <w:color w:val="000000" w:themeColor="text1"/>
          <w14:textFill>
            <w14:solidFill>
              <w14:schemeClr w14:val="tx1"/>
            </w14:solidFill>
          </w14:textFill>
        </w:rPr>
        <w:t>作为评价值，按《声环境质量标准》对评价区内现在的噪声情况进行现状分析评价，为本区域环境噪声预测提供背景值。</w:t>
      </w:r>
    </w:p>
    <w:p>
      <w:pPr>
        <w:pStyle w:val="5"/>
        <w:rPr>
          <w:color w:val="000000" w:themeColor="text1"/>
          <w14:textFill>
            <w14:solidFill>
              <w14:schemeClr w14:val="tx1"/>
            </w14:solidFill>
          </w14:textFill>
        </w:rPr>
      </w:pPr>
      <w:r>
        <w:rPr>
          <w:color w:val="000000" w:themeColor="text1"/>
          <w14:textFill>
            <w14:solidFill>
              <w14:schemeClr w14:val="tx1"/>
            </w14:solidFill>
          </w14:textFill>
        </w:rPr>
        <w:t>4.2.4.2 评价标准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环境噪声执行《声环境质量标准》（GB3096-2008）中1类标准，昼间55 dB（A），夜间45 dB（A）。</w:t>
      </w:r>
    </w:p>
    <w:p>
      <w:pPr>
        <w:pStyle w:val="5"/>
        <w:rPr>
          <w:color w:val="000000" w:themeColor="text1"/>
          <w14:textFill>
            <w14:solidFill>
              <w14:schemeClr w14:val="tx1"/>
            </w14:solidFill>
          </w14:textFill>
        </w:rPr>
      </w:pPr>
      <w:r>
        <w:rPr>
          <w:color w:val="000000" w:themeColor="text1"/>
          <w14:textFill>
            <w14:solidFill>
              <w14:schemeClr w14:val="tx1"/>
            </w14:solidFill>
          </w14:textFill>
        </w:rPr>
        <w:t>4.2.4.3 噪声现状监测结果与评价</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1、环境噪声现状监测结果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本评价环境噪声现状监测结果见表4.2-9。</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表4.2-9 声环境质量现状监测结果表   单位：dB（A）</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73"/>
        <w:gridCol w:w="962"/>
        <w:gridCol w:w="962"/>
        <w:gridCol w:w="962"/>
        <w:gridCol w:w="968"/>
        <w:gridCol w:w="962"/>
        <w:gridCol w:w="962"/>
        <w:gridCol w:w="962"/>
        <w:gridCol w:w="9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47" w:type="pct"/>
            <w:vMerge w:val="restart"/>
            <w:tcBorders>
              <w:top w:val="single" w:color="auto" w:sz="12" w:space="0"/>
              <w:bottom w:val="single" w:color="auto" w:sz="6" w:space="0"/>
            </w:tcBorders>
            <w:vAlign w:val="center"/>
          </w:tcPr>
          <w:p>
            <w:pPr>
              <w:pStyle w:val="332"/>
              <w:rPr>
                <w:color w:val="000000" w:themeColor="text1"/>
                <w:position w:val="-14"/>
                <w14:textFill>
                  <w14:solidFill>
                    <w14:schemeClr w14:val="tx1"/>
                  </w14:solidFill>
                </w14:textFill>
              </w:rPr>
            </w:pPr>
            <w:r>
              <w:rPr>
                <w:color w:val="000000" w:themeColor="text1"/>
                <w14:textFill>
                  <w14:solidFill>
                    <w14:schemeClr w14:val="tx1"/>
                  </w14:solidFill>
                </w14:textFill>
              </w:rPr>
              <w:t>监测点</w:t>
            </w:r>
          </w:p>
        </w:tc>
        <w:tc>
          <w:tcPr>
            <w:tcW w:w="2075" w:type="pct"/>
            <w:gridSpan w:val="4"/>
            <w:tcBorders>
              <w:top w:val="single" w:color="auto" w:sz="12" w:space="0"/>
              <w:bottom w:val="single" w:color="auto" w:sz="6" w:space="0"/>
            </w:tcBorders>
            <w:vAlign w:val="center"/>
          </w:tcPr>
          <w:p>
            <w:pPr>
              <w:pStyle w:val="332"/>
              <w:rPr>
                <w:color w:val="000000" w:themeColor="text1"/>
                <w:position w:val="-14"/>
                <w14:textFill>
                  <w14:solidFill>
                    <w14:schemeClr w14:val="tx1"/>
                  </w14:solidFill>
                </w14:textFill>
              </w:rPr>
            </w:pPr>
            <w:r>
              <w:rPr>
                <w:color w:val="000000" w:themeColor="text1"/>
                <w14:textFill>
                  <w14:solidFill>
                    <w14:schemeClr w14:val="tx1"/>
                  </w14:solidFill>
                </w14:textFill>
              </w:rPr>
              <w:t>昼间dB(A)</w:t>
            </w:r>
          </w:p>
        </w:tc>
        <w:tc>
          <w:tcPr>
            <w:tcW w:w="2078" w:type="pct"/>
            <w:gridSpan w:val="4"/>
            <w:tcBorders>
              <w:top w:val="single" w:color="auto" w:sz="12" w:space="0"/>
              <w:bottom w:val="single" w:color="auto" w:sz="6" w:space="0"/>
            </w:tcBorders>
            <w:vAlign w:val="center"/>
          </w:tcPr>
          <w:p>
            <w:pPr>
              <w:pStyle w:val="332"/>
              <w:rPr>
                <w:color w:val="000000" w:themeColor="text1"/>
                <w:position w:val="-14"/>
                <w14:textFill>
                  <w14:solidFill>
                    <w14:schemeClr w14:val="tx1"/>
                  </w14:solidFill>
                </w14:textFill>
              </w:rPr>
            </w:pPr>
            <w:r>
              <w:rPr>
                <w:color w:val="000000" w:themeColor="text1"/>
                <w14:textFill>
                  <w14:solidFill>
                    <w14:schemeClr w14:val="tx1"/>
                  </w14:solidFill>
                </w14:textFill>
              </w:rPr>
              <w:t>夜间dB(A)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47" w:type="pct"/>
            <w:vMerge w:val="continue"/>
            <w:tcBorders>
              <w:top w:val="single" w:color="auto" w:sz="6" w:space="0"/>
              <w:bottom w:val="single" w:color="auto" w:sz="12" w:space="0"/>
            </w:tcBorders>
            <w:vAlign w:val="center"/>
          </w:tcPr>
          <w:p>
            <w:pPr>
              <w:pStyle w:val="332"/>
              <w:rPr>
                <w:color w:val="000000" w:themeColor="text1"/>
                <w:position w:val="-14"/>
                <w14:textFill>
                  <w14:solidFill>
                    <w14:schemeClr w14:val="tx1"/>
                  </w14:solidFill>
                </w14:textFill>
              </w:rPr>
            </w:pPr>
          </w:p>
        </w:tc>
        <w:tc>
          <w:tcPr>
            <w:tcW w:w="518" w:type="pct"/>
            <w:tcBorders>
              <w:top w:val="single" w:color="auto" w:sz="6" w:space="0"/>
              <w:bottom w:val="single" w:color="auto" w:sz="12" w:space="0"/>
            </w:tcBorders>
            <w:vAlign w:val="center"/>
          </w:tcPr>
          <w:p>
            <w:pPr>
              <w:pStyle w:val="332"/>
              <w:rPr>
                <w:color w:val="000000" w:themeColor="text1"/>
                <w:position w:val="-14"/>
                <w:vertAlign w:val="subscript"/>
                <w14:textFill>
                  <w14:solidFill>
                    <w14:schemeClr w14:val="tx1"/>
                  </w14:solidFill>
                </w14:textFill>
              </w:rPr>
            </w:pPr>
            <w:r>
              <w:rPr>
                <w:bCs/>
                <w:color w:val="000000" w:themeColor="text1"/>
                <w14:textFill>
                  <w14:solidFill>
                    <w14:schemeClr w14:val="tx1"/>
                  </w14:solidFill>
                </w14:textFill>
              </w:rPr>
              <w:t>Leq</w:t>
            </w:r>
          </w:p>
        </w:tc>
        <w:tc>
          <w:tcPr>
            <w:tcW w:w="518" w:type="pct"/>
            <w:tcBorders>
              <w:top w:val="single" w:color="auto" w:sz="6" w:space="0"/>
              <w:bottom w:val="single" w:color="auto" w:sz="12" w:space="0"/>
            </w:tcBorders>
            <w:vAlign w:val="center"/>
          </w:tcPr>
          <w:p>
            <w:pPr>
              <w:pStyle w:val="332"/>
              <w:rPr>
                <w:color w:val="000000" w:themeColor="text1"/>
                <w:position w:val="-14"/>
                <w:vertAlign w:val="subscript"/>
                <w14:textFill>
                  <w14:solidFill>
                    <w14:schemeClr w14:val="tx1"/>
                  </w14:solidFill>
                </w14:textFill>
              </w:rPr>
            </w:pPr>
            <w:r>
              <w:rPr>
                <w:bCs/>
                <w:color w:val="000000" w:themeColor="text1"/>
                <w14:textFill>
                  <w14:solidFill>
                    <w14:schemeClr w14:val="tx1"/>
                  </w14:solidFill>
                </w14:textFill>
              </w:rPr>
              <w:t>L</w:t>
            </w:r>
            <w:r>
              <w:rPr>
                <w:bCs/>
                <w:color w:val="000000" w:themeColor="text1"/>
                <w:vertAlign w:val="subscript"/>
                <w14:textFill>
                  <w14:solidFill>
                    <w14:schemeClr w14:val="tx1"/>
                  </w14:solidFill>
                </w14:textFill>
              </w:rPr>
              <w:t>10</w:t>
            </w:r>
          </w:p>
        </w:tc>
        <w:tc>
          <w:tcPr>
            <w:tcW w:w="518" w:type="pct"/>
            <w:tcBorders>
              <w:top w:val="single" w:color="auto" w:sz="6" w:space="0"/>
              <w:bottom w:val="single" w:color="auto" w:sz="12" w:space="0"/>
            </w:tcBorders>
            <w:vAlign w:val="center"/>
          </w:tcPr>
          <w:p>
            <w:pPr>
              <w:pStyle w:val="332"/>
              <w:rPr>
                <w:color w:val="000000" w:themeColor="text1"/>
                <w:position w:val="-14"/>
                <w:vertAlign w:val="subscript"/>
                <w14:textFill>
                  <w14:solidFill>
                    <w14:schemeClr w14:val="tx1"/>
                  </w14:solidFill>
                </w14:textFill>
              </w:rPr>
            </w:pPr>
            <w:r>
              <w:rPr>
                <w:bCs/>
                <w:color w:val="000000" w:themeColor="text1"/>
                <w14:textFill>
                  <w14:solidFill>
                    <w14:schemeClr w14:val="tx1"/>
                  </w14:solidFill>
                </w14:textFill>
              </w:rPr>
              <w:t>L</w:t>
            </w:r>
            <w:r>
              <w:rPr>
                <w:bCs/>
                <w:color w:val="000000" w:themeColor="text1"/>
                <w:vertAlign w:val="subscript"/>
                <w14:textFill>
                  <w14:solidFill>
                    <w14:schemeClr w14:val="tx1"/>
                  </w14:solidFill>
                </w14:textFill>
              </w:rPr>
              <w:t>50</w:t>
            </w:r>
          </w:p>
        </w:tc>
        <w:tc>
          <w:tcPr>
            <w:tcW w:w="521" w:type="pct"/>
            <w:tcBorders>
              <w:top w:val="single" w:color="auto" w:sz="6" w:space="0"/>
              <w:bottom w:val="single" w:color="auto" w:sz="12" w:space="0"/>
            </w:tcBorders>
            <w:vAlign w:val="center"/>
          </w:tcPr>
          <w:p>
            <w:pPr>
              <w:pStyle w:val="332"/>
              <w:rPr>
                <w:color w:val="000000" w:themeColor="text1"/>
                <w:position w:val="-14"/>
                <w14:textFill>
                  <w14:solidFill>
                    <w14:schemeClr w14:val="tx1"/>
                  </w14:solidFill>
                </w14:textFill>
              </w:rPr>
            </w:pPr>
            <w:r>
              <w:rPr>
                <w:bCs/>
                <w:color w:val="000000" w:themeColor="text1"/>
                <w14:textFill>
                  <w14:solidFill>
                    <w14:schemeClr w14:val="tx1"/>
                  </w14:solidFill>
                </w14:textFill>
              </w:rPr>
              <w:t>L</w:t>
            </w:r>
            <w:r>
              <w:rPr>
                <w:bCs/>
                <w:color w:val="000000" w:themeColor="text1"/>
                <w:vertAlign w:val="subscript"/>
                <w14:textFill>
                  <w14:solidFill>
                    <w14:schemeClr w14:val="tx1"/>
                  </w14:solidFill>
                </w14:textFill>
              </w:rPr>
              <w:t>90</w:t>
            </w:r>
          </w:p>
        </w:tc>
        <w:tc>
          <w:tcPr>
            <w:tcW w:w="518" w:type="pct"/>
            <w:tcBorders>
              <w:top w:val="single" w:color="auto" w:sz="6" w:space="0"/>
              <w:bottom w:val="single" w:color="auto" w:sz="12" w:space="0"/>
            </w:tcBorders>
            <w:vAlign w:val="center"/>
          </w:tcPr>
          <w:p>
            <w:pPr>
              <w:pStyle w:val="332"/>
              <w:rPr>
                <w:color w:val="000000" w:themeColor="text1"/>
                <w:position w:val="-14"/>
                <w:vertAlign w:val="subscript"/>
                <w14:textFill>
                  <w14:solidFill>
                    <w14:schemeClr w14:val="tx1"/>
                  </w14:solidFill>
                </w14:textFill>
              </w:rPr>
            </w:pPr>
            <w:r>
              <w:rPr>
                <w:bCs/>
                <w:color w:val="000000" w:themeColor="text1"/>
                <w14:textFill>
                  <w14:solidFill>
                    <w14:schemeClr w14:val="tx1"/>
                  </w14:solidFill>
                </w14:textFill>
              </w:rPr>
              <w:t>Leq</w:t>
            </w:r>
          </w:p>
        </w:tc>
        <w:tc>
          <w:tcPr>
            <w:tcW w:w="518" w:type="pct"/>
            <w:tcBorders>
              <w:top w:val="single" w:color="auto" w:sz="6" w:space="0"/>
              <w:bottom w:val="single" w:color="auto" w:sz="12" w:space="0"/>
            </w:tcBorders>
            <w:vAlign w:val="center"/>
          </w:tcPr>
          <w:p>
            <w:pPr>
              <w:pStyle w:val="332"/>
              <w:rPr>
                <w:color w:val="000000" w:themeColor="text1"/>
                <w:position w:val="-14"/>
                <w:vertAlign w:val="subscript"/>
                <w14:textFill>
                  <w14:solidFill>
                    <w14:schemeClr w14:val="tx1"/>
                  </w14:solidFill>
                </w14:textFill>
              </w:rPr>
            </w:pPr>
            <w:r>
              <w:rPr>
                <w:bCs/>
                <w:color w:val="000000" w:themeColor="text1"/>
                <w14:textFill>
                  <w14:solidFill>
                    <w14:schemeClr w14:val="tx1"/>
                  </w14:solidFill>
                </w14:textFill>
              </w:rPr>
              <w:t>L</w:t>
            </w:r>
            <w:r>
              <w:rPr>
                <w:bCs/>
                <w:color w:val="000000" w:themeColor="text1"/>
                <w:vertAlign w:val="subscript"/>
                <w14:textFill>
                  <w14:solidFill>
                    <w14:schemeClr w14:val="tx1"/>
                  </w14:solidFill>
                </w14:textFill>
              </w:rPr>
              <w:t>10</w:t>
            </w:r>
          </w:p>
        </w:tc>
        <w:tc>
          <w:tcPr>
            <w:tcW w:w="518" w:type="pct"/>
            <w:tcBorders>
              <w:top w:val="single" w:color="auto" w:sz="6" w:space="0"/>
              <w:bottom w:val="single" w:color="auto" w:sz="12" w:space="0"/>
            </w:tcBorders>
            <w:vAlign w:val="center"/>
          </w:tcPr>
          <w:p>
            <w:pPr>
              <w:pStyle w:val="332"/>
              <w:rPr>
                <w:color w:val="000000" w:themeColor="text1"/>
                <w:position w:val="-14"/>
                <w:vertAlign w:val="subscript"/>
                <w14:textFill>
                  <w14:solidFill>
                    <w14:schemeClr w14:val="tx1"/>
                  </w14:solidFill>
                </w14:textFill>
              </w:rPr>
            </w:pPr>
            <w:r>
              <w:rPr>
                <w:bCs/>
                <w:color w:val="000000" w:themeColor="text1"/>
                <w14:textFill>
                  <w14:solidFill>
                    <w14:schemeClr w14:val="tx1"/>
                  </w14:solidFill>
                </w14:textFill>
              </w:rPr>
              <w:t>L</w:t>
            </w:r>
            <w:r>
              <w:rPr>
                <w:bCs/>
                <w:color w:val="000000" w:themeColor="text1"/>
                <w:vertAlign w:val="subscript"/>
                <w14:textFill>
                  <w14:solidFill>
                    <w14:schemeClr w14:val="tx1"/>
                  </w14:solidFill>
                </w14:textFill>
              </w:rPr>
              <w:t>50</w:t>
            </w:r>
          </w:p>
        </w:tc>
        <w:tc>
          <w:tcPr>
            <w:tcW w:w="523" w:type="pct"/>
            <w:tcBorders>
              <w:top w:val="single" w:color="auto" w:sz="6" w:space="0"/>
              <w:bottom w:val="single" w:color="auto" w:sz="12" w:space="0"/>
            </w:tcBorders>
            <w:vAlign w:val="center"/>
          </w:tcPr>
          <w:p>
            <w:pPr>
              <w:pStyle w:val="332"/>
              <w:rPr>
                <w:color w:val="000000" w:themeColor="text1"/>
                <w:position w:val="-14"/>
                <w14:textFill>
                  <w14:solidFill>
                    <w14:schemeClr w14:val="tx1"/>
                  </w14:solidFill>
                </w14:textFill>
              </w:rPr>
            </w:pPr>
            <w:r>
              <w:rPr>
                <w:bCs/>
                <w:color w:val="000000" w:themeColor="text1"/>
                <w14:textFill>
                  <w14:solidFill>
                    <w14:schemeClr w14:val="tx1"/>
                  </w14:solidFill>
                </w14:textFill>
              </w:rPr>
              <w:t>L</w:t>
            </w:r>
            <w:r>
              <w:rPr>
                <w:bCs/>
                <w:color w:val="000000" w:themeColor="text1"/>
                <w:vertAlign w:val="subscript"/>
                <w14:textFill>
                  <w14:solidFill>
                    <w14:schemeClr w14:val="tx1"/>
                  </w14:solidFill>
                </w14:textFill>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7" w:type="pct"/>
            <w:tcBorders>
              <w:top w:val="single" w:color="auto" w:sz="12" w:space="0"/>
            </w:tcBorders>
            <w:vAlign w:val="center"/>
          </w:tcPr>
          <w:p>
            <w:pPr>
              <w:pStyle w:val="332"/>
              <w:rPr>
                <w:color w:val="000000" w:themeColor="text1"/>
                <w14:textFill>
                  <w14:solidFill>
                    <w14:schemeClr w14:val="tx1"/>
                  </w14:solidFill>
                </w14:textFill>
              </w:rPr>
            </w:pPr>
            <w:r>
              <w:rPr>
                <w:bCs/>
                <w:color w:val="000000" w:themeColor="text1"/>
                <w14:textFill>
                  <w14:solidFill>
                    <w14:schemeClr w14:val="tx1"/>
                  </w14:solidFill>
                </w14:textFill>
              </w:rPr>
              <w:t>1#</w:t>
            </w:r>
          </w:p>
        </w:tc>
        <w:tc>
          <w:tcPr>
            <w:tcW w:w="518" w:type="pct"/>
            <w:tcBorders>
              <w:top w:val="single" w:color="auto" w:sz="12" w:space="0"/>
            </w:tcBorders>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48.7</w:t>
            </w:r>
          </w:p>
        </w:tc>
        <w:tc>
          <w:tcPr>
            <w:tcW w:w="518" w:type="pct"/>
            <w:tcBorders>
              <w:top w:val="single" w:color="auto" w:sz="12" w:space="0"/>
            </w:tcBorders>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50.7</w:t>
            </w:r>
          </w:p>
        </w:tc>
        <w:tc>
          <w:tcPr>
            <w:tcW w:w="518" w:type="pct"/>
            <w:tcBorders>
              <w:top w:val="single" w:color="auto" w:sz="12" w:space="0"/>
            </w:tcBorders>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47.3</w:t>
            </w:r>
          </w:p>
        </w:tc>
        <w:tc>
          <w:tcPr>
            <w:tcW w:w="521" w:type="pct"/>
            <w:tcBorders>
              <w:top w:val="single" w:color="auto" w:sz="12" w:space="0"/>
            </w:tcBorders>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46.2</w:t>
            </w:r>
          </w:p>
        </w:tc>
        <w:tc>
          <w:tcPr>
            <w:tcW w:w="518" w:type="pct"/>
            <w:tcBorders>
              <w:top w:val="single" w:color="auto" w:sz="12" w:space="0"/>
            </w:tcBorders>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43.1</w:t>
            </w:r>
          </w:p>
        </w:tc>
        <w:tc>
          <w:tcPr>
            <w:tcW w:w="518" w:type="pct"/>
            <w:tcBorders>
              <w:top w:val="single" w:color="auto" w:sz="12" w:space="0"/>
            </w:tcBorders>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44.7</w:t>
            </w:r>
          </w:p>
        </w:tc>
        <w:tc>
          <w:tcPr>
            <w:tcW w:w="518" w:type="pct"/>
            <w:tcBorders>
              <w:top w:val="single" w:color="auto" w:sz="12" w:space="0"/>
            </w:tcBorders>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42.1</w:t>
            </w:r>
          </w:p>
        </w:tc>
        <w:tc>
          <w:tcPr>
            <w:tcW w:w="523" w:type="pct"/>
            <w:tcBorders>
              <w:top w:val="single" w:color="auto" w:sz="12" w:space="0"/>
            </w:tcBorders>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7" w:type="pct"/>
            <w:vAlign w:val="center"/>
          </w:tcPr>
          <w:p>
            <w:pPr>
              <w:pStyle w:val="332"/>
              <w:rPr>
                <w:color w:val="000000" w:themeColor="text1"/>
                <w14:textFill>
                  <w14:solidFill>
                    <w14:schemeClr w14:val="tx1"/>
                  </w14:solidFill>
                </w14:textFill>
              </w:rPr>
            </w:pPr>
            <w:r>
              <w:rPr>
                <w:bCs/>
                <w:color w:val="000000" w:themeColor="text1"/>
                <w14:textFill>
                  <w14:solidFill>
                    <w14:schemeClr w14:val="tx1"/>
                  </w14:solidFill>
                </w14:textFill>
              </w:rPr>
              <w:t>2#</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46.2</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48.7</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45.3</w:t>
            </w:r>
          </w:p>
        </w:tc>
        <w:tc>
          <w:tcPr>
            <w:tcW w:w="521"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43.8</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42.4</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45.2</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41.6</w:t>
            </w:r>
          </w:p>
        </w:tc>
        <w:tc>
          <w:tcPr>
            <w:tcW w:w="523"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7" w:type="pct"/>
            <w:vAlign w:val="center"/>
          </w:tcPr>
          <w:p>
            <w:pPr>
              <w:pStyle w:val="332"/>
              <w:rPr>
                <w:color w:val="000000" w:themeColor="text1"/>
                <w14:textFill>
                  <w14:solidFill>
                    <w14:schemeClr w14:val="tx1"/>
                  </w14:solidFill>
                </w14:textFill>
              </w:rPr>
            </w:pPr>
            <w:r>
              <w:rPr>
                <w:bCs/>
                <w:color w:val="000000" w:themeColor="text1"/>
                <w14:textFill>
                  <w14:solidFill>
                    <w14:schemeClr w14:val="tx1"/>
                  </w14:solidFill>
                </w14:textFill>
              </w:rPr>
              <w:t>3#</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47.3</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49.7</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46.1</w:t>
            </w:r>
          </w:p>
        </w:tc>
        <w:tc>
          <w:tcPr>
            <w:tcW w:w="521"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44.1</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41.7</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42.8</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40.4</w:t>
            </w:r>
          </w:p>
        </w:tc>
        <w:tc>
          <w:tcPr>
            <w:tcW w:w="523"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7" w:type="pct"/>
            <w:vAlign w:val="center"/>
          </w:tcPr>
          <w:p>
            <w:pPr>
              <w:pStyle w:val="332"/>
              <w:rPr>
                <w:color w:val="000000" w:themeColor="text1"/>
                <w14:textFill>
                  <w14:solidFill>
                    <w14:schemeClr w14:val="tx1"/>
                  </w14:solidFill>
                </w14:textFill>
              </w:rPr>
            </w:pPr>
            <w:r>
              <w:rPr>
                <w:bCs/>
                <w:color w:val="000000" w:themeColor="text1"/>
                <w14:textFill>
                  <w14:solidFill>
                    <w14:schemeClr w14:val="tx1"/>
                  </w14:solidFill>
                </w14:textFill>
              </w:rPr>
              <w:t>4#</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47.1</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49.7</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45.3</w:t>
            </w:r>
          </w:p>
        </w:tc>
        <w:tc>
          <w:tcPr>
            <w:tcW w:w="521"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43.7</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42.2</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44.7</w:t>
            </w:r>
          </w:p>
        </w:tc>
        <w:tc>
          <w:tcPr>
            <w:tcW w:w="518"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40.3</w:t>
            </w:r>
          </w:p>
        </w:tc>
        <w:tc>
          <w:tcPr>
            <w:tcW w:w="523" w:type="pct"/>
            <w:vAlign w:val="center"/>
          </w:tcPr>
          <w:p>
            <w:pPr>
              <w:pStyle w:val="332"/>
              <w:rPr>
                <w:bCs/>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39.4</w:t>
            </w: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2、环境噪声现状评价</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根据监测结果，项目场界四周各监测点昼间环境噪声值46.2~48.7 dB（A）、昼间环境噪声值41.7~43.1 dB（A），低于《声环境质量标准》（GB3096-2008）中1类标准，昼间55 dB（A），夜间45 dB（A）的要求；说明该区域声环境质量较好。</w:t>
      </w:r>
    </w:p>
    <w:p>
      <w:pPr>
        <w:pStyle w:val="4"/>
        <w:rPr>
          <w:rFonts w:cs="Times New Roman"/>
          <w:color w:val="000000" w:themeColor="text1"/>
          <w14:textFill>
            <w14:solidFill>
              <w14:schemeClr w14:val="tx1"/>
            </w14:solidFill>
          </w14:textFill>
        </w:rPr>
      </w:pPr>
      <w:bookmarkStart w:id="508" w:name="_Toc58362820"/>
      <w:bookmarkStart w:id="509" w:name="_Toc52791913"/>
      <w:bookmarkStart w:id="510" w:name="_Toc47619859"/>
      <w:bookmarkStart w:id="511" w:name="_Toc91163908"/>
      <w:bookmarkStart w:id="512" w:name="_Toc47620045"/>
      <w:bookmarkStart w:id="513" w:name="_Toc47619197"/>
      <w:r>
        <w:rPr>
          <w:rFonts w:cs="Times New Roman"/>
          <w:color w:val="000000" w:themeColor="text1"/>
          <w14:textFill>
            <w14:solidFill>
              <w14:schemeClr w14:val="tx1"/>
            </w14:solidFill>
          </w14:textFill>
        </w:rPr>
        <w:t>4.2.5 土壤环境质量现状调查与评价</w:t>
      </w:r>
      <w:bookmarkEnd w:id="508"/>
      <w:bookmarkEnd w:id="509"/>
      <w:bookmarkEnd w:id="510"/>
      <w:bookmarkEnd w:id="511"/>
      <w:bookmarkEnd w:id="512"/>
      <w:bookmarkEnd w:id="513"/>
    </w:p>
    <w:p>
      <w:pPr>
        <w:pStyle w:val="5"/>
        <w:rPr>
          <w:color w:val="000000" w:themeColor="text1"/>
          <w14:textFill>
            <w14:solidFill>
              <w14:schemeClr w14:val="tx1"/>
            </w14:solidFill>
          </w14:textFill>
        </w:rPr>
      </w:pPr>
      <w:r>
        <w:rPr>
          <w:color w:val="000000" w:themeColor="text1"/>
          <w14:textFill>
            <w14:solidFill>
              <w14:schemeClr w14:val="tx1"/>
            </w14:solidFill>
          </w14:textFill>
        </w:rPr>
        <w:t>4.2.5.1土壤环境质量现状监测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养殖场以污染影响为主，沼液还田区以生态影响为主，属于复合型项目。项目为Ⅲ类项目，所处环境属较敏感，土壤评价等级为三级。建设单位委托山西京诚检测技术有限公司对项目区土壤进行采样及监测。</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1、监测布点</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本项目属于复合影响型，依据评价等级、土地利用及土壤类型，并依据《环境影响评价技术导则  土壤环境（试行）》（HJ964-2018）中现状监测布点类型与数量，本项目布置4个表层样点（0-0.2 m）。采样布点图见图4.2-2。</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表4.2-10 土壤环境监测点一览表</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2407"/>
        <w:gridCol w:w="3022"/>
        <w:gridCol w:w="30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编号</w:t>
            </w:r>
          </w:p>
        </w:tc>
        <w:tc>
          <w:tcPr>
            <w:tcW w:w="129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位置</w:t>
            </w:r>
          </w:p>
        </w:tc>
        <w:tc>
          <w:tcPr>
            <w:tcW w:w="162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相对项目位置</w:t>
            </w:r>
          </w:p>
        </w:tc>
        <w:tc>
          <w:tcPr>
            <w:tcW w:w="162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采样深度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9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场区北部</w:t>
            </w:r>
          </w:p>
        </w:tc>
        <w:tc>
          <w:tcPr>
            <w:tcW w:w="1627"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厂区内</w:t>
            </w:r>
          </w:p>
        </w:tc>
        <w:tc>
          <w:tcPr>
            <w:tcW w:w="1627"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在0~0.2 m取样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129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场区中部</w:t>
            </w:r>
          </w:p>
        </w:tc>
        <w:tc>
          <w:tcPr>
            <w:tcW w:w="1627" w:type="pct"/>
            <w:vMerge w:val="continue"/>
            <w:vAlign w:val="center"/>
          </w:tcPr>
          <w:p>
            <w:pPr>
              <w:pStyle w:val="332"/>
              <w:rPr>
                <w:color w:val="000000" w:themeColor="text1"/>
                <w14:textFill>
                  <w14:solidFill>
                    <w14:schemeClr w14:val="tx1"/>
                  </w14:solidFill>
                </w14:textFill>
              </w:rPr>
            </w:pPr>
          </w:p>
        </w:tc>
        <w:tc>
          <w:tcPr>
            <w:tcW w:w="1627"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129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场区南部</w:t>
            </w:r>
          </w:p>
        </w:tc>
        <w:tc>
          <w:tcPr>
            <w:tcW w:w="1627" w:type="pct"/>
            <w:vMerge w:val="continue"/>
            <w:vAlign w:val="center"/>
          </w:tcPr>
          <w:p>
            <w:pPr>
              <w:pStyle w:val="332"/>
              <w:rPr>
                <w:color w:val="000000" w:themeColor="text1"/>
                <w14:textFill>
                  <w14:solidFill>
                    <w14:schemeClr w14:val="tx1"/>
                  </w14:solidFill>
                </w14:textFill>
              </w:rPr>
            </w:pPr>
          </w:p>
        </w:tc>
        <w:tc>
          <w:tcPr>
            <w:tcW w:w="1627"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129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沼液消纳农田（厂区南侧）</w:t>
            </w:r>
          </w:p>
        </w:tc>
        <w:tc>
          <w:tcPr>
            <w:tcW w:w="162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厂区外周围的沼液消纳农田</w:t>
            </w:r>
          </w:p>
        </w:tc>
        <w:tc>
          <w:tcPr>
            <w:tcW w:w="1627" w:type="pct"/>
            <w:vMerge w:val="continue"/>
            <w:vAlign w:val="center"/>
          </w:tcPr>
          <w:p>
            <w:pPr>
              <w:pStyle w:val="332"/>
              <w:rPr>
                <w:color w:val="000000" w:themeColor="text1"/>
                <w14:textFill>
                  <w14:solidFill>
                    <w14:schemeClr w14:val="tx1"/>
                  </w14:solidFill>
                </w14:textFill>
              </w:rPr>
            </w:pP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2、监测时间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2021年8月10日，采样一次</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3、监测因子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（1）pH、含盐量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（2）基本项目：镉、汞、砷、铅、铬、铜、镍、锌</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（3）六六六、滴滴涕</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4、监测结果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土壤现状监测结果见表4.2-11。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表4.2-11 土壤现状监测结果</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1311"/>
        <w:gridCol w:w="1020"/>
        <w:gridCol w:w="1553"/>
        <w:gridCol w:w="1553"/>
        <w:gridCol w:w="1555"/>
        <w:gridCol w:w="17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305"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706"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检测项目</w:t>
            </w:r>
          </w:p>
        </w:tc>
        <w:tc>
          <w:tcPr>
            <w:tcW w:w="549" w:type="pct"/>
            <w:vMerge w:val="restart"/>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2509"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厂区内</w:t>
            </w:r>
          </w:p>
        </w:tc>
        <w:tc>
          <w:tcPr>
            <w:tcW w:w="93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农田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305"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706"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549" w:type="pct"/>
            <w:vMerge w:val="continue"/>
            <w:tcBorders>
              <w:bottom w:val="single" w:color="auto" w:sz="12" w:space="0"/>
            </w:tcBorders>
            <w:noWrap/>
            <w:vAlign w:val="center"/>
          </w:tcPr>
          <w:p>
            <w:pPr>
              <w:pStyle w:val="332"/>
              <w:rPr>
                <w:color w:val="000000" w:themeColor="text1"/>
                <w14:textFill>
                  <w14:solidFill>
                    <w14:schemeClr w14:val="tx1"/>
                  </w14:solidFill>
                </w14:textFill>
              </w:rPr>
            </w:pPr>
          </w:p>
        </w:tc>
        <w:tc>
          <w:tcPr>
            <w:tcW w:w="836"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w:t>
            </w:r>
            <w:r>
              <w:rPr>
                <w:rFonts w:eastAsia="等线"/>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厂区北部</w:t>
            </w:r>
          </w:p>
        </w:tc>
        <w:tc>
          <w:tcPr>
            <w:tcW w:w="836"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w:t>
            </w:r>
            <w:r>
              <w:rPr>
                <w:rFonts w:eastAsia="等线"/>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厂区中部</w:t>
            </w:r>
          </w:p>
        </w:tc>
        <w:tc>
          <w:tcPr>
            <w:tcW w:w="837"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w:t>
            </w:r>
            <w:r>
              <w:rPr>
                <w:rFonts w:eastAsia="等线"/>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厂区南部</w:t>
            </w:r>
          </w:p>
        </w:tc>
        <w:tc>
          <w:tcPr>
            <w:tcW w:w="931"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w:t>
            </w:r>
            <w:r>
              <w:rPr>
                <w:rFonts w:eastAsia="等线"/>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沼液消化农田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5"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706"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pH</w:t>
            </w:r>
          </w:p>
        </w:tc>
        <w:tc>
          <w:tcPr>
            <w:tcW w:w="549" w:type="pct"/>
            <w:tcBorders>
              <w:top w:val="single" w:color="auto" w:sz="12" w:space="0"/>
              <w:bottom w:val="single" w:color="auto" w:sz="4"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无量纲</w:t>
            </w:r>
          </w:p>
        </w:tc>
        <w:tc>
          <w:tcPr>
            <w:tcW w:w="836"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8.44</w:t>
            </w:r>
          </w:p>
        </w:tc>
        <w:tc>
          <w:tcPr>
            <w:tcW w:w="836"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8.4</w:t>
            </w:r>
          </w:p>
        </w:tc>
        <w:tc>
          <w:tcPr>
            <w:tcW w:w="837"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8.36</w:t>
            </w:r>
          </w:p>
        </w:tc>
        <w:tc>
          <w:tcPr>
            <w:tcW w:w="931"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8.49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5"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70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含盐量</w:t>
            </w:r>
          </w:p>
        </w:tc>
        <w:tc>
          <w:tcPr>
            <w:tcW w:w="549" w:type="pct"/>
            <w:tcBorders>
              <w:top w:val="single" w:color="auto" w:sz="4" w:space="0"/>
              <w:bottom w:val="single" w:color="auto" w:sz="4"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g/kg</w:t>
            </w:r>
          </w:p>
        </w:tc>
        <w:tc>
          <w:tcPr>
            <w:tcW w:w="83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0.08</w:t>
            </w:r>
          </w:p>
        </w:tc>
        <w:tc>
          <w:tcPr>
            <w:tcW w:w="83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0.1</w:t>
            </w:r>
          </w:p>
        </w:tc>
        <w:tc>
          <w:tcPr>
            <w:tcW w:w="837"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0.12</w:t>
            </w:r>
          </w:p>
        </w:tc>
        <w:tc>
          <w:tcPr>
            <w:tcW w:w="931"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5"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70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549" w:type="pct"/>
            <w:tcBorders>
              <w:top w:val="single" w:color="auto" w:sz="4" w:space="0"/>
              <w:bottom w:val="single" w:color="auto" w:sz="4"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24</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21</w:t>
            </w:r>
          </w:p>
        </w:tc>
        <w:tc>
          <w:tcPr>
            <w:tcW w:w="837"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22</w:t>
            </w:r>
          </w:p>
        </w:tc>
        <w:tc>
          <w:tcPr>
            <w:tcW w:w="931"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5"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70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锌</w:t>
            </w:r>
          </w:p>
        </w:tc>
        <w:tc>
          <w:tcPr>
            <w:tcW w:w="549" w:type="pct"/>
            <w:tcBorders>
              <w:top w:val="single" w:color="auto" w:sz="4" w:space="0"/>
              <w:bottom w:val="single" w:color="auto" w:sz="4"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65</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64</w:t>
            </w:r>
          </w:p>
        </w:tc>
        <w:tc>
          <w:tcPr>
            <w:tcW w:w="837"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65</w:t>
            </w:r>
          </w:p>
        </w:tc>
        <w:tc>
          <w:tcPr>
            <w:tcW w:w="931"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5"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70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549" w:type="pct"/>
            <w:tcBorders>
              <w:top w:val="single" w:color="auto" w:sz="4" w:space="0"/>
              <w:bottom w:val="single" w:color="auto" w:sz="4"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27</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22</w:t>
            </w:r>
          </w:p>
        </w:tc>
        <w:tc>
          <w:tcPr>
            <w:tcW w:w="837"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24</w:t>
            </w:r>
          </w:p>
        </w:tc>
        <w:tc>
          <w:tcPr>
            <w:tcW w:w="931"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5"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w:t>
            </w:r>
          </w:p>
        </w:tc>
        <w:tc>
          <w:tcPr>
            <w:tcW w:w="70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铬</w:t>
            </w:r>
          </w:p>
        </w:tc>
        <w:tc>
          <w:tcPr>
            <w:tcW w:w="549" w:type="pct"/>
            <w:tcBorders>
              <w:top w:val="single" w:color="auto" w:sz="4" w:space="0"/>
              <w:bottom w:val="single" w:color="auto" w:sz="4"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58</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55</w:t>
            </w:r>
          </w:p>
        </w:tc>
        <w:tc>
          <w:tcPr>
            <w:tcW w:w="837"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60</w:t>
            </w:r>
          </w:p>
        </w:tc>
        <w:tc>
          <w:tcPr>
            <w:tcW w:w="931"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5"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w:t>
            </w:r>
          </w:p>
        </w:tc>
        <w:tc>
          <w:tcPr>
            <w:tcW w:w="70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镍</w:t>
            </w:r>
          </w:p>
        </w:tc>
        <w:tc>
          <w:tcPr>
            <w:tcW w:w="549" w:type="pct"/>
            <w:tcBorders>
              <w:top w:val="single" w:color="auto" w:sz="4" w:space="0"/>
              <w:bottom w:val="single" w:color="auto" w:sz="4"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38</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38</w:t>
            </w:r>
          </w:p>
        </w:tc>
        <w:tc>
          <w:tcPr>
            <w:tcW w:w="837"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36</w:t>
            </w:r>
          </w:p>
        </w:tc>
        <w:tc>
          <w:tcPr>
            <w:tcW w:w="931"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5"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w:t>
            </w:r>
          </w:p>
        </w:tc>
        <w:tc>
          <w:tcPr>
            <w:tcW w:w="70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549" w:type="pct"/>
            <w:tcBorders>
              <w:top w:val="single" w:color="auto" w:sz="4" w:space="0"/>
              <w:bottom w:val="single" w:color="auto" w:sz="4"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0.16</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0.17</w:t>
            </w:r>
          </w:p>
        </w:tc>
        <w:tc>
          <w:tcPr>
            <w:tcW w:w="837"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0.19</w:t>
            </w:r>
          </w:p>
        </w:tc>
        <w:tc>
          <w:tcPr>
            <w:tcW w:w="931"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5"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w:t>
            </w:r>
          </w:p>
        </w:tc>
        <w:tc>
          <w:tcPr>
            <w:tcW w:w="70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549" w:type="pct"/>
            <w:tcBorders>
              <w:top w:val="single" w:color="auto" w:sz="4" w:space="0"/>
              <w:bottom w:val="single" w:color="auto" w:sz="4"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0.145</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0.171</w:t>
            </w:r>
          </w:p>
        </w:tc>
        <w:tc>
          <w:tcPr>
            <w:tcW w:w="837"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0.231</w:t>
            </w:r>
          </w:p>
        </w:tc>
        <w:tc>
          <w:tcPr>
            <w:tcW w:w="931"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5"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70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549" w:type="pct"/>
            <w:tcBorders>
              <w:top w:val="single" w:color="auto" w:sz="4" w:space="0"/>
              <w:bottom w:val="single" w:color="auto" w:sz="4"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11</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10.8</w:t>
            </w:r>
          </w:p>
        </w:tc>
        <w:tc>
          <w:tcPr>
            <w:tcW w:w="837"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10.1</w:t>
            </w:r>
          </w:p>
        </w:tc>
        <w:tc>
          <w:tcPr>
            <w:tcW w:w="931"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11.5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5"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w:t>
            </w:r>
          </w:p>
        </w:tc>
        <w:tc>
          <w:tcPr>
            <w:tcW w:w="706"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六六六</w:t>
            </w:r>
          </w:p>
        </w:tc>
        <w:tc>
          <w:tcPr>
            <w:tcW w:w="549" w:type="pct"/>
            <w:tcBorders>
              <w:top w:val="single" w:color="auto" w:sz="4" w:space="0"/>
              <w:bottom w:val="single" w:color="auto" w:sz="4"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0.68×10</w:t>
            </w:r>
            <w:r>
              <w:rPr>
                <w:color w:val="000000" w:themeColor="text1"/>
                <w:vertAlign w:val="superscript"/>
                <w14:textFill>
                  <w14:solidFill>
                    <w14:schemeClr w14:val="tx1"/>
                  </w14:solidFill>
                </w14:textFill>
              </w:rPr>
              <w:t>-2</w:t>
            </w:r>
          </w:p>
        </w:tc>
        <w:tc>
          <w:tcPr>
            <w:tcW w:w="836"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0.58×10</w:t>
            </w:r>
            <w:r>
              <w:rPr>
                <w:color w:val="000000" w:themeColor="text1"/>
                <w:vertAlign w:val="superscript"/>
                <w14:textFill>
                  <w14:solidFill>
                    <w14:schemeClr w14:val="tx1"/>
                  </w14:solidFill>
                </w14:textFill>
              </w:rPr>
              <w:t>-2</w:t>
            </w:r>
          </w:p>
        </w:tc>
        <w:tc>
          <w:tcPr>
            <w:tcW w:w="837"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0.71×10</w:t>
            </w:r>
            <w:r>
              <w:rPr>
                <w:color w:val="000000" w:themeColor="text1"/>
                <w:vertAlign w:val="superscript"/>
                <w14:textFill>
                  <w14:solidFill>
                    <w14:schemeClr w14:val="tx1"/>
                  </w14:solidFill>
                </w14:textFill>
              </w:rPr>
              <w:t>-2</w:t>
            </w:r>
          </w:p>
        </w:tc>
        <w:tc>
          <w:tcPr>
            <w:tcW w:w="931" w:type="pct"/>
            <w:tcBorders>
              <w:top w:val="single" w:color="auto" w:sz="4" w:space="0"/>
              <w:bottom w:val="single" w:color="auto" w:sz="4"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0.83×10</w:t>
            </w:r>
            <w:r>
              <w:rPr>
                <w:color w:val="000000" w:themeColor="text1"/>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5"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w:t>
            </w:r>
          </w:p>
        </w:tc>
        <w:tc>
          <w:tcPr>
            <w:tcW w:w="706"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滴滴涕</w:t>
            </w:r>
          </w:p>
        </w:tc>
        <w:tc>
          <w:tcPr>
            <w:tcW w:w="549" w:type="pct"/>
            <w:tcBorders>
              <w:top w:val="single" w:color="auto" w:sz="4" w:space="0"/>
              <w:bottom w:val="single" w:color="auto" w:sz="12"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mg/kg</w:t>
            </w:r>
          </w:p>
        </w:tc>
        <w:tc>
          <w:tcPr>
            <w:tcW w:w="836" w:type="pct"/>
            <w:tcBorders>
              <w:top w:val="single" w:color="auto" w:sz="4" w:space="0"/>
              <w:bottom w:val="single" w:color="auto" w:sz="12"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未检出</w:t>
            </w:r>
          </w:p>
        </w:tc>
        <w:tc>
          <w:tcPr>
            <w:tcW w:w="836" w:type="pct"/>
            <w:tcBorders>
              <w:top w:val="single" w:color="auto" w:sz="4" w:space="0"/>
              <w:bottom w:val="single" w:color="auto" w:sz="12"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0.12×10</w:t>
            </w:r>
            <w:r>
              <w:rPr>
                <w:color w:val="000000" w:themeColor="text1"/>
                <w:vertAlign w:val="superscript"/>
                <w14:textFill>
                  <w14:solidFill>
                    <w14:schemeClr w14:val="tx1"/>
                  </w14:solidFill>
                </w14:textFill>
              </w:rPr>
              <w:t>-2</w:t>
            </w:r>
          </w:p>
        </w:tc>
        <w:tc>
          <w:tcPr>
            <w:tcW w:w="837" w:type="pct"/>
            <w:tcBorders>
              <w:top w:val="single" w:color="auto" w:sz="4" w:space="0"/>
              <w:bottom w:val="single" w:color="auto" w:sz="12"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未检出</w:t>
            </w:r>
          </w:p>
        </w:tc>
        <w:tc>
          <w:tcPr>
            <w:tcW w:w="931" w:type="pct"/>
            <w:tcBorders>
              <w:top w:val="single" w:color="auto" w:sz="4" w:space="0"/>
              <w:bottom w:val="single" w:color="auto" w:sz="12" w:space="0"/>
            </w:tcBorders>
            <w:vAlign w:val="center"/>
          </w:tcPr>
          <w:p>
            <w:pPr>
              <w:pStyle w:val="332"/>
              <w:rPr>
                <w:rFonts w:eastAsia="等线"/>
                <w:color w:val="000000" w:themeColor="text1"/>
                <w:szCs w:val="21"/>
                <w14:textFill>
                  <w14:solidFill>
                    <w14:schemeClr w14:val="tx1"/>
                  </w14:solidFill>
                </w14:textFill>
              </w:rPr>
            </w:pPr>
            <w:r>
              <w:rPr>
                <w:color w:val="000000" w:themeColor="text1"/>
                <w14:textFill>
                  <w14:solidFill>
                    <w14:schemeClr w14:val="tx1"/>
                  </w14:solidFill>
                </w14:textFill>
              </w:rPr>
              <w:t>0.57×10</w:t>
            </w:r>
            <w:r>
              <w:rPr>
                <w:color w:val="000000" w:themeColor="text1"/>
                <w:vertAlign w:val="superscript"/>
                <w14:textFill>
                  <w14:solidFill>
                    <w14:schemeClr w14:val="tx1"/>
                  </w14:solidFill>
                </w14:textFill>
              </w:rPr>
              <w:t>-2</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4.2.5.2土壤环境现状评价</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1、评价标准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本项目占地为农用地，土壤标准执行《土壤环境质量农用地土壤污染风险管控标准》（GB15618-2018）中表1和表3的标准要求。详见表2.3-6。</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2、评价方法</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采用单因子指数法对地下水环境现状监测统计结果进行评价，评价公式为：</w:t>
      </w:r>
    </w:p>
    <w:p>
      <w:pPr>
        <w:ind w:firstLine="480"/>
        <w:rPr>
          <w:rFonts w:cs="Times New Roman"/>
          <w:color w:val="000000" w:themeColor="text1"/>
          <w14:textFill>
            <w14:solidFill>
              <w14:schemeClr w14:val="tx1"/>
            </w14:solidFill>
          </w14:textFill>
        </w:rPr>
      </w:pPr>
      <m:oMathPara>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P</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i</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m:t>
          </m:r>
          <m:f>
            <m:fPr>
              <m:type m:val="lin"/>
              <m:ctrlPr>
                <w:rPr>
                  <w:rFonts w:ascii="Cambria Math" w:hAnsi="Cambria Math" w:cs="Times New Roman"/>
                  <w:color w:val="000000" w:themeColor="text1"/>
                  <w14:textFill>
                    <w14:solidFill>
                      <w14:schemeClr w14:val="tx1"/>
                    </w14:solidFill>
                  </w14:textFill>
                </w:rPr>
              </m:ctrlPr>
            </m:fPr>
            <m:num>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C</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i</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S</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i</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den>
          </m:f>
        </m:oMath>
      </m:oMathPara>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式中：P</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—指污染物i的单因子指数；</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—指污染物i的监测结果；</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—指污染物i的所执行的风险筛选值/风险管控值标准。</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3、评价结果</w:t>
      </w:r>
    </w:p>
    <w:p>
      <w:pPr>
        <w:ind w:firstLine="199" w:firstLineChars="83"/>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采用单因子指数法对土壤现状进行评价，土壤现状评价结果列于表4.4-12。</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表4.2-12 项目土壤基本项目现状统计结果一览表   单位：mg/kg</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869"/>
        <w:gridCol w:w="711"/>
        <w:gridCol w:w="1159"/>
        <w:gridCol w:w="782"/>
        <w:gridCol w:w="1118"/>
        <w:gridCol w:w="600"/>
        <w:gridCol w:w="1161"/>
        <w:gridCol w:w="693"/>
        <w:gridCol w:w="1066"/>
        <w:gridCol w:w="6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36"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68"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检测</w:t>
            </w:r>
          </w:p>
          <w:p>
            <w:pPr>
              <w:pStyle w:val="332"/>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383"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筛选值</w:t>
            </w:r>
          </w:p>
        </w:tc>
        <w:tc>
          <w:tcPr>
            <w:tcW w:w="1045" w:type="pct"/>
            <w:gridSpan w:val="2"/>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1</w:t>
            </w:r>
            <w:r>
              <w:rPr>
                <w:rFonts w:eastAsia="等线"/>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厂区北部</w:t>
            </w:r>
          </w:p>
        </w:tc>
        <w:tc>
          <w:tcPr>
            <w:tcW w:w="925" w:type="pct"/>
            <w:gridSpan w:val="2"/>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w:t>
            </w:r>
            <w:r>
              <w:rPr>
                <w:rFonts w:eastAsia="等线"/>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厂区中部</w:t>
            </w:r>
          </w:p>
        </w:tc>
        <w:tc>
          <w:tcPr>
            <w:tcW w:w="998" w:type="pct"/>
            <w:gridSpan w:val="2"/>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3</w:t>
            </w:r>
            <w:r>
              <w:rPr>
                <w:rFonts w:eastAsia="等线"/>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厂区南部</w:t>
            </w:r>
          </w:p>
        </w:tc>
        <w:tc>
          <w:tcPr>
            <w:tcW w:w="945" w:type="pct"/>
            <w:gridSpan w:val="2"/>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4</w:t>
            </w:r>
            <w:r>
              <w:rPr>
                <w:rFonts w:eastAsia="等线"/>
                <w:color w:val="000000" w:themeColor="text1"/>
                <w:szCs w:val="21"/>
                <w:vertAlign w:val="superscript"/>
                <w14:textFill>
                  <w14:solidFill>
                    <w14:schemeClr w14:val="tx1"/>
                  </w14:solidFill>
                </w14:textFill>
              </w:rPr>
              <w:t>#</w:t>
            </w:r>
            <w:r>
              <w:rPr>
                <w:color w:val="000000" w:themeColor="text1"/>
                <w:szCs w:val="21"/>
                <w14:textFill>
                  <w14:solidFill>
                    <w14:schemeClr w14:val="tx1"/>
                  </w14:solidFill>
                </w14:textFill>
              </w:rPr>
              <w:t>沼液消化农田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36"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468"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383"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624"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监测值</w:t>
            </w:r>
          </w:p>
        </w:tc>
        <w:tc>
          <w:tcPr>
            <w:tcW w:w="421"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i</w:t>
            </w:r>
          </w:p>
        </w:tc>
        <w:tc>
          <w:tcPr>
            <w:tcW w:w="602"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监测值</w:t>
            </w:r>
          </w:p>
        </w:tc>
        <w:tc>
          <w:tcPr>
            <w:tcW w:w="323"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i</w:t>
            </w:r>
          </w:p>
        </w:tc>
        <w:tc>
          <w:tcPr>
            <w:tcW w:w="625"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监测值</w:t>
            </w:r>
          </w:p>
        </w:tc>
        <w:tc>
          <w:tcPr>
            <w:tcW w:w="373"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i</w:t>
            </w:r>
          </w:p>
        </w:tc>
        <w:tc>
          <w:tcPr>
            <w:tcW w:w="574"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监测值</w:t>
            </w:r>
          </w:p>
        </w:tc>
        <w:tc>
          <w:tcPr>
            <w:tcW w:w="371"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w:t>
            </w:r>
            <w:r>
              <w:rPr>
                <w:color w:val="000000" w:themeColor="text1"/>
                <w:vertAlign w:val="subscript"/>
                <w14:textFill>
                  <w14:solidFill>
                    <w14:schemeClr w14:val="tx1"/>
                  </w14:solidFill>
                </w14:textFill>
              </w:rPr>
              <w: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468" w:type="pct"/>
            <w:tcBorders>
              <w:top w:val="single" w:color="auto" w:sz="12" w:space="0"/>
              <w:bottom w:val="single" w:color="auto" w:sz="4"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383"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624"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24</w:t>
            </w:r>
          </w:p>
        </w:tc>
        <w:tc>
          <w:tcPr>
            <w:tcW w:w="421"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c>
          <w:tcPr>
            <w:tcW w:w="602"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21</w:t>
            </w:r>
          </w:p>
        </w:tc>
        <w:tc>
          <w:tcPr>
            <w:tcW w:w="323"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c>
          <w:tcPr>
            <w:tcW w:w="625"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22</w:t>
            </w:r>
          </w:p>
        </w:tc>
        <w:tc>
          <w:tcPr>
            <w:tcW w:w="373"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c>
          <w:tcPr>
            <w:tcW w:w="574"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21</w:t>
            </w:r>
          </w:p>
        </w:tc>
        <w:tc>
          <w:tcPr>
            <w:tcW w:w="371"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 w:type="pct"/>
            <w:tcBorders>
              <w:top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468" w:type="pct"/>
            <w:tcBorders>
              <w:top w:val="single" w:color="auto" w:sz="4"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锌</w:t>
            </w:r>
          </w:p>
        </w:tc>
        <w:tc>
          <w:tcPr>
            <w:tcW w:w="383" w:type="pct"/>
            <w:tcBorders>
              <w:top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624" w:type="pct"/>
            <w:tcBorders>
              <w:top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65</w:t>
            </w:r>
          </w:p>
        </w:tc>
        <w:tc>
          <w:tcPr>
            <w:tcW w:w="421" w:type="pct"/>
            <w:tcBorders>
              <w:top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c>
          <w:tcPr>
            <w:tcW w:w="602" w:type="pct"/>
            <w:tcBorders>
              <w:top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64</w:t>
            </w:r>
          </w:p>
        </w:tc>
        <w:tc>
          <w:tcPr>
            <w:tcW w:w="323" w:type="pct"/>
            <w:tcBorders>
              <w:top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c>
          <w:tcPr>
            <w:tcW w:w="625" w:type="pct"/>
            <w:tcBorders>
              <w:top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65</w:t>
            </w:r>
          </w:p>
        </w:tc>
        <w:tc>
          <w:tcPr>
            <w:tcW w:w="373" w:type="pct"/>
            <w:tcBorders>
              <w:top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c>
          <w:tcPr>
            <w:tcW w:w="574" w:type="pct"/>
            <w:tcBorders>
              <w:top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65</w:t>
            </w:r>
          </w:p>
        </w:tc>
        <w:tc>
          <w:tcPr>
            <w:tcW w:w="371" w:type="pct"/>
            <w:tcBorders>
              <w:top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468" w:type="pct"/>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38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170</w:t>
            </w:r>
          </w:p>
        </w:tc>
        <w:tc>
          <w:tcPr>
            <w:tcW w:w="62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27</w:t>
            </w:r>
          </w:p>
        </w:tc>
        <w:tc>
          <w:tcPr>
            <w:tcW w:w="421"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c>
          <w:tcPr>
            <w:tcW w:w="6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22</w:t>
            </w:r>
          </w:p>
        </w:tc>
        <w:tc>
          <w:tcPr>
            <w:tcW w:w="323"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0.1</w:t>
            </w:r>
          </w:p>
        </w:tc>
        <w:tc>
          <w:tcPr>
            <w:tcW w:w="62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24</w:t>
            </w:r>
          </w:p>
        </w:tc>
        <w:tc>
          <w:tcPr>
            <w:tcW w:w="373"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0.1</w:t>
            </w:r>
          </w:p>
        </w:tc>
        <w:tc>
          <w:tcPr>
            <w:tcW w:w="5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21</w:t>
            </w:r>
          </w:p>
        </w:tc>
        <w:tc>
          <w:tcPr>
            <w:tcW w:w="371"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468" w:type="pct"/>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铬</w:t>
            </w:r>
          </w:p>
        </w:tc>
        <w:tc>
          <w:tcPr>
            <w:tcW w:w="38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250</w:t>
            </w:r>
          </w:p>
        </w:tc>
        <w:tc>
          <w:tcPr>
            <w:tcW w:w="62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58</w:t>
            </w:r>
          </w:p>
        </w:tc>
        <w:tc>
          <w:tcPr>
            <w:tcW w:w="421"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c>
          <w:tcPr>
            <w:tcW w:w="6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w:t>
            </w:r>
          </w:p>
        </w:tc>
        <w:tc>
          <w:tcPr>
            <w:tcW w:w="323"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c>
          <w:tcPr>
            <w:tcW w:w="62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60</w:t>
            </w:r>
          </w:p>
        </w:tc>
        <w:tc>
          <w:tcPr>
            <w:tcW w:w="373"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c>
          <w:tcPr>
            <w:tcW w:w="5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59</w:t>
            </w:r>
          </w:p>
        </w:tc>
        <w:tc>
          <w:tcPr>
            <w:tcW w:w="371"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468" w:type="pct"/>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镍</w:t>
            </w:r>
          </w:p>
        </w:tc>
        <w:tc>
          <w:tcPr>
            <w:tcW w:w="38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190</w:t>
            </w:r>
          </w:p>
        </w:tc>
        <w:tc>
          <w:tcPr>
            <w:tcW w:w="62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38</w:t>
            </w:r>
          </w:p>
        </w:tc>
        <w:tc>
          <w:tcPr>
            <w:tcW w:w="421"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c>
          <w:tcPr>
            <w:tcW w:w="6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38</w:t>
            </w:r>
          </w:p>
        </w:tc>
        <w:tc>
          <w:tcPr>
            <w:tcW w:w="323"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c>
          <w:tcPr>
            <w:tcW w:w="62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w:t>
            </w:r>
          </w:p>
        </w:tc>
        <w:tc>
          <w:tcPr>
            <w:tcW w:w="373"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c>
          <w:tcPr>
            <w:tcW w:w="5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39</w:t>
            </w:r>
          </w:p>
        </w:tc>
        <w:tc>
          <w:tcPr>
            <w:tcW w:w="371"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w:t>
            </w:r>
          </w:p>
        </w:tc>
        <w:tc>
          <w:tcPr>
            <w:tcW w:w="468" w:type="pct"/>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38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0.6</w:t>
            </w:r>
          </w:p>
        </w:tc>
        <w:tc>
          <w:tcPr>
            <w:tcW w:w="62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0.16</w:t>
            </w:r>
          </w:p>
        </w:tc>
        <w:tc>
          <w:tcPr>
            <w:tcW w:w="421"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0.3</w:t>
            </w:r>
          </w:p>
        </w:tc>
        <w:tc>
          <w:tcPr>
            <w:tcW w:w="6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0.17</w:t>
            </w:r>
          </w:p>
        </w:tc>
        <w:tc>
          <w:tcPr>
            <w:tcW w:w="323"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0.3</w:t>
            </w:r>
          </w:p>
        </w:tc>
        <w:tc>
          <w:tcPr>
            <w:tcW w:w="62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0.19</w:t>
            </w:r>
          </w:p>
        </w:tc>
        <w:tc>
          <w:tcPr>
            <w:tcW w:w="373"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0.3</w:t>
            </w:r>
          </w:p>
        </w:tc>
        <w:tc>
          <w:tcPr>
            <w:tcW w:w="5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0.18</w:t>
            </w:r>
          </w:p>
        </w:tc>
        <w:tc>
          <w:tcPr>
            <w:tcW w:w="371"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w:t>
            </w:r>
          </w:p>
        </w:tc>
        <w:tc>
          <w:tcPr>
            <w:tcW w:w="468" w:type="pct"/>
            <w:shd w:val="clear" w:color="FFFFCC" w:fill="FFFFFF"/>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38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3.4</w:t>
            </w:r>
          </w:p>
        </w:tc>
        <w:tc>
          <w:tcPr>
            <w:tcW w:w="62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0.145</w:t>
            </w:r>
          </w:p>
        </w:tc>
        <w:tc>
          <w:tcPr>
            <w:tcW w:w="421"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w:t>
            </w:r>
          </w:p>
        </w:tc>
        <w:tc>
          <w:tcPr>
            <w:tcW w:w="6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0.171</w:t>
            </w:r>
          </w:p>
        </w:tc>
        <w:tc>
          <w:tcPr>
            <w:tcW w:w="323"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0.1</w:t>
            </w:r>
          </w:p>
        </w:tc>
        <w:tc>
          <w:tcPr>
            <w:tcW w:w="62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0.231</w:t>
            </w:r>
          </w:p>
        </w:tc>
        <w:tc>
          <w:tcPr>
            <w:tcW w:w="373"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0.1</w:t>
            </w:r>
          </w:p>
        </w:tc>
        <w:tc>
          <w:tcPr>
            <w:tcW w:w="5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371"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w:t>
            </w:r>
          </w:p>
        </w:tc>
        <w:tc>
          <w:tcPr>
            <w:tcW w:w="468" w:type="pct"/>
            <w:shd w:val="clear" w:color="FFFFCC" w:fill="FFFFFF"/>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38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25</w:t>
            </w:r>
          </w:p>
        </w:tc>
        <w:tc>
          <w:tcPr>
            <w:tcW w:w="62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w:t>
            </w:r>
          </w:p>
        </w:tc>
        <w:tc>
          <w:tcPr>
            <w:tcW w:w="421"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0.4</w:t>
            </w:r>
          </w:p>
        </w:tc>
        <w:tc>
          <w:tcPr>
            <w:tcW w:w="6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10.8</w:t>
            </w:r>
          </w:p>
        </w:tc>
        <w:tc>
          <w:tcPr>
            <w:tcW w:w="323"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0.4</w:t>
            </w:r>
          </w:p>
        </w:tc>
        <w:tc>
          <w:tcPr>
            <w:tcW w:w="62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10.1</w:t>
            </w:r>
          </w:p>
        </w:tc>
        <w:tc>
          <w:tcPr>
            <w:tcW w:w="373"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0.4</w:t>
            </w:r>
          </w:p>
        </w:tc>
        <w:tc>
          <w:tcPr>
            <w:tcW w:w="5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11.5</w:t>
            </w:r>
          </w:p>
        </w:tc>
        <w:tc>
          <w:tcPr>
            <w:tcW w:w="371"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w:t>
            </w:r>
          </w:p>
        </w:tc>
        <w:tc>
          <w:tcPr>
            <w:tcW w:w="468" w:type="pct"/>
            <w:shd w:val="clear" w:color="FFFFCC" w:fill="FFFFFF"/>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六六六</w:t>
            </w:r>
          </w:p>
        </w:tc>
        <w:tc>
          <w:tcPr>
            <w:tcW w:w="38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w:t>
            </w:r>
          </w:p>
        </w:tc>
        <w:tc>
          <w:tcPr>
            <w:tcW w:w="62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0.68×10</w:t>
            </w:r>
            <w:r>
              <w:rPr>
                <w:color w:val="000000" w:themeColor="text1"/>
                <w:vertAlign w:val="superscript"/>
                <w14:textFill>
                  <w14:solidFill>
                    <w14:schemeClr w14:val="tx1"/>
                  </w14:solidFill>
                </w14:textFill>
              </w:rPr>
              <w:t>-2</w:t>
            </w:r>
          </w:p>
        </w:tc>
        <w:tc>
          <w:tcPr>
            <w:tcW w:w="42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6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0.58×10</w:t>
            </w:r>
            <w:r>
              <w:rPr>
                <w:color w:val="000000" w:themeColor="text1"/>
                <w:vertAlign w:val="superscript"/>
                <w14:textFill>
                  <w14:solidFill>
                    <w14:schemeClr w14:val="tx1"/>
                  </w14:solidFill>
                </w14:textFill>
              </w:rPr>
              <w:t>-2</w:t>
            </w:r>
          </w:p>
        </w:tc>
        <w:tc>
          <w:tcPr>
            <w:tcW w:w="323"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0.06</w:t>
            </w:r>
          </w:p>
        </w:tc>
        <w:tc>
          <w:tcPr>
            <w:tcW w:w="62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0.71×10</w:t>
            </w:r>
            <w:r>
              <w:rPr>
                <w:color w:val="000000" w:themeColor="text1"/>
                <w:vertAlign w:val="superscript"/>
                <w14:textFill>
                  <w14:solidFill>
                    <w14:schemeClr w14:val="tx1"/>
                  </w14:solidFill>
                </w14:textFill>
              </w:rPr>
              <w:t>-2</w:t>
            </w:r>
          </w:p>
        </w:tc>
        <w:tc>
          <w:tcPr>
            <w:tcW w:w="37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0.07</w:t>
            </w:r>
          </w:p>
        </w:tc>
        <w:tc>
          <w:tcPr>
            <w:tcW w:w="5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0.83×10</w:t>
            </w:r>
            <w:r>
              <w:rPr>
                <w:color w:val="000000" w:themeColor="text1"/>
                <w:vertAlign w:val="superscript"/>
                <w14:textFill>
                  <w14:solidFill>
                    <w14:schemeClr w14:val="tx1"/>
                  </w14:solidFill>
                </w14:textFill>
              </w:rPr>
              <w:t>-2</w:t>
            </w:r>
          </w:p>
        </w:tc>
        <w:tc>
          <w:tcPr>
            <w:tcW w:w="371"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468" w:type="pct"/>
            <w:shd w:val="clear" w:color="FFFFCC" w:fill="FFFFFF"/>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滴滴涕</w:t>
            </w:r>
          </w:p>
        </w:tc>
        <w:tc>
          <w:tcPr>
            <w:tcW w:w="38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w:t>
            </w:r>
          </w:p>
        </w:tc>
        <w:tc>
          <w:tcPr>
            <w:tcW w:w="62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42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0.12×10</w:t>
            </w:r>
            <w:r>
              <w:rPr>
                <w:color w:val="000000" w:themeColor="text1"/>
                <w:vertAlign w:val="superscript"/>
                <w14:textFill>
                  <w14:solidFill>
                    <w14:schemeClr w14:val="tx1"/>
                  </w14:solidFill>
                </w14:textFill>
              </w:rPr>
              <w:t>-2</w:t>
            </w:r>
          </w:p>
        </w:tc>
        <w:tc>
          <w:tcPr>
            <w:tcW w:w="323"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0.01</w:t>
            </w:r>
          </w:p>
        </w:tc>
        <w:tc>
          <w:tcPr>
            <w:tcW w:w="62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未检出</w:t>
            </w:r>
          </w:p>
        </w:tc>
        <w:tc>
          <w:tcPr>
            <w:tcW w:w="37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5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0.57×10</w:t>
            </w:r>
            <w:r>
              <w:rPr>
                <w:color w:val="000000" w:themeColor="text1"/>
                <w:vertAlign w:val="superscript"/>
                <w14:textFill>
                  <w14:solidFill>
                    <w14:schemeClr w14:val="tx1"/>
                  </w14:solidFill>
                </w14:textFill>
              </w:rPr>
              <w:t>-2</w:t>
            </w:r>
          </w:p>
        </w:tc>
        <w:tc>
          <w:tcPr>
            <w:tcW w:w="371"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0.06</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由表4.2-10可知评价区域土壤含盐量监测结果在0.07~0.12 g/kg，屯留区属于半干旱地区，根据《环境影响评价技术导则 土壤环境（试行）》（HJ964-2018）附录D表D.1土壤盐化分级标准，属于未盐化。</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根据《环境影响评价技术导则 土壤环境（试行）》（HJ964-2018）附录D表D.2土壤酸化、碱化分级标准，评价区域场地及沼液消化农田范围内土壤pH监测结果在8.36~8.49，属于无酸化或碱化。</w:t>
      </w:r>
    </w:p>
    <w:p>
      <w:pPr>
        <w:autoSpaceDE w:val="0"/>
        <w:autoSpaceDN w:val="0"/>
        <w:ind w:firstLine="48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由表4.2-11可知</w:t>
      </w:r>
      <w:r>
        <w:rPr>
          <w:rFonts w:cs="Times New Roman"/>
          <w:bCs/>
          <w:color w:val="000000" w:themeColor="text1"/>
          <w14:textFill>
            <w14:solidFill>
              <w14:schemeClr w14:val="tx1"/>
            </w14:solidFill>
          </w14:textFill>
        </w:rPr>
        <w:t>，占地范围内及沼液消化农田的监测点各项指标</w:t>
      </w:r>
      <w:r>
        <w:rPr>
          <w:rFonts w:cs="Times New Roman"/>
          <w:color w:val="000000" w:themeColor="text1"/>
          <w14:textFill>
            <w14:solidFill>
              <w14:schemeClr w14:val="tx1"/>
            </w14:solidFill>
          </w14:textFill>
        </w:rPr>
        <w:t>P</w:t>
      </w:r>
      <w:r>
        <w:rPr>
          <w:rFonts w:cs="Times New Roman"/>
          <w:color w:val="000000" w:themeColor="text1"/>
          <w:vertAlign w:val="subscript"/>
          <w14:textFill>
            <w14:solidFill>
              <w14:schemeClr w14:val="tx1"/>
            </w14:solidFill>
          </w14:textFill>
        </w:rPr>
        <w:t>i</w:t>
      </w:r>
      <w:r>
        <w:rPr>
          <w:rFonts w:cs="Times New Roman"/>
          <w:color w:val="000000" w:themeColor="text1"/>
          <w14:textFill>
            <w14:solidFill>
              <w14:schemeClr w14:val="tx1"/>
            </w14:solidFill>
          </w14:textFill>
        </w:rPr>
        <w:t>值均小于1，《土壤环境质量 农用地土壤污染风险管控标准（试行）》（GB15618-2018））农用地土壤污染风险筛选值的要求。</w:t>
      </w:r>
      <w:r>
        <w:rPr>
          <w:rFonts w:cs="Times New Roman"/>
          <w:bCs/>
          <w:color w:val="000000" w:themeColor="text1"/>
          <w14:textFill>
            <w14:solidFill>
              <w14:schemeClr w14:val="tx1"/>
            </w14:solidFill>
          </w14:textFill>
        </w:rPr>
        <w:t>项目所在区域土壤质量良好。</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.2.5.3</w:t>
      </w:r>
      <w:r>
        <w:rPr>
          <w:rFonts w:hint="eastAsia"/>
          <w:color w:val="000000" w:themeColor="text1"/>
          <w14:textFill>
            <w14:solidFill>
              <w14:schemeClr w14:val="tx1"/>
            </w14:solidFill>
          </w14:textFill>
        </w:rPr>
        <w:t>土壤理化特性调查</w:t>
      </w:r>
    </w:p>
    <w:p>
      <w:pPr>
        <w:ind w:firstLine="480"/>
        <w:rPr>
          <w:color w:val="000000" w:themeColor="text1"/>
          <w:lang w:bidi="en-US"/>
          <w14:textFill>
            <w14:solidFill>
              <w14:schemeClr w14:val="tx1"/>
            </w14:solidFill>
          </w14:textFill>
        </w:rPr>
      </w:pPr>
      <w:r>
        <w:rPr>
          <w:rFonts w:hint="eastAsia"/>
          <w:color w:val="000000" w:themeColor="text1"/>
          <w:lang w:bidi="en-US"/>
          <w14:textFill>
            <w14:solidFill>
              <w14:schemeClr w14:val="tx1"/>
            </w14:solidFill>
          </w14:textFill>
        </w:rPr>
        <w:t>本次评价调查了评价区域内土壤理化性质，具体参数见表</w:t>
      </w:r>
      <w:r>
        <w:rPr>
          <w:rFonts w:cs="Times New Roman"/>
          <w:color w:val="000000" w:themeColor="text1"/>
          <w14:textFill>
            <w14:solidFill>
              <w14:schemeClr w14:val="tx1"/>
            </w14:solidFill>
          </w14:textFill>
        </w:rPr>
        <w:t>4.2-13</w:t>
      </w:r>
      <w:r>
        <w:rPr>
          <w:rFonts w:hint="eastAsia"/>
          <w:color w:val="000000" w:themeColor="text1"/>
          <w:lang w:bidi="en-US"/>
          <w14:textFill>
            <w14:solidFill>
              <w14:schemeClr w14:val="tx1"/>
            </w14:solidFill>
          </w14:textFill>
        </w:rPr>
        <w:t>。</w:t>
      </w:r>
    </w:p>
    <w:p>
      <w:pPr>
        <w:pStyle w:val="333"/>
        <w:spacing w:before="120"/>
        <w:rPr>
          <w:color w:val="000000" w:themeColor="text1"/>
          <w14:textFill>
            <w14:solidFill>
              <w14:schemeClr w14:val="tx1"/>
            </w14:solidFill>
          </w14:textFill>
        </w:rPr>
      </w:pPr>
      <w:r>
        <w:rPr>
          <w:rFonts w:hint="eastAsia"/>
          <w:color w:val="000000" w:themeColor="text1"/>
          <w:lang w:bidi="en-US"/>
          <w14:textFill>
            <w14:solidFill>
              <w14:schemeClr w14:val="tx1"/>
            </w14:solidFill>
          </w14:textFill>
        </w:rPr>
        <w:t>表</w:t>
      </w:r>
      <w:r>
        <w:rPr>
          <w:color w:val="000000" w:themeColor="text1"/>
          <w14:textFill>
            <w14:solidFill>
              <w14:schemeClr w14:val="tx1"/>
            </w14:solidFill>
          </w14:textFill>
        </w:rPr>
        <w:t xml:space="preserve">4.2-13 </w:t>
      </w:r>
      <w:r>
        <w:rPr>
          <w:rFonts w:hint="eastAsia"/>
          <w:color w:val="000000" w:themeColor="text1"/>
          <w14:textFill>
            <w14:solidFill>
              <w14:schemeClr w14:val="tx1"/>
            </w14:solidFill>
          </w14:textFill>
        </w:rPr>
        <w:t>土壤理化特性调查表</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1987"/>
        <w:gridCol w:w="1661"/>
        <w:gridCol w:w="1661"/>
        <w:gridCol w:w="1662"/>
        <w:gridCol w:w="18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42" w:type="pct"/>
            <w:gridSpan w:val="2"/>
            <w:tcBorders>
              <w:top w:val="single" w:color="auto" w:sz="12" w:space="0"/>
              <w:bottom w:val="single" w:color="auto" w:sz="12" w:space="0"/>
              <w:tl2br w:val="single" w:color="auto" w:sz="4" w:space="0"/>
            </w:tcBorders>
            <w:vAlign w:val="center"/>
          </w:tcPr>
          <w:p>
            <w:pPr>
              <w:pStyle w:val="332"/>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点位</w:t>
            </w:r>
          </w:p>
          <w:p>
            <w:pPr>
              <w:pStyle w:val="332"/>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性状</w:t>
            </w:r>
          </w:p>
        </w:tc>
        <w:tc>
          <w:tcPr>
            <w:tcW w:w="89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1#厂区北部</w:t>
            </w:r>
          </w:p>
        </w:tc>
        <w:tc>
          <w:tcPr>
            <w:tcW w:w="89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2#厂区中部</w:t>
            </w:r>
          </w:p>
        </w:tc>
        <w:tc>
          <w:tcPr>
            <w:tcW w:w="895"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3#厂区南部</w:t>
            </w:r>
          </w:p>
        </w:tc>
        <w:tc>
          <w:tcPr>
            <w:tcW w:w="975"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4#沼液消化农田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Merge w:val="restart"/>
            <w:tcBorders>
              <w:top w:val="single" w:color="auto" w:sz="12" w:space="0"/>
            </w:tcBorders>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现场记录</w:t>
            </w:r>
          </w:p>
        </w:tc>
        <w:tc>
          <w:tcPr>
            <w:tcW w:w="1070" w:type="pct"/>
            <w:tcBorders>
              <w:top w:val="single" w:color="auto" w:sz="12" w:space="0"/>
            </w:tcBorders>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颜色</w:t>
            </w:r>
          </w:p>
        </w:tc>
        <w:tc>
          <w:tcPr>
            <w:tcW w:w="894" w:type="pct"/>
            <w:tcBorders>
              <w:top w:val="single" w:color="auto" w:sz="12" w:space="0"/>
            </w:tcBorders>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黄</w:t>
            </w:r>
          </w:p>
        </w:tc>
        <w:tc>
          <w:tcPr>
            <w:tcW w:w="894" w:type="pct"/>
            <w:tcBorders>
              <w:top w:val="single" w:color="auto" w:sz="12" w:space="0"/>
            </w:tcBorders>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黄</w:t>
            </w:r>
          </w:p>
        </w:tc>
        <w:tc>
          <w:tcPr>
            <w:tcW w:w="895" w:type="pct"/>
            <w:tcBorders>
              <w:top w:val="single" w:color="auto" w:sz="12" w:space="0"/>
            </w:tcBorders>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黄</w:t>
            </w:r>
          </w:p>
        </w:tc>
        <w:tc>
          <w:tcPr>
            <w:tcW w:w="975" w:type="pct"/>
            <w:tcBorders>
              <w:top w:val="single" w:color="auto" w:sz="12" w:space="0"/>
            </w:tcBorders>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Merge w:val="continue"/>
            <w:vAlign w:val="center"/>
          </w:tcPr>
          <w:p>
            <w:pPr>
              <w:pStyle w:val="332"/>
              <w:rPr>
                <w:color w:val="000000" w:themeColor="text1"/>
                <w14:textFill>
                  <w14:solidFill>
                    <w14:schemeClr w14:val="tx1"/>
                  </w14:solidFill>
                </w14:textFill>
              </w:rPr>
            </w:pPr>
          </w:p>
        </w:tc>
        <w:tc>
          <w:tcPr>
            <w:tcW w:w="1070"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结构</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c>
          <w:tcPr>
            <w:tcW w:w="89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c>
          <w:tcPr>
            <w:tcW w:w="97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团粒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Merge w:val="continue"/>
            <w:vAlign w:val="center"/>
          </w:tcPr>
          <w:p>
            <w:pPr>
              <w:pStyle w:val="332"/>
              <w:rPr>
                <w:color w:val="000000" w:themeColor="text1"/>
                <w14:textFill>
                  <w14:solidFill>
                    <w14:schemeClr w14:val="tx1"/>
                  </w14:solidFill>
                </w14:textFill>
              </w:rPr>
            </w:pPr>
          </w:p>
        </w:tc>
        <w:tc>
          <w:tcPr>
            <w:tcW w:w="1070"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质地</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砂土</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砂土</w:t>
            </w:r>
          </w:p>
        </w:tc>
        <w:tc>
          <w:tcPr>
            <w:tcW w:w="89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砂土</w:t>
            </w:r>
          </w:p>
        </w:tc>
        <w:tc>
          <w:tcPr>
            <w:tcW w:w="97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砂土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Merge w:val="continue"/>
            <w:vAlign w:val="center"/>
          </w:tcPr>
          <w:p>
            <w:pPr>
              <w:pStyle w:val="332"/>
              <w:rPr>
                <w:color w:val="000000" w:themeColor="text1"/>
                <w14:textFill>
                  <w14:solidFill>
                    <w14:schemeClr w14:val="tx1"/>
                  </w14:solidFill>
                </w14:textFill>
              </w:rPr>
            </w:pPr>
          </w:p>
        </w:tc>
        <w:tc>
          <w:tcPr>
            <w:tcW w:w="1070"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砂砾含量</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89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97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Merge w:val="continue"/>
            <w:vAlign w:val="center"/>
          </w:tcPr>
          <w:p>
            <w:pPr>
              <w:pStyle w:val="332"/>
              <w:rPr>
                <w:color w:val="000000" w:themeColor="text1"/>
                <w14:textFill>
                  <w14:solidFill>
                    <w14:schemeClr w14:val="tx1"/>
                  </w14:solidFill>
                </w14:textFill>
              </w:rPr>
            </w:pPr>
          </w:p>
        </w:tc>
        <w:tc>
          <w:tcPr>
            <w:tcW w:w="1070"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其他异物</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89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97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Merge w:val="restar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实验室测定</w:t>
            </w:r>
          </w:p>
        </w:tc>
        <w:tc>
          <w:tcPr>
            <w:tcW w:w="1070"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pH值</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8.44</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8.40</w:t>
            </w:r>
          </w:p>
        </w:tc>
        <w:tc>
          <w:tcPr>
            <w:tcW w:w="89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8.36</w:t>
            </w:r>
          </w:p>
        </w:tc>
        <w:tc>
          <w:tcPr>
            <w:tcW w:w="97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8.49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Merge w:val="continue"/>
            <w:vAlign w:val="center"/>
          </w:tcPr>
          <w:p>
            <w:pPr>
              <w:pStyle w:val="332"/>
              <w:rPr>
                <w:color w:val="000000" w:themeColor="text1"/>
                <w14:textFill>
                  <w14:solidFill>
                    <w14:schemeClr w14:val="tx1"/>
                  </w14:solidFill>
                </w14:textFill>
              </w:rPr>
            </w:pPr>
          </w:p>
        </w:tc>
        <w:tc>
          <w:tcPr>
            <w:tcW w:w="1070"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阳离子交换量</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13.9</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14.5</w:t>
            </w:r>
          </w:p>
        </w:tc>
        <w:tc>
          <w:tcPr>
            <w:tcW w:w="89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13.6</w:t>
            </w:r>
          </w:p>
        </w:tc>
        <w:tc>
          <w:tcPr>
            <w:tcW w:w="97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Merge w:val="continue"/>
            <w:vAlign w:val="center"/>
          </w:tcPr>
          <w:p>
            <w:pPr>
              <w:pStyle w:val="332"/>
              <w:rPr>
                <w:color w:val="000000" w:themeColor="text1"/>
                <w14:textFill>
                  <w14:solidFill>
                    <w14:schemeClr w14:val="tx1"/>
                  </w14:solidFill>
                </w14:textFill>
              </w:rPr>
            </w:pPr>
          </w:p>
        </w:tc>
        <w:tc>
          <w:tcPr>
            <w:tcW w:w="1070"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氧化还原电位</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284</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289</w:t>
            </w:r>
          </w:p>
        </w:tc>
        <w:tc>
          <w:tcPr>
            <w:tcW w:w="89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283</w:t>
            </w:r>
          </w:p>
        </w:tc>
        <w:tc>
          <w:tcPr>
            <w:tcW w:w="97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293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Merge w:val="continue"/>
            <w:vAlign w:val="center"/>
          </w:tcPr>
          <w:p>
            <w:pPr>
              <w:pStyle w:val="332"/>
              <w:rPr>
                <w:color w:val="000000" w:themeColor="text1"/>
                <w14:textFill>
                  <w14:solidFill>
                    <w14:schemeClr w14:val="tx1"/>
                  </w14:solidFill>
                </w14:textFill>
              </w:rPr>
            </w:pPr>
          </w:p>
        </w:tc>
        <w:tc>
          <w:tcPr>
            <w:tcW w:w="1070"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饱和含水量/（cm/s）</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1.27×10</w:t>
            </w:r>
            <w:r>
              <w:rPr>
                <w:rFonts w:hint="eastAsia"/>
                <w:color w:val="000000" w:themeColor="text1"/>
                <w:vertAlign w:val="superscript"/>
                <w14:textFill>
                  <w14:solidFill>
                    <w14:schemeClr w14:val="tx1"/>
                  </w14:solidFill>
                </w14:textFill>
              </w:rPr>
              <w:t>-4</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1.20×10</w:t>
            </w:r>
            <w:r>
              <w:rPr>
                <w:rFonts w:hint="eastAsia"/>
                <w:color w:val="000000" w:themeColor="text1"/>
                <w:vertAlign w:val="superscript"/>
                <w14:textFill>
                  <w14:solidFill>
                    <w14:schemeClr w14:val="tx1"/>
                  </w14:solidFill>
                </w14:textFill>
              </w:rPr>
              <w:t>-4</w:t>
            </w:r>
          </w:p>
        </w:tc>
        <w:tc>
          <w:tcPr>
            <w:tcW w:w="89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1.19×10</w:t>
            </w:r>
            <w:r>
              <w:rPr>
                <w:rFonts w:hint="eastAsia"/>
                <w:color w:val="000000" w:themeColor="text1"/>
                <w:vertAlign w:val="superscript"/>
                <w14:textFill>
                  <w14:solidFill>
                    <w14:schemeClr w14:val="tx1"/>
                  </w14:solidFill>
                </w14:textFill>
              </w:rPr>
              <w:t>-4</w:t>
            </w:r>
          </w:p>
        </w:tc>
        <w:tc>
          <w:tcPr>
            <w:tcW w:w="97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1.29×10</w:t>
            </w:r>
            <w:r>
              <w:rPr>
                <w:rFonts w:hint="eastAsia"/>
                <w:color w:val="000000" w:themeColor="text1"/>
                <w:vertAlign w:val="superscript"/>
                <w14:textFill>
                  <w14:solidFill>
                    <w14:schemeClr w14:val="tx1"/>
                  </w14:solidFill>
                </w14:textFill>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Merge w:val="continue"/>
            <w:vAlign w:val="center"/>
          </w:tcPr>
          <w:p>
            <w:pPr>
              <w:pStyle w:val="332"/>
              <w:rPr>
                <w:color w:val="000000" w:themeColor="text1"/>
                <w14:textFill>
                  <w14:solidFill>
                    <w14:schemeClr w14:val="tx1"/>
                  </w14:solidFill>
                </w14:textFill>
              </w:rPr>
            </w:pPr>
          </w:p>
        </w:tc>
        <w:tc>
          <w:tcPr>
            <w:tcW w:w="1070"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土壤容重/（kg/m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89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97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 w:type="pct"/>
            <w:vMerge w:val="continue"/>
            <w:vAlign w:val="center"/>
          </w:tcPr>
          <w:p>
            <w:pPr>
              <w:pStyle w:val="332"/>
              <w:rPr>
                <w:color w:val="000000" w:themeColor="text1"/>
                <w14:textFill>
                  <w14:solidFill>
                    <w14:schemeClr w14:val="tx1"/>
                  </w14:solidFill>
                </w14:textFill>
              </w:rPr>
            </w:pPr>
          </w:p>
        </w:tc>
        <w:tc>
          <w:tcPr>
            <w:tcW w:w="1070"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孔隙度</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26</w:t>
            </w:r>
          </w:p>
        </w:tc>
        <w:tc>
          <w:tcPr>
            <w:tcW w:w="894"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26</w:t>
            </w:r>
          </w:p>
        </w:tc>
        <w:tc>
          <w:tcPr>
            <w:tcW w:w="89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29</w:t>
            </w:r>
          </w:p>
        </w:tc>
        <w:tc>
          <w:tcPr>
            <w:tcW w:w="975"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r>
    </w:tbl>
    <w:p>
      <w:pPr>
        <w:pStyle w:val="3"/>
        <w:spacing w:before="120" w:after="120"/>
        <w:rPr>
          <w:rFonts w:cs="Times New Roman"/>
          <w:color w:val="000000" w:themeColor="text1"/>
          <w14:textFill>
            <w14:solidFill>
              <w14:schemeClr w14:val="tx1"/>
            </w14:solidFill>
          </w14:textFill>
        </w:rPr>
      </w:pPr>
      <w:bookmarkStart w:id="514" w:name="_Toc91163909"/>
      <w:bookmarkStart w:id="515" w:name="_Toc58362822"/>
      <w:bookmarkStart w:id="516" w:name="_Toc57195319"/>
      <w:r>
        <w:rPr>
          <w:rFonts w:cs="Times New Roman"/>
          <w:color w:val="000000" w:themeColor="text1"/>
          <w14:textFill>
            <w14:solidFill>
              <w14:schemeClr w14:val="tx1"/>
            </w14:solidFill>
          </w14:textFill>
        </w:rPr>
        <w:t>4.3  环境保护目标调查</w:t>
      </w:r>
      <w:bookmarkEnd w:id="514"/>
      <w:bookmarkEnd w:id="515"/>
      <w:bookmarkEnd w:id="516"/>
    </w:p>
    <w:p>
      <w:pPr>
        <w:ind w:firstLine="480"/>
        <w:rPr>
          <w:color w:val="000000" w:themeColor="text1"/>
          <w:lang w:bidi="en-US"/>
          <w14:textFill>
            <w14:solidFill>
              <w14:schemeClr w14:val="tx1"/>
            </w14:solidFill>
          </w14:textFill>
        </w:rPr>
      </w:pPr>
      <w:r>
        <w:rPr>
          <w:rFonts w:cs="Times New Roman"/>
          <w:color w:val="000000" w:themeColor="text1"/>
          <w14:textFill>
            <w14:solidFill>
              <w14:schemeClr w14:val="tx1"/>
            </w14:solidFill>
          </w14:textFill>
        </w:rPr>
        <w:t>结合工程特点，确定本次评价主要环境保护目标为：评价区</w:t>
      </w:r>
      <w:r>
        <w:rPr>
          <w:rFonts w:cs="Times New Roman"/>
          <w:color w:val="000000" w:themeColor="text1"/>
          <w:spacing w:val="4"/>
          <w14:textFill>
            <w14:solidFill>
              <w14:schemeClr w14:val="tx1"/>
            </w14:solidFill>
          </w14:textFill>
        </w:rPr>
        <w:t>境空气质量、水环境、村庄居民、生态环境以及文物等敏感因素。工程环境保护目标详见第二章2.7小结，及表</w:t>
      </w:r>
      <w:r>
        <w:rPr>
          <w:rFonts w:cs="Times New Roman"/>
          <w:color w:val="000000" w:themeColor="text1"/>
          <w14:textFill>
            <w14:solidFill>
              <w14:schemeClr w14:val="tx1"/>
            </w14:solidFill>
          </w14:textFill>
        </w:rPr>
        <w:t>2.7-1、图2.7-1。</w:t>
      </w:r>
    </w:p>
    <w:p>
      <w:pPr>
        <w:ind w:firstLine="480"/>
        <w:rPr>
          <w:rFonts w:cs="Times New Roman"/>
          <w:color w:val="000000" w:themeColor="text1"/>
          <w14:textFill>
            <w14:solidFill>
              <w14:schemeClr w14:val="tx1"/>
            </w14:solidFill>
          </w14:textFill>
        </w:rPr>
        <w:sectPr>
          <w:pgSz w:w="11907" w:h="16840"/>
          <w:pgMar w:top="1531" w:right="1418" w:bottom="1531" w:left="1418" w:header="851" w:footer="992" w:gutter="0"/>
          <w:pgNumType w:fmt="numberInDash"/>
          <w:cols w:space="720" w:num="1"/>
          <w:docGrid w:linePitch="312" w:charSpace="0"/>
        </w:sectPr>
      </w:pPr>
    </w:p>
    <w:p>
      <w:pPr>
        <w:pStyle w:val="333"/>
        <w:spacing w:before="120"/>
        <w:rPr>
          <w:rFonts w:cs="Times New Roman"/>
          <w:color w:val="000000" w:themeColor="text1"/>
          <w14:textFill>
            <w14:solidFill>
              <w14:schemeClr w14:val="tx1"/>
            </w14:solidFill>
          </w14:textFill>
        </w:rPr>
        <w:sectPr>
          <w:pgSz w:w="16840" w:h="11907" w:orient="landscape"/>
          <w:pgMar w:top="1418" w:right="1531" w:bottom="1418" w:left="1531" w:header="851" w:footer="992" w:gutter="0"/>
          <w:pgNumType w:fmt="numberInDash"/>
          <w:cols w:space="720" w:num="1"/>
          <w:docGrid w:linePitch="326" w:charSpace="0"/>
        </w:sectPr>
      </w:pPr>
      <w:r>
        <w:rPr>
          <w:rFonts w:cs="Times New Roman"/>
          <w:color w:val="000000" w:themeColor="text1"/>
          <w14:textFill>
            <w14:solidFill>
              <w14:schemeClr w14:val="tx1"/>
            </w14:solidFill>
          </w14:textFill>
        </w:rPr>
        <w:t>图4.2-2 土壤现状监测布点图</w:t>
      </w:r>
    </w:p>
    <w:p>
      <w:pPr>
        <w:pStyle w:val="2"/>
        <w:spacing w:before="240" w:after="120"/>
        <w:rPr>
          <w:rFonts w:cs="Times New Roman"/>
          <w:color w:val="000000" w:themeColor="text1"/>
          <w14:textFill>
            <w14:solidFill>
              <w14:schemeClr w14:val="tx1"/>
            </w14:solidFill>
          </w14:textFill>
        </w:rPr>
      </w:pPr>
      <w:bookmarkStart w:id="517" w:name="_Toc47619470"/>
      <w:bookmarkStart w:id="518" w:name="_Toc47619364"/>
      <w:bookmarkStart w:id="519" w:name="_Toc47619200"/>
      <w:bookmarkStart w:id="520" w:name="_Toc47619862"/>
      <w:bookmarkStart w:id="521" w:name="_Toc47620048"/>
      <w:bookmarkStart w:id="522" w:name="_Toc52791916"/>
      <w:bookmarkStart w:id="523" w:name="_Toc91163910"/>
      <w:bookmarkStart w:id="524" w:name="_Toc58362823"/>
      <w:r>
        <w:rPr>
          <w:rFonts w:cs="Times New Roman"/>
          <w:color w:val="000000" w:themeColor="text1"/>
          <w14:textFill>
            <w14:solidFill>
              <w14:schemeClr w14:val="tx1"/>
            </w14:solidFill>
          </w14:textFill>
        </w:rPr>
        <w:t>第五章 环境影响预测与评价</w:t>
      </w:r>
      <w:bookmarkEnd w:id="517"/>
      <w:bookmarkEnd w:id="518"/>
      <w:bookmarkEnd w:id="519"/>
      <w:bookmarkEnd w:id="520"/>
      <w:bookmarkEnd w:id="521"/>
      <w:bookmarkEnd w:id="522"/>
      <w:bookmarkEnd w:id="523"/>
      <w:bookmarkEnd w:id="524"/>
    </w:p>
    <w:p>
      <w:pPr>
        <w:pStyle w:val="3"/>
        <w:spacing w:before="120" w:after="120"/>
        <w:rPr>
          <w:rFonts w:cs="Times New Roman"/>
          <w:color w:val="000000" w:themeColor="text1"/>
          <w14:textFill>
            <w14:solidFill>
              <w14:schemeClr w14:val="tx1"/>
            </w14:solidFill>
          </w14:textFill>
        </w:rPr>
      </w:pPr>
      <w:bookmarkStart w:id="525" w:name="_Toc47619872"/>
      <w:bookmarkStart w:id="526" w:name="_Toc47619473"/>
      <w:bookmarkStart w:id="527" w:name="_Toc47619367"/>
      <w:bookmarkStart w:id="528" w:name="_Toc47619210"/>
      <w:bookmarkStart w:id="529" w:name="_Toc47620058"/>
      <w:bookmarkStart w:id="530" w:name="_Toc52791926"/>
      <w:bookmarkStart w:id="531" w:name="_Toc58362824"/>
      <w:bookmarkStart w:id="532" w:name="_Toc91163911"/>
      <w:bookmarkStart w:id="533" w:name="_Toc47619205"/>
      <w:bookmarkStart w:id="534" w:name="_Toc47619472"/>
      <w:bookmarkStart w:id="535" w:name="_Toc47619366"/>
      <w:bookmarkStart w:id="536" w:name="_Toc47619867"/>
      <w:bookmarkStart w:id="537" w:name="_Toc47620053"/>
      <w:bookmarkStart w:id="538" w:name="_Toc52791921"/>
      <w:bookmarkStart w:id="539" w:name="_Toc375725059"/>
      <w:bookmarkStart w:id="540" w:name="_Toc270513511"/>
      <w:bookmarkStart w:id="541" w:name="_Toc282017710"/>
      <w:bookmarkStart w:id="542" w:name="_Toc15286"/>
      <w:bookmarkStart w:id="543" w:name="_Toc32725"/>
      <w:bookmarkStart w:id="544" w:name="_Toc21298"/>
      <w:bookmarkStart w:id="545" w:name="_Toc825"/>
      <w:bookmarkStart w:id="546" w:name="_Toc14548"/>
      <w:bookmarkStart w:id="547" w:name="_Toc10765"/>
      <w:r>
        <w:rPr>
          <w:rFonts w:cs="Times New Roman"/>
          <w:color w:val="000000" w:themeColor="text1"/>
          <w14:textFill>
            <w14:solidFill>
              <w14:schemeClr w14:val="tx1"/>
            </w14:solidFill>
          </w14:textFill>
        </w:rPr>
        <w:t xml:space="preserve">5.1  </w:t>
      </w:r>
      <w:bookmarkEnd w:id="525"/>
      <w:bookmarkEnd w:id="526"/>
      <w:bookmarkEnd w:id="527"/>
      <w:bookmarkEnd w:id="528"/>
      <w:bookmarkEnd w:id="529"/>
      <w:bookmarkEnd w:id="530"/>
      <w:bookmarkEnd w:id="531"/>
      <w:r>
        <w:rPr>
          <w:rFonts w:cs="Times New Roman"/>
          <w:color w:val="000000" w:themeColor="text1"/>
          <w14:textFill>
            <w14:solidFill>
              <w14:schemeClr w14:val="tx1"/>
            </w14:solidFill>
          </w14:textFill>
        </w:rPr>
        <w:t>施工期环境影响分析</w:t>
      </w:r>
      <w:bookmarkEnd w:id="532"/>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建设可分为土石方、打桩、建筑结构、房屋装修、设备安装调试5个阶段，各项施工活动将不可避免地对周围环境产生影响。主要包括废气和粉尘、噪声、固体废物、废水等对周围环境的影响，其中尤以粉尘和施工噪声影响较为明显。不同施工阶段主要污染源及污染物排放情况见下表。</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表5.1-1 不同施工阶段主要污染源及污染物排放情况</w:t>
      </w:r>
    </w:p>
    <w:p>
      <w:pPr>
        <w:kinsoku w:val="0"/>
        <w:overflowPunct w:val="0"/>
        <w:autoSpaceDE w:val="0"/>
        <w:autoSpaceDN w:val="0"/>
        <w:adjustRightInd w:val="0"/>
        <w:spacing w:before="3" w:line="240" w:lineRule="auto"/>
        <w:ind w:firstLine="0" w:firstLineChars="0"/>
        <w:jc w:val="left"/>
        <w:rPr>
          <w:rFonts w:cs="Times New Roman"/>
          <w:color w:val="000000" w:themeColor="text1"/>
          <w:kern w:val="0"/>
          <w:sz w:val="4"/>
          <w:szCs w:val="4"/>
          <w14:textFill>
            <w14:solidFill>
              <w14:schemeClr w14:val="tx1"/>
            </w14:solidFill>
          </w14:textFill>
        </w:rPr>
      </w:pPr>
      <w:bookmarkStart w:id="548" w:name="5.1.1大气环境影响分析"/>
      <w:bookmarkEnd w:id="548"/>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1857"/>
        <w:gridCol w:w="3371"/>
        <w:gridCol w:w="3873"/>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bookmarkStart w:id="549" w:name="5.1施工期环境影响分析"/>
            <w:bookmarkEnd w:id="549"/>
            <w:bookmarkStart w:id="550" w:name="5环境影响预测与评价"/>
            <w:bookmarkEnd w:id="550"/>
            <w:r>
              <w:rPr>
                <w:color w:val="000000" w:themeColor="text1"/>
                <w14:textFill>
                  <w14:solidFill>
                    <w14:schemeClr w14:val="tx1"/>
                  </w14:solidFill>
                </w14:textFill>
              </w:rPr>
              <w:t>施工阶段</w:t>
            </w:r>
          </w:p>
        </w:tc>
        <w:tc>
          <w:tcPr>
            <w:tcW w:w="185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主要污染源</w:t>
            </w:r>
          </w:p>
        </w:tc>
        <w:tc>
          <w:tcPr>
            <w:tcW w:w="212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主要污染物</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土石方阶段</w:t>
            </w:r>
          </w:p>
        </w:tc>
        <w:tc>
          <w:tcPr>
            <w:tcW w:w="185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裸露地面、土方堆场、挖掘机、推土机、铲车、运输卡车</w:t>
            </w:r>
          </w:p>
        </w:tc>
        <w:tc>
          <w:tcPr>
            <w:tcW w:w="2128"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spacing w:val="-3"/>
                <w14:textFill>
                  <w14:solidFill>
                    <w14:schemeClr w14:val="tx1"/>
                  </w14:solidFill>
                </w14:textFill>
              </w:rPr>
              <w:t>扬尘、噪声、垃圾、车辆尾气、施工排水</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打桩阶段</w:t>
            </w:r>
          </w:p>
        </w:tc>
        <w:tc>
          <w:tcPr>
            <w:tcW w:w="185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打桩机、运输卡车等</w:t>
            </w:r>
          </w:p>
        </w:tc>
        <w:tc>
          <w:tcPr>
            <w:tcW w:w="212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扬尘、噪声、车辆尾气</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建筑结构阶段</w:t>
            </w:r>
          </w:p>
        </w:tc>
        <w:tc>
          <w:tcPr>
            <w:tcW w:w="1852" w:type="pct"/>
            <w:vAlign w:val="center"/>
          </w:tcPr>
          <w:p>
            <w:pPr>
              <w:pStyle w:val="332"/>
              <w:rPr>
                <w:color w:val="000000" w:themeColor="text1"/>
                <w14:textFill>
                  <w14:solidFill>
                    <w14:schemeClr w14:val="tx1"/>
                  </w14:solidFill>
                </w14:textFill>
              </w:rPr>
            </w:pPr>
            <w:r>
              <w:rPr>
                <w:color w:val="000000" w:themeColor="text1"/>
                <w:spacing w:val="-2"/>
                <w:w w:val="95"/>
                <w14:textFill>
                  <w14:solidFill>
                    <w14:schemeClr w14:val="tx1"/>
                  </w14:solidFill>
                </w14:textFill>
              </w:rPr>
              <w:t>建材堆场、进出场地车辆、振捣棒、</w:t>
            </w:r>
            <w:r>
              <w:rPr>
                <w:color w:val="000000" w:themeColor="text1"/>
                <w14:textFill>
                  <w14:solidFill>
                    <w14:schemeClr w14:val="tx1"/>
                  </w14:solidFill>
                </w14:textFill>
              </w:rPr>
              <w:t>电锯等</w:t>
            </w:r>
          </w:p>
        </w:tc>
        <w:tc>
          <w:tcPr>
            <w:tcW w:w="2128" w:type="pct"/>
            <w:vAlign w:val="center"/>
          </w:tcPr>
          <w:p>
            <w:pPr>
              <w:pStyle w:val="332"/>
              <w:rPr>
                <w:color w:val="000000" w:themeColor="text1"/>
                <w14:textFill>
                  <w14:solidFill>
                    <w14:schemeClr w14:val="tx1"/>
                  </w14:solidFill>
                </w14:textFill>
              </w:rPr>
            </w:pPr>
            <w:r>
              <w:rPr>
                <w:color w:val="000000" w:themeColor="text1"/>
                <w:spacing w:val="-3"/>
                <w14:textFill>
                  <w14:solidFill>
                    <w14:schemeClr w14:val="tx1"/>
                  </w14:solidFill>
                </w14:textFill>
              </w:rPr>
              <w:t>扬尘、噪声、垃圾、车辆尾气、施工排水</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厂房、办公楼装修</w:t>
            </w:r>
          </w:p>
        </w:tc>
        <w:tc>
          <w:tcPr>
            <w:tcW w:w="185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切割机、电钻等</w:t>
            </w:r>
          </w:p>
        </w:tc>
        <w:tc>
          <w:tcPr>
            <w:tcW w:w="212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粉尘、废气、噪声、垃圾</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设备安装调试阶</w:t>
            </w:r>
            <w:r>
              <w:rPr>
                <w:color w:val="000000" w:themeColor="text1"/>
                <w:w w:val="99"/>
                <w14:textFill>
                  <w14:solidFill>
                    <w14:schemeClr w14:val="tx1"/>
                  </w14:solidFill>
                </w14:textFill>
              </w:rPr>
              <w:t>段</w:t>
            </w:r>
          </w:p>
        </w:tc>
        <w:tc>
          <w:tcPr>
            <w:tcW w:w="185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吊车、升降机、切割等机械</w:t>
            </w:r>
          </w:p>
        </w:tc>
        <w:tc>
          <w:tcPr>
            <w:tcW w:w="212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噪声、垃圾、车辆尾气、施工排水</w:t>
            </w:r>
          </w:p>
        </w:tc>
      </w:tr>
    </w:tbl>
    <w:p>
      <w:pPr>
        <w:pStyle w:val="4"/>
        <w:rPr>
          <w:rFonts w:cs="Times New Roman"/>
          <w:color w:val="000000" w:themeColor="text1"/>
          <w14:textFill>
            <w14:solidFill>
              <w14:schemeClr w14:val="tx1"/>
            </w14:solidFill>
          </w14:textFill>
        </w:rPr>
      </w:pPr>
      <w:bookmarkStart w:id="551" w:name="_Toc91163912"/>
      <w:r>
        <w:rPr>
          <w:rFonts w:cs="Times New Roman"/>
          <w:color w:val="000000" w:themeColor="text1"/>
          <w14:textFill>
            <w14:solidFill>
              <w14:schemeClr w14:val="tx1"/>
            </w14:solidFill>
          </w14:textFill>
        </w:rPr>
        <w:t>5.1.1 大气环境影响分析</w:t>
      </w:r>
      <w:bookmarkEnd w:id="551"/>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本项目施工阶段的大气污染主要为施工过程产生的扬尘、机械设备排放尾气。</w:t>
      </w:r>
    </w:p>
    <w:p>
      <w:pPr>
        <w:pStyle w:val="5"/>
        <w:rPr>
          <w:color w:val="000000" w:themeColor="text1"/>
          <w14:textFill>
            <w14:solidFill>
              <w14:schemeClr w14:val="tx1"/>
            </w14:solidFill>
          </w14:textFill>
        </w:rPr>
      </w:pPr>
      <w:r>
        <w:rPr>
          <w:color w:val="000000" w:themeColor="text1"/>
          <w14:textFill>
            <w14:solidFill>
              <w14:schemeClr w14:val="tx1"/>
            </w14:solidFill>
          </w14:textFill>
        </w:rPr>
        <w:t>5.1.1.1施工期扬尘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1、扬尘主要来源如下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（1）建筑材料如石灰、砂子等在其装卸、运输、堆放过程中，因风力作用将产生扬尘污染；</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（2）运输车辆往来将造成地面扬尘；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（3）施工垃圾在其堆放和清运过程中将产生扬尘；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（4）管线工程施工过程产生的扬尘；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上述施工过程中产生的废气及扬尘会造成对周围大气环境的污染，其中又以扬尘的危害较为严重。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施工期间产生的扬尘污染主要决定于施工作业方式、材料的堆放以及风力等因素，其中受风力因素的影响最大。在一般气象条件下，平均风速为4.5 m/s，建筑工地内TSP浓度为其上风向对照点的2~2.5倍；建筑施工扬尘的影响范围在其下风向可达150m，该范围内TSP浓度平均值可达0.49 mg/Nm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。当有围栏维护时，同等条件下其影响距离可缩短40%。当风速大于5 m/s时，施工现场及其下风向部分区域的TSP浓度可超过环境空气质量标准中标准限值，且随着风速的增加，施工扬尘产生的污染程度和超标范围也将随之增强和扩大。</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2、防治措施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根据《防治城市扬尘污染技术规范》HJ/T393-2007，晋环发[2010]136号“关于加强建筑施工扬尘排污费核定征收工作的通知”要求，施工期扬尘污染防治措施具体如下：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施工工地各种工业料堆及固体废弃物堆场由于堆积、装卸、传送以及风蚀作用等会造成一定的扬尘，故在施工过程中应及时清运，定期洒水，遮盖蓬布等措施进行抑尘，其抑尘效率可达75%，大大减少扬尘污染对大气环境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（2）当施工过程中遇到干燥、易起尘的工程作业时，应洒水抑尘，尽量缩短起尘操作时间，遇到风力较大天气时应停止作业。</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（3）进出工地的运输车辆应尽可能采用密闭车斗，保证物料不遗撒外漏；当车辆无密闭车斗时，装载高度不得超过车辆槽帮上沿，并用蓬布遮盖；运输车辆应严格按照规定的行车路线和时间进行物料的输送。</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（4）施工期间的工地内及出口处铺设钢板、水泥混凝土、细石等，并配以洒水、道路清扫等措施保证路面清洁，减少车辆行驶过程的道路扬尘。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禁止施工现场搅拌混凝土，全部采用预拌商品混凝土。临时料场应分别布置在各期工程施工范围内，施工过程中划定固定区域，禁止随意堆放，使用过程中对料场进行及时覆盖，使用完成后对料场进行及时地清理和恢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（6）施工出口处置清除车轮泥土的设备，确保车辆不带泥土驶出工地。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（7）施工物料运输车辆必须按照交通部门核准的运输路线和时间运行，本项目建设单位有责任对运输车辆的线路进行监督，不得图便利自行选择其他线路。</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（8）管道采用大开挖方式，管沟开挖时应将挖出的土方堆放到焊接施工对面一侧的位置，堆土距沟边距不小于0.5 m。大风天气应将土方进行覆盖，减少扬尘产生。在耕作区开挖时，应将表层耕作土与下层土分别堆放，管线铺设完成后分层回填，表层土用做耕作土。施工结束后恢复原地形地貌。</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根据山西省人民政府办公厅晋政办发[2020]17号《关于印发山西省打赢蓝天保卫战2020年决战计划的通知》中第五项综合管控面源污染中提出：坚决提升扬尘污染管控水平全面加强降尘整治。严格落实施工工地扬尘整治“六个百分之百”要求。推行“阳光施工”“阳光运输”，减少夜间施工和运输。依法严查渣土运输车辆未按规定时间和路线行驶、沿途抛洒、随意倾倒等行为。</w:t>
      </w:r>
    </w:p>
    <w:p>
      <w:pPr>
        <w:pStyle w:val="5"/>
        <w:rPr>
          <w:color w:val="000000" w:themeColor="text1"/>
          <w14:textFill>
            <w14:solidFill>
              <w14:schemeClr w14:val="tx1"/>
            </w14:solidFill>
          </w14:textFill>
        </w:rPr>
      </w:pPr>
      <w:r>
        <w:rPr>
          <w:color w:val="000000" w:themeColor="text1"/>
          <w14:textFill>
            <w14:solidFill>
              <w14:schemeClr w14:val="tx1"/>
            </w14:solidFill>
          </w14:textFill>
        </w:rPr>
        <w:t>5.1.1.2运输汽车及机械设备排放尾气</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项目施工过程中使用大量的施工机械、材料运输车辆，使区域内尾气排放有所增加，主要污染因子为NO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、CO和烃类物等，汽车尾气会对区域大气环境造成一定影响，但由于汽车尾气排放量少、为间歇、无组织排放，停车场所位于室外，露天环境有利于机动车辆尾气扩散，且项目区位于现有场区内，周边500 m范围无居民区等敏感目标，因此对周围大气环境和人员影响不大。</w:t>
      </w:r>
    </w:p>
    <w:p>
      <w:pPr>
        <w:pStyle w:val="4"/>
        <w:rPr>
          <w:rFonts w:cs="Times New Roman"/>
          <w:color w:val="000000" w:themeColor="text1"/>
          <w14:textFill>
            <w14:solidFill>
              <w14:schemeClr w14:val="tx1"/>
            </w14:solidFill>
          </w14:textFill>
        </w:rPr>
      </w:pPr>
      <w:bookmarkStart w:id="552" w:name="_Toc91163913"/>
      <w:r>
        <w:rPr>
          <w:rFonts w:cs="Times New Roman"/>
          <w:color w:val="000000" w:themeColor="text1"/>
          <w14:textFill>
            <w14:solidFill>
              <w14:schemeClr w14:val="tx1"/>
            </w14:solidFill>
          </w14:textFill>
        </w:rPr>
        <w:t>5.1.2 水环境影响分析</w:t>
      </w:r>
      <w:bookmarkEnd w:id="552"/>
    </w:p>
    <w:p>
      <w:pPr>
        <w:ind w:firstLine="480"/>
        <w:rPr>
          <w:rFonts w:cs="Times New Roman"/>
          <w:color w:val="000000" w:themeColor="text1"/>
          <w14:textFill>
            <w14:solidFill>
              <w14:schemeClr w14:val="tx1"/>
            </w14:solidFill>
          </w14:textFill>
        </w:rPr>
      </w:pPr>
      <w:r>
        <w:rPr>
          <w:rFonts w:cs="Times New Roman"/>
          <w:color w:val="000000" w:themeColor="text1"/>
          <w:kern w:val="0"/>
          <w:szCs w:val="24"/>
          <w14:textFill>
            <w14:solidFill>
              <w14:schemeClr w14:val="tx1"/>
            </w14:solidFill>
          </w14:textFill>
        </w:rPr>
        <w:t>本项目施工阶段的废水主要有施工废水和生活污水。</w:t>
      </w:r>
    </w:p>
    <w:p>
      <w:pPr>
        <w:pStyle w:val="5"/>
        <w:rPr>
          <w:color w:val="000000" w:themeColor="text1"/>
          <w14:textFill>
            <w14:solidFill>
              <w14:schemeClr w14:val="tx1"/>
            </w14:solidFill>
          </w14:textFill>
        </w:rPr>
      </w:pPr>
      <w:r>
        <w:rPr>
          <w:color w:val="000000" w:themeColor="text1"/>
          <w14:textFill>
            <w14:solidFill>
              <w14:schemeClr w14:val="tx1"/>
            </w14:solidFill>
          </w14:textFill>
        </w:rPr>
        <w:t>5.1.2.1施工废水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间的生产用水主要为砂浆配制过程用水及机械、车辆冲洗用水，施工期生产废水的排放主要由设备冲洗及施工中的跑、冒、滴、漏、溢流产生，仅含有少量混砂，不含其它杂质，这类废水在施工现场设一临时沉淀池收集后回用。</w:t>
      </w:r>
    </w:p>
    <w:p>
      <w:pPr>
        <w:pStyle w:val="5"/>
        <w:rPr>
          <w:color w:val="000000" w:themeColor="text1"/>
          <w14:textFill>
            <w14:solidFill>
              <w14:schemeClr w14:val="tx1"/>
            </w14:solidFill>
          </w14:textFill>
        </w:rPr>
      </w:pPr>
      <w:r>
        <w:rPr>
          <w:color w:val="000000" w:themeColor="text1"/>
          <w14:textFill>
            <w14:solidFill>
              <w14:schemeClr w14:val="tx1"/>
            </w14:solidFill>
          </w14:textFill>
        </w:rPr>
        <w:t>5.1.2.2生活污水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施工期另一水污染源是施工人员的生活污水。主要污染物为COD，BOD，SS等，其浓度分别约为300 mg/L，150 mg/L，260 mg/L。环评要求将施工人员生活污水集中收集，经絮凝沉淀后，用于施工期降尘洒水。</w:t>
      </w:r>
    </w:p>
    <w:p>
      <w:pPr>
        <w:pStyle w:val="4"/>
        <w:rPr>
          <w:rFonts w:cs="Times New Roman"/>
          <w:color w:val="000000" w:themeColor="text1"/>
          <w14:textFill>
            <w14:solidFill>
              <w14:schemeClr w14:val="tx1"/>
            </w14:solidFill>
          </w14:textFill>
        </w:rPr>
      </w:pPr>
      <w:bookmarkStart w:id="553" w:name="_Toc91163914"/>
      <w:r>
        <w:rPr>
          <w:rFonts w:cs="Times New Roman"/>
          <w:color w:val="000000" w:themeColor="text1"/>
          <w14:textFill>
            <w14:solidFill>
              <w14:schemeClr w14:val="tx1"/>
            </w14:solidFill>
          </w14:textFill>
        </w:rPr>
        <w:t>5.1.3 声环境影响分析</w:t>
      </w:r>
      <w:bookmarkEnd w:id="553"/>
    </w:p>
    <w:p>
      <w:pPr>
        <w:pStyle w:val="5"/>
        <w:rPr>
          <w:color w:val="000000" w:themeColor="text1"/>
          <w14:textFill>
            <w14:solidFill>
              <w14:schemeClr w14:val="tx1"/>
            </w14:solidFill>
          </w14:textFill>
        </w:rPr>
      </w:pPr>
      <w:r>
        <w:rPr>
          <w:color w:val="000000" w:themeColor="text1"/>
          <w14:textFill>
            <w14:solidFill>
              <w14:schemeClr w14:val="tx1"/>
            </w14:solidFill>
          </w14:textFill>
        </w:rPr>
        <w:t>5.1.3.1 施工期噪声声源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施工噪声来源包括：土石方、基础、结构和装修等阶段中，使用施工机械的声源噪声（推土机、电动机、基础夯实机械、振捣棒），以及施工运输车辆的流动声源噪声。经建筑工程施工工地噪声源强类比调查分析，确定拟建项目的噪声影响主要来自于施工现场（场址所在区域）的声源噪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主要工程项目有地基平整、压实、基础开挖、场房及其它辅助与公用设施的建设等。这些工程使用的机械主要有铲平机、压路机、振捣棒等，在施工过程，这些设备产生的噪声可能对作业人员和场址周围环境造成一定的影响。施工机械噪声源强见表5.1-2。</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表5.1-2 建筑施工机械设备噪声级</w:t>
      </w:r>
    </w:p>
    <w:p>
      <w:pPr>
        <w:kinsoku w:val="0"/>
        <w:overflowPunct w:val="0"/>
        <w:autoSpaceDE w:val="0"/>
        <w:autoSpaceDN w:val="0"/>
        <w:adjustRightInd w:val="0"/>
        <w:spacing w:before="3" w:line="240" w:lineRule="auto"/>
        <w:ind w:firstLine="0" w:firstLineChars="0"/>
        <w:jc w:val="left"/>
        <w:rPr>
          <w:rFonts w:cs="Times New Roman"/>
          <w:color w:val="000000" w:themeColor="text1"/>
          <w:kern w:val="0"/>
          <w:sz w:val="2"/>
          <w:szCs w:val="2"/>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2075"/>
        <w:gridCol w:w="2330"/>
        <w:gridCol w:w="2412"/>
        <w:gridCol w:w="2284"/>
      </w:tblGrid>
      <w:tr>
        <w:tblPrEx>
          <w:tblCellMar>
            <w:top w:w="0" w:type="dxa"/>
            <w:left w:w="0" w:type="dxa"/>
            <w:bottom w:w="0" w:type="dxa"/>
            <w:right w:w="0" w:type="dxa"/>
          </w:tblCellMar>
        </w:tblPrEx>
        <w:trPr>
          <w:trHeight w:val="397" w:hRule="atLeast"/>
        </w:trPr>
        <w:tc>
          <w:tcPr>
            <w:tcW w:w="1140" w:type="pct"/>
            <w:tcBorders>
              <w:top w:val="single" w:color="000000" w:sz="12" w:space="0"/>
              <w:left w:val="single" w:color="000000"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施工阶段</w:t>
            </w:r>
          </w:p>
        </w:tc>
        <w:tc>
          <w:tcPr>
            <w:tcW w:w="1280" w:type="pct"/>
            <w:tcBorders>
              <w:top w:val="single" w:color="000000"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施工机械</w:t>
            </w:r>
          </w:p>
        </w:tc>
        <w:tc>
          <w:tcPr>
            <w:tcW w:w="1325" w:type="pct"/>
            <w:tcBorders>
              <w:top w:val="single" w:color="000000"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设备的声压级</w:t>
            </w:r>
          </w:p>
        </w:tc>
        <w:tc>
          <w:tcPr>
            <w:tcW w:w="1255" w:type="pct"/>
            <w:tcBorders>
              <w:top w:val="single" w:color="000000" w:sz="12" w:space="0"/>
              <w:left w:val="single" w:color="000000" w:sz="6" w:space="0"/>
              <w:bottom w:val="single" w:color="auto" w:sz="12" w:space="0"/>
              <w:right w:val="single" w:color="000000"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声源性质</w:t>
            </w:r>
          </w:p>
        </w:tc>
      </w:tr>
      <w:tr>
        <w:tblPrEx>
          <w:tblCellMar>
            <w:top w:w="0" w:type="dxa"/>
            <w:left w:w="0" w:type="dxa"/>
            <w:bottom w:w="0" w:type="dxa"/>
            <w:right w:w="0" w:type="dxa"/>
          </w:tblCellMar>
        </w:tblPrEx>
        <w:trPr>
          <w:trHeight w:val="397" w:hRule="atLeast"/>
        </w:trPr>
        <w:tc>
          <w:tcPr>
            <w:tcW w:w="1140" w:type="pct"/>
            <w:vMerge w:val="restart"/>
            <w:tcBorders>
              <w:top w:val="single" w:color="auto" w:sz="12"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土方阶段</w:t>
            </w:r>
          </w:p>
        </w:tc>
        <w:tc>
          <w:tcPr>
            <w:tcW w:w="1280"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推土机</w:t>
            </w:r>
          </w:p>
        </w:tc>
        <w:tc>
          <w:tcPr>
            <w:tcW w:w="1325"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w:t>
            </w:r>
          </w:p>
        </w:tc>
        <w:tc>
          <w:tcPr>
            <w:tcW w:w="1255" w:type="pct"/>
            <w:tcBorders>
              <w:top w:val="single" w:color="auto" w:sz="12"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40" w:type="pct"/>
            <w:vMerge w:val="continue"/>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128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挖掘机</w:t>
            </w:r>
          </w:p>
        </w:tc>
        <w:tc>
          <w:tcPr>
            <w:tcW w:w="132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96</w:t>
            </w:r>
          </w:p>
        </w:tc>
        <w:tc>
          <w:tcPr>
            <w:tcW w:w="1255"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40" w:type="pct"/>
            <w:vMerge w:val="continue"/>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128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装载机</w:t>
            </w:r>
          </w:p>
        </w:tc>
        <w:tc>
          <w:tcPr>
            <w:tcW w:w="132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88</w:t>
            </w:r>
          </w:p>
        </w:tc>
        <w:tc>
          <w:tcPr>
            <w:tcW w:w="1255"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40" w:type="pct"/>
            <w:vMerge w:val="continue"/>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128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各种车辆</w:t>
            </w:r>
          </w:p>
        </w:tc>
        <w:tc>
          <w:tcPr>
            <w:tcW w:w="132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255"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40"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基础施工阶段</w:t>
            </w:r>
          </w:p>
        </w:tc>
        <w:tc>
          <w:tcPr>
            <w:tcW w:w="128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冲击打夯机</w:t>
            </w:r>
          </w:p>
        </w:tc>
        <w:tc>
          <w:tcPr>
            <w:tcW w:w="132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105</w:t>
            </w:r>
          </w:p>
        </w:tc>
        <w:tc>
          <w:tcPr>
            <w:tcW w:w="1255"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40" w:type="pct"/>
            <w:vMerge w:val="restar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结构制作阶段</w:t>
            </w:r>
          </w:p>
        </w:tc>
        <w:tc>
          <w:tcPr>
            <w:tcW w:w="128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振捣棒</w:t>
            </w:r>
          </w:p>
        </w:tc>
        <w:tc>
          <w:tcPr>
            <w:tcW w:w="132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105</w:t>
            </w:r>
          </w:p>
        </w:tc>
        <w:tc>
          <w:tcPr>
            <w:tcW w:w="1255"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40" w:type="pct"/>
            <w:vMerge w:val="continue"/>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128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电锯</w:t>
            </w:r>
          </w:p>
        </w:tc>
        <w:tc>
          <w:tcPr>
            <w:tcW w:w="132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spacing w:val="-2"/>
                <w14:textFill>
                  <w14:solidFill>
                    <w14:schemeClr w14:val="tx1"/>
                  </w14:solidFill>
                </w14:textFill>
              </w:rPr>
              <w:t>110</w:t>
            </w:r>
          </w:p>
        </w:tc>
        <w:tc>
          <w:tcPr>
            <w:tcW w:w="1255"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40" w:type="pct"/>
            <w:vMerge w:val="restart"/>
            <w:tcBorders>
              <w:top w:val="single" w:color="000000" w:sz="4"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设备安装阶段</w:t>
            </w:r>
          </w:p>
        </w:tc>
        <w:tc>
          <w:tcPr>
            <w:tcW w:w="128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吊车</w:t>
            </w:r>
          </w:p>
        </w:tc>
        <w:tc>
          <w:tcPr>
            <w:tcW w:w="132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255"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r>
        <w:tblPrEx>
          <w:tblCellMar>
            <w:top w:w="0" w:type="dxa"/>
            <w:left w:w="0" w:type="dxa"/>
            <w:bottom w:w="0" w:type="dxa"/>
            <w:right w:w="0" w:type="dxa"/>
          </w:tblCellMar>
        </w:tblPrEx>
        <w:trPr>
          <w:trHeight w:val="397" w:hRule="atLeast"/>
        </w:trPr>
        <w:tc>
          <w:tcPr>
            <w:tcW w:w="1140" w:type="pct"/>
            <w:vMerge w:val="continue"/>
            <w:tcBorders>
              <w:top w:val="single" w:color="000000" w:sz="4"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p>
        </w:tc>
        <w:tc>
          <w:tcPr>
            <w:tcW w:w="1280"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升降机</w:t>
            </w:r>
          </w:p>
        </w:tc>
        <w:tc>
          <w:tcPr>
            <w:tcW w:w="1325"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255" w:type="pct"/>
            <w:tcBorders>
              <w:top w:val="single" w:color="000000" w:sz="4" w:space="0"/>
              <w:left w:val="single" w:color="000000" w:sz="4" w:space="0"/>
              <w:bottom w:val="single" w:color="000000" w:sz="10"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间歇</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5.1.3.2预测模式及结果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噪声在从声源到受声点由于各种因素的影响，会产生衰减，采用如下近似计算模式计算各噪声源对环境的影响。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A声级传播衰减计算公式：</w:t>
      </w:r>
    </w:p>
    <w:p>
      <w:pPr>
        <w:ind w:firstLine="480"/>
        <w:rPr>
          <w:rFonts w:cs="Times New Roman"/>
          <w:color w:val="000000" w:themeColor="text1"/>
          <w14:textFill>
            <w14:solidFill>
              <w14:schemeClr w14:val="tx1"/>
            </w14:solidFill>
          </w14:textFill>
        </w:rPr>
      </w:pPr>
      <m:oMathPara>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sub>
          </m:sSub>
          <m:d>
            <m:dPr>
              <m:ctrlPr>
                <w:rPr>
                  <w:rFonts w:ascii="Cambria Math" w:hAnsi="Cambria Math" w:cs="Times New Roman"/>
                  <w:color w:val="000000" w:themeColor="text1"/>
                  <w14:textFill>
                    <w14:solidFill>
                      <w14:schemeClr w14:val="tx1"/>
                    </w14:solidFill>
                  </w14:textFill>
                </w:rPr>
              </m:ctrlPr>
            </m:dPr>
            <m:e>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e>
          </m:d>
          <m:r>
            <m:rPr>
              <m:sty m:val="p"/>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aref</m:t>
              </m:r>
              <m:ctrlPr>
                <w:rPr>
                  <w:rFonts w:ascii="Cambria Math" w:hAnsi="Cambria Math" w:cs="Times New Roman"/>
                  <w:color w:val="000000" w:themeColor="text1"/>
                  <w14:textFill>
                    <w14:solidFill>
                      <w14:schemeClr w14:val="tx1"/>
                    </w14:solidFill>
                  </w14:textFill>
                </w:rPr>
              </m:ctrlPr>
            </m:sub>
          </m:sSub>
          <m:d>
            <m:dPr>
              <m:ctrlPr>
                <w:rPr>
                  <w:rFonts w:ascii="Cambria Math" w:hAnsi="Cambria Math" w:cs="Times New Roman"/>
                  <w:color w:val="000000" w:themeColor="text1"/>
                  <w14:textFill>
                    <w14:solidFill>
                      <w14:schemeClr w14:val="tx1"/>
                    </w14:solidFill>
                  </w14:textFill>
                </w:rPr>
              </m:ctrlPr>
            </m:dPr>
            <m:e>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0</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e>
          </m:d>
          <m:r>
            <m:rPr>
              <m:sty m:val="p"/>
            </m:rPr>
            <w:rPr>
              <w:rFonts w:ascii="Cambria Math" w:hAnsi="Cambria Math" w:cs="Times New Roman"/>
              <w:color w:val="000000" w:themeColor="text1"/>
              <w14:textFill>
                <w14:solidFill>
                  <w14:schemeClr w14:val="tx1"/>
                </w14:solidFill>
              </w14:textFill>
            </w:rPr>
            <m:t>−</m:t>
          </m:r>
          <m:d>
            <m:dPr>
              <m:ctrlPr>
                <w:rPr>
                  <w:rFonts w:ascii="Cambria Math" w:hAnsi="Cambria Math" w:cs="Times New Roman"/>
                  <w:color w:val="000000" w:themeColor="text1"/>
                  <w14:textFill>
                    <w14:solidFill>
                      <w14:schemeClr w14:val="tx1"/>
                    </w14:solidFill>
                  </w14:textFill>
                </w:rPr>
              </m:ctrlPr>
            </m:dPr>
            <m:e>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diu</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bar</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atm</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exc</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e>
          </m:d>
        </m:oMath>
      </m:oMathPara>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对于单个点声源的几何衰减用以下公式计算：</w:t>
      </w:r>
    </w:p>
    <w:p>
      <w:pPr>
        <w:ind w:firstLine="480"/>
        <w:rPr>
          <w:rFonts w:cs="Times New Roman"/>
          <w:color w:val="000000" w:themeColor="text1"/>
          <w14:textFill>
            <w14:solidFill>
              <w14:schemeClr w14:val="tx1"/>
            </w14:solidFill>
          </w14:textFill>
        </w:rPr>
      </w:pPr>
      <m:oMathPara>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0</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−20</m:t>
          </m:r>
          <m:func>
            <m:funcPr>
              <m:ctrlPr>
                <w:rPr>
                  <w:rFonts w:ascii="Cambria Math" w:hAnsi="Cambria Math" w:cs="Times New Roman"/>
                  <w:color w:val="000000" w:themeColor="text1"/>
                  <w14:textFill>
                    <w14:solidFill>
                      <w14:schemeClr w14:val="tx1"/>
                    </w14:solidFill>
                  </w14:textFill>
                </w:rPr>
              </m:ctrlPr>
            </m:funcPr>
            <m:fName>
              <m:r>
                <m:rPr>
                  <m:sty m:val="p"/>
                </m:rPr>
                <w:rPr>
                  <w:rFonts w:ascii="Cambria Math" w:hAnsi="Cambria Math" w:cs="Times New Roman"/>
                  <w:color w:val="000000" w:themeColor="text1"/>
                  <w14:textFill>
                    <w14:solidFill>
                      <w14:schemeClr w14:val="tx1"/>
                    </w14:solidFill>
                  </w14:textFill>
                </w:rPr>
                <m:t>lg</m:t>
              </m:r>
              <m:ctrlPr>
                <w:rPr>
                  <w:rFonts w:ascii="Cambria Math" w:hAnsi="Cambria Math" w:cs="Times New Roman"/>
                  <w:color w:val="000000" w:themeColor="text1"/>
                  <w14:textFill>
                    <w14:solidFill>
                      <w14:schemeClr w14:val="tx1"/>
                    </w14:solidFill>
                  </w14:textFill>
                </w:rPr>
              </m:ctrlPr>
            </m:fName>
            <m:e>
              <m:d>
                <m:dPr>
                  <m:ctrlPr>
                    <w:rPr>
                      <w:rFonts w:ascii="Cambria Math" w:hAnsi="Cambria Math" w:cs="Times New Roman"/>
                      <w:color w:val="000000" w:themeColor="text1"/>
                      <w14:textFill>
                        <w14:solidFill>
                          <w14:schemeClr w14:val="tx1"/>
                        </w14:solidFill>
                      </w14:textFill>
                    </w:rPr>
                  </m:ctrlPr>
                </m:dPr>
                <m:e>
                  <m:f>
                    <m:fPr>
                      <m:type m:val="lin"/>
                      <m:ctrlPr>
                        <w:rPr>
                          <w:rFonts w:ascii="Cambria Math" w:hAnsi="Cambria Math" w:cs="Times New Roman"/>
                          <w:color w:val="000000" w:themeColor="text1"/>
                          <w14:textFill>
                            <w14:solidFill>
                              <w14:schemeClr w14:val="tx1"/>
                            </w14:solidFill>
                          </w14:textFill>
                        </w:rPr>
                      </m:ctrlPr>
                    </m:fPr>
                    <m:num>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0</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den>
                  </m:f>
                  <m:ctrlPr>
                    <w:rPr>
                      <w:rFonts w:ascii="Cambria Math" w:hAnsi="Cambria Math" w:cs="Times New Roman"/>
                      <w:color w:val="000000" w:themeColor="text1"/>
                      <w14:textFill>
                        <w14:solidFill>
                          <w14:schemeClr w14:val="tx1"/>
                        </w14:solidFill>
                      </w14:textFill>
                    </w:rPr>
                  </m:ctrlPr>
                </m:e>
              </m:d>
              <m:ctrlPr>
                <w:rPr>
                  <w:rFonts w:ascii="Cambria Math" w:hAnsi="Cambria Math" w:cs="Times New Roman"/>
                  <w:color w:val="000000" w:themeColor="text1"/>
                  <w14:textFill>
                    <w14:solidFill>
                      <w14:schemeClr w14:val="tx1"/>
                    </w14:solidFill>
                  </w14:textFill>
                </w:rPr>
              </m:ctrlPr>
            </m:e>
          </m:func>
        </m:oMath>
      </m:oMathPara>
    </w:p>
    <w:p>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两个以上的多个噪声源同时存在时，总声级计算公式为：</w:t>
      </w:r>
    </w:p>
    <w:p>
      <w:pPr>
        <w:ind w:firstLine="480"/>
        <w:rPr>
          <w:rFonts w:cs="Times New Roman"/>
          <w:color w:val="000000" w:themeColor="text1"/>
          <w:kern w:val="0"/>
          <w:szCs w:val="24"/>
          <w14:textFill>
            <w14:solidFill>
              <w14:schemeClr w14:val="tx1"/>
            </w14:solidFill>
          </w14:textFill>
        </w:rPr>
      </w:pPr>
      <m:oMathPara>
        <m:oMath>
          <m:sSub>
            <m:sSubPr>
              <m:ctrlPr>
                <w:rPr>
                  <w:rFonts w:ascii="Cambria Math" w:hAnsi="Cambria Math" w:cs="Times New Roman"/>
                  <w:color w:val="000000" w:themeColor="text1"/>
                  <w:kern w:val="0"/>
                  <w:szCs w:val="24"/>
                  <w14:textFill>
                    <w14:solidFill>
                      <w14:schemeClr w14:val="tx1"/>
                    </w14:solidFill>
                  </w14:textFill>
                </w:rPr>
              </m:ctrlPr>
            </m:sSubPr>
            <m:e>
              <m:r>
                <m:rPr>
                  <m:sty m:val="p"/>
                </m:rPr>
                <w:rPr>
                  <w:rFonts w:ascii="Cambria Math" w:hAnsi="Cambria Math" w:cs="Times New Roman"/>
                  <w:color w:val="000000" w:themeColor="text1"/>
                  <w:kern w:val="0"/>
                  <w:szCs w:val="24"/>
                  <w14:textFill>
                    <w14:solidFill>
                      <w14:schemeClr w14:val="tx1"/>
                    </w14:solidFill>
                  </w14:textFill>
                </w:rPr>
                <m:t>L</m:t>
              </m:r>
              <m:ctrlPr>
                <w:rPr>
                  <w:rFonts w:ascii="Cambria Math" w:hAnsi="Cambria Math" w:cs="Times New Roman"/>
                  <w:color w:val="000000" w:themeColor="text1"/>
                  <w:kern w:val="0"/>
                  <w:szCs w:val="24"/>
                  <w14:textFill>
                    <w14:solidFill>
                      <w14:schemeClr w14:val="tx1"/>
                    </w14:solidFill>
                  </w14:textFill>
                </w:rPr>
              </m:ctrlPr>
            </m:e>
            <m:sub>
              <m:r>
                <m:rPr>
                  <m:sty m:val="p"/>
                </m:rPr>
                <w:rPr>
                  <w:rFonts w:ascii="Cambria Math" w:hAnsi="Cambria Math" w:cs="Times New Roman"/>
                  <w:color w:val="000000" w:themeColor="text1"/>
                  <w:kern w:val="0"/>
                  <w:szCs w:val="24"/>
                  <w14:textFill>
                    <w14:solidFill>
                      <w14:schemeClr w14:val="tx1"/>
                    </w14:solidFill>
                  </w14:textFill>
                </w:rPr>
                <m:t>n</m:t>
              </m:r>
              <m:ctrlPr>
                <w:rPr>
                  <w:rFonts w:ascii="Cambria Math" w:hAnsi="Cambria Math" w:cs="Times New Roman"/>
                  <w:color w:val="000000" w:themeColor="text1"/>
                  <w:kern w:val="0"/>
                  <w:szCs w:val="24"/>
                  <w14:textFill>
                    <w14:solidFill>
                      <w14:schemeClr w14:val="tx1"/>
                    </w14:solidFill>
                  </w14:textFill>
                </w:rPr>
              </m:ctrlPr>
            </m:sub>
          </m:sSub>
          <m:r>
            <m:rPr>
              <m:sty m:val="p"/>
            </m:rPr>
            <w:rPr>
              <w:rFonts w:ascii="Cambria Math" w:hAnsi="Cambria Math" w:cs="Times New Roman"/>
              <w:color w:val="000000" w:themeColor="text1"/>
              <w:kern w:val="0"/>
              <w:szCs w:val="24"/>
              <w14:textFill>
                <w14:solidFill>
                  <w14:schemeClr w14:val="tx1"/>
                </w14:solidFill>
              </w14:textFill>
            </w:rPr>
            <m:t>=10</m:t>
          </m:r>
          <m:func>
            <m:funcPr>
              <m:ctrlPr>
                <w:rPr>
                  <w:rFonts w:ascii="Cambria Math" w:hAnsi="Cambria Math" w:cs="Times New Roman"/>
                  <w:color w:val="000000" w:themeColor="text1"/>
                  <w:kern w:val="0"/>
                  <w:szCs w:val="24"/>
                  <w14:textFill>
                    <w14:solidFill>
                      <w14:schemeClr w14:val="tx1"/>
                    </w14:solidFill>
                  </w14:textFill>
                </w:rPr>
              </m:ctrlPr>
            </m:funcPr>
            <m:fName>
              <m:r>
                <m:rPr>
                  <m:sty m:val="p"/>
                </m:rPr>
                <w:rPr>
                  <w:rFonts w:ascii="Cambria Math" w:hAnsi="Cambria Math" w:cs="Times New Roman"/>
                  <w:color w:val="000000" w:themeColor="text1"/>
                  <w:kern w:val="0"/>
                  <w:szCs w:val="24"/>
                  <w14:textFill>
                    <w14:solidFill>
                      <w14:schemeClr w14:val="tx1"/>
                    </w14:solidFill>
                  </w14:textFill>
                </w:rPr>
                <m:t>lg</m:t>
              </m:r>
              <m:ctrlPr>
                <w:rPr>
                  <w:rFonts w:ascii="Cambria Math" w:hAnsi="Cambria Math" w:cs="Times New Roman"/>
                  <w:color w:val="000000" w:themeColor="text1"/>
                  <w:kern w:val="0"/>
                  <w:szCs w:val="24"/>
                  <w14:textFill>
                    <w14:solidFill>
                      <w14:schemeClr w14:val="tx1"/>
                    </w14:solidFill>
                  </w14:textFill>
                </w:rPr>
              </m:ctrlPr>
            </m:fName>
            <m:e>
              <m:d>
                <m:dPr>
                  <m:ctrlPr>
                    <w:rPr>
                      <w:rFonts w:ascii="Cambria Math" w:hAnsi="Cambria Math" w:cs="Times New Roman"/>
                      <w:color w:val="000000" w:themeColor="text1"/>
                      <w:kern w:val="0"/>
                      <w:szCs w:val="24"/>
                      <w14:textFill>
                        <w14:solidFill>
                          <w14:schemeClr w14:val="tx1"/>
                        </w14:solidFill>
                      </w14:textFill>
                    </w:rPr>
                  </m:ctrlPr>
                </m:dPr>
                <m:e>
                  <m:nary>
                    <m:naryPr>
                      <m:chr m:val="∑"/>
                      <m:limLoc m:val="undOvr"/>
                      <m:ctrlPr>
                        <w:rPr>
                          <w:rFonts w:ascii="Cambria Math" w:hAnsi="Cambria Math" w:cs="Times New Roman"/>
                          <w:color w:val="000000" w:themeColor="text1"/>
                          <w:kern w:val="0"/>
                          <w:szCs w:val="24"/>
                          <w14:textFill>
                            <w14:solidFill>
                              <w14:schemeClr w14:val="tx1"/>
                            </w14:solidFill>
                          </w14:textFill>
                        </w:rPr>
                      </m:ctrlPr>
                    </m:naryPr>
                    <m:sub>
                      <m:r>
                        <m:rPr>
                          <m:sty m:val="p"/>
                        </m:rPr>
                        <w:rPr>
                          <w:rFonts w:ascii="Cambria Math" w:hAnsi="Cambria Math" w:cs="Times New Roman"/>
                          <w:color w:val="000000" w:themeColor="text1"/>
                          <w:kern w:val="0"/>
                          <w:szCs w:val="24"/>
                          <w14:textFill>
                            <w14:solidFill>
                              <w14:schemeClr w14:val="tx1"/>
                            </w14:solidFill>
                          </w14:textFill>
                        </w:rPr>
                        <m:t>i=1</m:t>
                      </m:r>
                      <m:ctrlPr>
                        <w:rPr>
                          <w:rFonts w:ascii="Cambria Math" w:hAnsi="Cambria Math" w:cs="Times New Roman"/>
                          <w:color w:val="000000" w:themeColor="text1"/>
                          <w:kern w:val="0"/>
                          <w:szCs w:val="24"/>
                          <w14:textFill>
                            <w14:solidFill>
                              <w14:schemeClr w14:val="tx1"/>
                            </w14:solidFill>
                          </w14:textFill>
                        </w:rPr>
                      </m:ctrlPr>
                    </m:sub>
                    <m:sup>
                      <m:r>
                        <m:rPr>
                          <m:sty m:val="p"/>
                        </m:rPr>
                        <w:rPr>
                          <w:rFonts w:ascii="Cambria Math" w:hAnsi="Cambria Math" w:cs="Times New Roman"/>
                          <w:color w:val="000000" w:themeColor="text1"/>
                          <w:kern w:val="0"/>
                          <w:szCs w:val="24"/>
                          <w14:textFill>
                            <w14:solidFill>
                              <w14:schemeClr w14:val="tx1"/>
                            </w14:solidFill>
                          </w14:textFill>
                        </w:rPr>
                        <m:t>n</m:t>
                      </m:r>
                      <m:ctrlPr>
                        <w:rPr>
                          <w:rFonts w:ascii="Cambria Math" w:hAnsi="Cambria Math" w:cs="Times New Roman"/>
                          <w:color w:val="000000" w:themeColor="text1"/>
                          <w:kern w:val="0"/>
                          <w:szCs w:val="24"/>
                          <w14:textFill>
                            <w14:solidFill>
                              <w14:schemeClr w14:val="tx1"/>
                            </w14:solidFill>
                          </w14:textFill>
                        </w:rPr>
                      </m:ctrlPr>
                    </m:sup>
                    <m:e>
                      <m:sSup>
                        <m:sSupPr>
                          <m:ctrlPr>
                            <w:rPr>
                              <w:rFonts w:ascii="Cambria Math" w:hAnsi="Cambria Math" w:cs="Times New Roman"/>
                              <w:color w:val="000000" w:themeColor="text1"/>
                              <w:kern w:val="0"/>
                              <w:szCs w:val="24"/>
                              <w14:textFill>
                                <w14:solidFill>
                                  <w14:schemeClr w14:val="tx1"/>
                                </w14:solidFill>
                              </w14:textFill>
                            </w:rPr>
                          </m:ctrlPr>
                        </m:sSupPr>
                        <m:e>
                          <m:r>
                            <m:rPr>
                              <m:sty m:val="p"/>
                            </m:rPr>
                            <w:rPr>
                              <w:rFonts w:ascii="Cambria Math" w:hAnsi="Cambria Math" w:cs="Times New Roman"/>
                              <w:color w:val="000000" w:themeColor="text1"/>
                              <w:kern w:val="0"/>
                              <w:szCs w:val="24"/>
                              <w14:textFill>
                                <w14:solidFill>
                                  <w14:schemeClr w14:val="tx1"/>
                                </w14:solidFill>
                              </w14:textFill>
                            </w:rPr>
                            <m:t>10</m:t>
                          </m:r>
                          <m:ctrlPr>
                            <w:rPr>
                              <w:rFonts w:ascii="Cambria Math" w:hAnsi="Cambria Math" w:cs="Times New Roman"/>
                              <w:color w:val="000000" w:themeColor="text1"/>
                              <w:kern w:val="0"/>
                              <w:szCs w:val="24"/>
                              <w14:textFill>
                                <w14:solidFill>
                                  <w14:schemeClr w14:val="tx1"/>
                                </w14:solidFill>
                              </w14:textFill>
                            </w:rPr>
                          </m:ctrlPr>
                        </m:e>
                        <m:sup>
                          <m:f>
                            <m:fPr>
                              <m:ctrlPr>
                                <w:rPr>
                                  <w:rFonts w:ascii="Cambria Math" w:hAnsi="Cambria Math" w:cs="Times New Roman"/>
                                  <w:color w:val="000000" w:themeColor="text1"/>
                                  <w:kern w:val="0"/>
                                  <w:szCs w:val="24"/>
                                  <w14:textFill>
                                    <w14:solidFill>
                                      <w14:schemeClr w14:val="tx1"/>
                                    </w14:solidFill>
                                  </w14:textFill>
                                </w:rPr>
                              </m:ctrlPr>
                            </m:fPr>
                            <m:num>
                              <m:sSub>
                                <m:sSubPr>
                                  <m:ctrlPr>
                                    <w:rPr>
                                      <w:rFonts w:ascii="Cambria Math" w:hAnsi="Cambria Math" w:cs="Times New Roman"/>
                                      <w:color w:val="000000" w:themeColor="text1"/>
                                      <w:kern w:val="0"/>
                                      <w:szCs w:val="24"/>
                                      <w14:textFill>
                                        <w14:solidFill>
                                          <w14:schemeClr w14:val="tx1"/>
                                        </w14:solidFill>
                                      </w14:textFill>
                                    </w:rPr>
                                  </m:ctrlPr>
                                </m:sSubPr>
                                <m:e>
                                  <m:r>
                                    <m:rPr>
                                      <m:sty m:val="p"/>
                                    </m:rPr>
                                    <w:rPr>
                                      <w:rFonts w:ascii="Cambria Math" w:hAnsi="Cambria Math" w:cs="Times New Roman"/>
                                      <w:color w:val="000000" w:themeColor="text1"/>
                                      <w:kern w:val="0"/>
                                      <w:szCs w:val="24"/>
                                      <w14:textFill>
                                        <w14:solidFill>
                                          <w14:schemeClr w14:val="tx1"/>
                                        </w14:solidFill>
                                      </w14:textFill>
                                    </w:rPr>
                                    <m:t>L</m:t>
                                  </m:r>
                                  <m:ctrlPr>
                                    <w:rPr>
                                      <w:rFonts w:ascii="Cambria Math" w:hAnsi="Cambria Math" w:cs="Times New Roman"/>
                                      <w:color w:val="000000" w:themeColor="text1"/>
                                      <w:kern w:val="0"/>
                                      <w:szCs w:val="24"/>
                                      <w14:textFill>
                                        <w14:solidFill>
                                          <w14:schemeClr w14:val="tx1"/>
                                        </w14:solidFill>
                                      </w14:textFill>
                                    </w:rPr>
                                  </m:ctrlPr>
                                </m:e>
                                <m:sub>
                                  <m:r>
                                    <m:rPr>
                                      <m:sty m:val="p"/>
                                    </m:rPr>
                                    <w:rPr>
                                      <w:rFonts w:ascii="Cambria Math" w:hAnsi="Cambria Math" w:cs="Times New Roman"/>
                                      <w:color w:val="000000" w:themeColor="text1"/>
                                      <w:kern w:val="0"/>
                                      <w:szCs w:val="24"/>
                                      <w14:textFill>
                                        <w14:solidFill>
                                          <w14:schemeClr w14:val="tx1"/>
                                        </w14:solidFill>
                                      </w14:textFill>
                                    </w:rPr>
                                    <m:t>A</m:t>
                                  </m:r>
                                  <m:ctrlPr>
                                    <w:rPr>
                                      <w:rFonts w:ascii="Cambria Math" w:hAnsi="Cambria Math" w:cs="Times New Roman"/>
                                      <w:color w:val="000000" w:themeColor="text1"/>
                                      <w:kern w:val="0"/>
                                      <w:szCs w:val="24"/>
                                      <w14:textFill>
                                        <w14:solidFill>
                                          <w14:schemeClr w14:val="tx1"/>
                                        </w14:solidFill>
                                      </w14:textFill>
                                    </w:rPr>
                                  </m:ctrlPr>
                                </m:sub>
                              </m:sSub>
                              <m:d>
                                <m:dPr>
                                  <m:ctrlPr>
                                    <w:rPr>
                                      <w:rFonts w:ascii="Cambria Math" w:hAnsi="Cambria Math" w:cs="Times New Roman"/>
                                      <w:color w:val="000000" w:themeColor="text1"/>
                                      <w:kern w:val="0"/>
                                      <w:szCs w:val="24"/>
                                      <w14:textFill>
                                        <w14:solidFill>
                                          <w14:schemeClr w14:val="tx1"/>
                                        </w14:solidFill>
                                      </w14:textFill>
                                    </w:rPr>
                                  </m:ctrlPr>
                                </m:dPr>
                                <m:e>
                                  <m:r>
                                    <m:rPr>
                                      <m:sty m:val="p"/>
                                    </m:rPr>
                                    <w:rPr>
                                      <w:rFonts w:ascii="Cambria Math" w:hAnsi="Cambria Math" w:cs="Times New Roman"/>
                                      <w:color w:val="000000" w:themeColor="text1"/>
                                      <w:kern w:val="0"/>
                                      <w:szCs w:val="24"/>
                                      <w14:textFill>
                                        <w14:solidFill>
                                          <w14:schemeClr w14:val="tx1"/>
                                        </w14:solidFill>
                                      </w14:textFill>
                                    </w:rPr>
                                    <m:t>r</m:t>
                                  </m:r>
                                  <m:ctrlPr>
                                    <w:rPr>
                                      <w:rFonts w:ascii="Cambria Math" w:hAnsi="Cambria Math" w:cs="Times New Roman"/>
                                      <w:color w:val="000000" w:themeColor="text1"/>
                                      <w:kern w:val="0"/>
                                      <w:szCs w:val="24"/>
                                      <w14:textFill>
                                        <w14:solidFill>
                                          <w14:schemeClr w14:val="tx1"/>
                                        </w14:solidFill>
                                      </w14:textFill>
                                    </w:rPr>
                                  </m:ctrlPr>
                                </m:e>
                              </m:d>
                              <m:ctrlPr>
                                <w:rPr>
                                  <w:rFonts w:ascii="Cambria Math" w:hAnsi="Cambria Math" w:cs="Times New Roman"/>
                                  <w:color w:val="000000" w:themeColor="text1"/>
                                  <w:kern w:val="0"/>
                                  <w:szCs w:val="24"/>
                                  <w14:textFill>
                                    <w14:solidFill>
                                      <w14:schemeClr w14:val="tx1"/>
                                    </w14:solidFill>
                                  </w14:textFill>
                                </w:rPr>
                              </m:ctrlPr>
                            </m:num>
                            <m:den>
                              <m:r>
                                <m:rPr>
                                  <m:sty m:val="p"/>
                                </m:rPr>
                                <w:rPr>
                                  <w:rFonts w:ascii="Cambria Math" w:hAnsi="Cambria Math" w:cs="Times New Roman"/>
                                  <w:color w:val="000000" w:themeColor="text1"/>
                                  <w:kern w:val="0"/>
                                  <w:szCs w:val="24"/>
                                  <w14:textFill>
                                    <w14:solidFill>
                                      <w14:schemeClr w14:val="tx1"/>
                                    </w14:solidFill>
                                  </w14:textFill>
                                </w:rPr>
                                <m:t>10</m:t>
                              </m:r>
                              <m:ctrlPr>
                                <w:rPr>
                                  <w:rFonts w:ascii="Cambria Math" w:hAnsi="Cambria Math" w:cs="Times New Roman"/>
                                  <w:color w:val="000000" w:themeColor="text1"/>
                                  <w:kern w:val="0"/>
                                  <w:szCs w:val="24"/>
                                  <w14:textFill>
                                    <w14:solidFill>
                                      <w14:schemeClr w14:val="tx1"/>
                                    </w14:solidFill>
                                  </w14:textFill>
                                </w:rPr>
                              </m:ctrlPr>
                            </m:den>
                          </m:f>
                          <m:ctrlPr>
                            <w:rPr>
                              <w:rFonts w:ascii="Cambria Math" w:hAnsi="Cambria Math" w:cs="Times New Roman"/>
                              <w:color w:val="000000" w:themeColor="text1"/>
                              <w:kern w:val="0"/>
                              <w:szCs w:val="24"/>
                              <w14:textFill>
                                <w14:solidFill>
                                  <w14:schemeClr w14:val="tx1"/>
                                </w14:solidFill>
                              </w14:textFill>
                            </w:rPr>
                          </m:ctrlPr>
                        </m:sup>
                      </m:sSup>
                      <m:ctrlPr>
                        <w:rPr>
                          <w:rFonts w:ascii="Cambria Math" w:hAnsi="Cambria Math" w:cs="Times New Roman"/>
                          <w:color w:val="000000" w:themeColor="text1"/>
                          <w:kern w:val="0"/>
                          <w:szCs w:val="24"/>
                          <w14:textFill>
                            <w14:solidFill>
                              <w14:schemeClr w14:val="tx1"/>
                            </w14:solidFill>
                          </w14:textFill>
                        </w:rPr>
                      </m:ctrlPr>
                    </m:e>
                  </m:nary>
                  <m:ctrlPr>
                    <w:rPr>
                      <w:rFonts w:ascii="Cambria Math" w:hAnsi="Cambria Math" w:cs="Times New Roman"/>
                      <w:color w:val="000000" w:themeColor="text1"/>
                      <w:kern w:val="0"/>
                      <w:szCs w:val="24"/>
                      <w14:textFill>
                        <w14:solidFill>
                          <w14:schemeClr w14:val="tx1"/>
                        </w14:solidFill>
                      </w14:textFill>
                    </w:rPr>
                  </m:ctrlPr>
                </m:e>
              </m:d>
              <m:ctrlPr>
                <w:rPr>
                  <w:rFonts w:ascii="Cambria Math" w:hAnsi="Cambria Math" w:cs="Times New Roman"/>
                  <w:color w:val="000000" w:themeColor="text1"/>
                  <w:kern w:val="0"/>
                  <w:szCs w:val="24"/>
                  <w14:textFill>
                    <w14:solidFill>
                      <w14:schemeClr w14:val="tx1"/>
                    </w14:solidFill>
                  </w14:textFill>
                </w:rPr>
              </m:ctrlPr>
            </m:e>
          </m:func>
        </m:oMath>
      </m:oMathPara>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现状监测值与预测贡献值叠加的预测总声级计算公式为：</w:t>
      </w:r>
    </w:p>
    <w:p>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L=10</m:t>
          </m:r>
          <m:func>
            <m:funcPr>
              <m:ctrlPr>
                <w:rPr>
                  <w:rFonts w:ascii="Cambria Math" w:hAnsi="Cambria Math" w:cs="Times New Roman"/>
                  <w:color w:val="000000" w:themeColor="text1"/>
                  <w14:textFill>
                    <w14:solidFill>
                      <w14:schemeClr w14:val="tx1"/>
                    </w14:solidFill>
                  </w14:textFill>
                </w:rPr>
              </m:ctrlPr>
            </m:funcPr>
            <m:fName>
              <m:r>
                <m:rPr>
                  <m:sty m:val="p"/>
                </m:rPr>
                <w:rPr>
                  <w:rFonts w:ascii="Cambria Math" w:hAnsi="Cambria Math" w:cs="Times New Roman"/>
                  <w:color w:val="000000" w:themeColor="text1"/>
                  <w14:textFill>
                    <w14:solidFill>
                      <w14:schemeClr w14:val="tx1"/>
                    </w14:solidFill>
                  </w14:textFill>
                </w:rPr>
                <m:t>lg</m:t>
              </m:r>
              <m:ctrlPr>
                <w:rPr>
                  <w:rFonts w:ascii="Cambria Math" w:hAnsi="Cambria Math" w:cs="Times New Roman"/>
                  <w:color w:val="000000" w:themeColor="text1"/>
                  <w14:textFill>
                    <w14:solidFill>
                      <w14:schemeClr w14:val="tx1"/>
                    </w14:solidFill>
                  </w14:textFill>
                </w:rPr>
              </m:ctrlPr>
            </m:fName>
            <m:e>
              <m:d>
                <m:dPr>
                  <m:ctrlPr>
                    <w:rPr>
                      <w:rFonts w:ascii="Cambria Math" w:hAnsi="Cambria Math" w:cs="Times New Roman"/>
                      <w:color w:val="000000" w:themeColor="text1"/>
                      <w14:textFill>
                        <w14:solidFill>
                          <w14:schemeClr w14:val="tx1"/>
                        </w14:solidFill>
                      </w14:textFill>
                    </w:rPr>
                  </m:ctrlPr>
                </m:dPr>
                <m:e>
                  <m:sSup>
                    <m:sSupPr>
                      <m:ctrlPr>
                        <w:rPr>
                          <w:rFonts w:ascii="Cambria Math" w:hAnsi="Cambria Math" w:cs="Times New Roman"/>
                          <w:color w:val="000000" w:themeColor="text1"/>
                          <w14:textFill>
                            <w14:solidFill>
                              <w14:schemeClr w14:val="tx1"/>
                            </w14:solidFill>
                          </w14:textFill>
                        </w:rPr>
                      </m:ctrlPr>
                    </m:sSupPr>
                    <m:e>
                      <m:r>
                        <m:rPr>
                          <m:sty m:val="p"/>
                        </m:rPr>
                        <w:rPr>
                          <w:rFonts w:ascii="Cambria Math" w:hAnsi="Cambria Math" w:cs="Times New Roman"/>
                          <w:color w:val="000000" w:themeColor="text1"/>
                          <w14:textFill>
                            <w14:solidFill>
                              <w14:schemeClr w14:val="tx1"/>
                            </w14:solidFill>
                          </w14:textFill>
                        </w:rPr>
                        <m:t>10</m:t>
                      </m:r>
                      <m:ctrlPr>
                        <w:rPr>
                          <w:rFonts w:ascii="Cambria Math" w:hAnsi="Cambria Math" w:cs="Times New Roman"/>
                          <w:color w:val="000000" w:themeColor="text1"/>
                          <w14:textFill>
                            <w14:solidFill>
                              <w14:schemeClr w14:val="tx1"/>
                            </w14:solidFill>
                          </w14:textFill>
                        </w:rPr>
                      </m:ctrlPr>
                    </m:e>
                    <m:sup>
                      <m:r>
                        <m:rPr>
                          <m:sty m:val="p"/>
                        </m:rPr>
                        <w:rPr>
                          <w:rFonts w:ascii="Cambria Math" w:hAnsi="Cambria Math" w:cs="Times New Roman"/>
                          <w:color w:val="000000" w:themeColor="text1"/>
                          <w14:textFill>
                            <w14:solidFill>
                              <w14:schemeClr w14:val="tx1"/>
                            </w14:solidFill>
                          </w14:textFill>
                        </w:rPr>
                        <m:t>0.1</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P</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sup>
                  </m:sSup>
                  <m:r>
                    <m:rPr>
                      <m:sty m:val="p"/>
                    </m:rPr>
                    <w:rPr>
                      <w:rFonts w:ascii="Cambria Math" w:hAnsi="Cambria Math" w:cs="Times New Roman"/>
                      <w:color w:val="000000" w:themeColor="text1"/>
                      <w14:textFill>
                        <w14:solidFill>
                          <w14:schemeClr w14:val="tx1"/>
                        </w14:solidFill>
                      </w14:textFill>
                    </w:rPr>
                    <m:t>+</m:t>
                  </m:r>
                  <m:sSup>
                    <m:sSupPr>
                      <m:ctrlPr>
                        <w:rPr>
                          <w:rFonts w:ascii="Cambria Math" w:hAnsi="Cambria Math" w:cs="Times New Roman"/>
                          <w:color w:val="000000" w:themeColor="text1"/>
                          <w14:textFill>
                            <w14:solidFill>
                              <w14:schemeClr w14:val="tx1"/>
                            </w14:solidFill>
                          </w14:textFill>
                        </w:rPr>
                      </m:ctrlPr>
                    </m:sSupPr>
                    <m:e>
                      <m:r>
                        <m:rPr>
                          <m:sty m:val="p"/>
                        </m:rPr>
                        <w:rPr>
                          <w:rFonts w:ascii="Cambria Math" w:hAnsi="Cambria Math" w:cs="Times New Roman"/>
                          <w:color w:val="000000" w:themeColor="text1"/>
                          <w14:textFill>
                            <w14:solidFill>
                              <w14:schemeClr w14:val="tx1"/>
                            </w14:solidFill>
                          </w14:textFill>
                        </w:rPr>
                        <m:t>10</m:t>
                      </m:r>
                      <m:ctrlPr>
                        <w:rPr>
                          <w:rFonts w:ascii="Cambria Math" w:hAnsi="Cambria Math" w:cs="Times New Roman"/>
                          <w:color w:val="000000" w:themeColor="text1"/>
                          <w14:textFill>
                            <w14:solidFill>
                              <w14:schemeClr w14:val="tx1"/>
                            </w14:solidFill>
                          </w14:textFill>
                        </w:rPr>
                      </m:ctrlPr>
                    </m:e>
                    <m:sup>
                      <m:r>
                        <m:rPr>
                          <m:sty m:val="p"/>
                        </m:rPr>
                        <w:rPr>
                          <w:rFonts w:ascii="Cambria Math" w:hAnsi="Cambria Math" w:cs="Times New Roman"/>
                          <w:color w:val="000000" w:themeColor="text1"/>
                          <w14:textFill>
                            <w14:solidFill>
                              <w14:schemeClr w14:val="tx1"/>
                            </w14:solidFill>
                          </w14:textFill>
                        </w:rPr>
                        <m:t>0.1</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n</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sup>
                  </m:sSup>
                  <m:ctrlPr>
                    <w:rPr>
                      <w:rFonts w:ascii="Cambria Math" w:hAnsi="Cambria Math" w:cs="Times New Roman"/>
                      <w:color w:val="000000" w:themeColor="text1"/>
                      <w14:textFill>
                        <w14:solidFill>
                          <w14:schemeClr w14:val="tx1"/>
                        </w14:solidFill>
                      </w14:textFill>
                    </w:rPr>
                  </m:ctrlPr>
                </m:e>
              </m:d>
              <m:ctrlPr>
                <w:rPr>
                  <w:rFonts w:ascii="Cambria Math" w:hAnsi="Cambria Math" w:cs="Times New Roman"/>
                  <w:color w:val="000000" w:themeColor="text1"/>
                  <w14:textFill>
                    <w14:solidFill>
                      <w14:schemeClr w14:val="tx1"/>
                    </w14:solidFill>
                  </w14:textFill>
                </w:rPr>
              </m:ctrlPr>
            </m:e>
          </m:func>
        </m:oMath>
      </m:oMathPara>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sub>
        </m:sSub>
        <m:d>
          <m:dPr>
            <m:ctrlPr>
              <w:rPr>
                <w:rFonts w:ascii="Cambria Math" w:hAnsi="Cambria Math" w:cs="Times New Roman"/>
                <w:color w:val="000000" w:themeColor="text1"/>
                <w14:textFill>
                  <w14:solidFill>
                    <w14:schemeClr w14:val="tx1"/>
                  </w14:solidFill>
                </w14:textFill>
              </w:rPr>
            </m:ctrlPr>
          </m:dPr>
          <m:e>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e>
        </m:d>
      </m:oMath>
      <w:r>
        <w:rPr>
          <w:rFonts w:cs="Times New Roman"/>
          <w:color w:val="000000" w:themeColor="text1"/>
          <w14:textFill>
            <w14:solidFill>
              <w14:schemeClr w14:val="tx1"/>
            </w14:solidFill>
          </w14:textFill>
        </w:rPr>
        <w:t>——距声源r处的A声级；</w:t>
      </w:r>
    </w:p>
    <w:p>
      <w:pPr>
        <w:ind w:firstLine="1200" w:firstLineChars="500"/>
        <w:rPr>
          <w:rFonts w:cs="Times New Roman"/>
          <w:color w:val="000000" w:themeColor="text1"/>
          <w14:textFill>
            <w14:solidFill>
              <w14:schemeClr w14:val="tx1"/>
            </w14:solidFill>
          </w14:textFill>
        </w:rPr>
      </w:pP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aref</m:t>
            </m:r>
            <m:ctrlPr>
              <w:rPr>
                <w:rFonts w:ascii="Cambria Math" w:hAnsi="Cambria Math" w:cs="Times New Roman"/>
                <w:color w:val="000000" w:themeColor="text1"/>
                <w14:textFill>
                  <w14:solidFill>
                    <w14:schemeClr w14:val="tx1"/>
                  </w14:solidFill>
                </w14:textFill>
              </w:rPr>
            </m:ctrlPr>
          </m:sub>
        </m:sSub>
        <m:d>
          <m:dPr>
            <m:ctrlPr>
              <w:rPr>
                <w:rFonts w:ascii="Cambria Math" w:hAnsi="Cambria Math" w:cs="Times New Roman"/>
                <w:color w:val="000000" w:themeColor="text1"/>
                <w14:textFill>
                  <w14:solidFill>
                    <w14:schemeClr w14:val="tx1"/>
                  </w14:solidFill>
                </w14:textFill>
              </w:rPr>
            </m:ctrlPr>
          </m:dPr>
          <m:e>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0</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e>
        </m:d>
      </m:oMath>
      <w:r>
        <w:rPr>
          <w:rFonts w:cs="Times New Roman"/>
          <w:color w:val="000000" w:themeColor="text1"/>
          <w14:textFill>
            <w14:solidFill>
              <w14:schemeClr w14:val="tx1"/>
            </w14:solidFill>
          </w14:textFill>
        </w:rPr>
        <w:t>——参考位置</w:t>
      </w: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0</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处的A声级；</w:t>
      </w:r>
    </w:p>
    <w:p>
      <w:pPr>
        <w:ind w:firstLine="1200" w:firstLineChars="500"/>
        <w:rPr>
          <w:rFonts w:cs="Times New Roman"/>
          <w:color w:val="000000" w:themeColor="text1"/>
          <w14:textFill>
            <w14:solidFill>
              <w14:schemeClr w14:val="tx1"/>
            </w14:solidFill>
          </w14:textFill>
        </w:rPr>
      </w:pP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diu</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——声波几何发散引起的A声级衰减量；</w:t>
      </w:r>
    </w:p>
    <w:p>
      <w:pPr>
        <w:ind w:firstLine="1200" w:firstLineChars="500"/>
        <w:rPr>
          <w:rFonts w:cs="Times New Roman"/>
          <w:color w:val="000000" w:themeColor="text1"/>
          <w14:textFill>
            <w14:solidFill>
              <w14:schemeClr w14:val="tx1"/>
            </w14:solidFill>
          </w14:textFill>
        </w:rPr>
      </w:pP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bar</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——声屏障引起衰减量；</w:t>
      </w:r>
    </w:p>
    <w:p>
      <w:pPr>
        <w:ind w:firstLine="1200" w:firstLineChars="500"/>
        <w:rPr>
          <w:rFonts w:cs="Times New Roman"/>
          <w:color w:val="000000" w:themeColor="text1"/>
          <w14:textFill>
            <w14:solidFill>
              <w14:schemeClr w14:val="tx1"/>
            </w14:solidFill>
          </w14:textFill>
        </w:rPr>
      </w:pP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atm</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——空气吸收引起的A声级衰减量；</w:t>
      </w:r>
    </w:p>
    <w:p>
      <w:pPr>
        <w:ind w:firstLine="1200" w:firstLineChars="500"/>
        <w:rPr>
          <w:rFonts w:cs="Times New Roman"/>
          <w:color w:val="000000" w:themeColor="text1"/>
          <w14:textFill>
            <w14:solidFill>
              <w14:schemeClr w14:val="tx1"/>
            </w14:solidFill>
          </w14:textFill>
        </w:rPr>
      </w:pP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exc</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——附加衰减量，上限为10 dB（A）；</w:t>
      </w:r>
    </w:p>
    <w:p>
      <w:pPr>
        <w:ind w:firstLine="1200" w:firstLineChars="500"/>
        <w:rPr>
          <w:rFonts w:cs="Times New Roman"/>
          <w:color w:val="000000" w:themeColor="text1"/>
          <w14:textFill>
            <w14:solidFill>
              <w14:schemeClr w14:val="tx1"/>
            </w14:solidFill>
          </w14:textFill>
        </w:rPr>
      </w:pP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——声源衰减至r处的声压级，dB；</w:t>
      </w:r>
    </w:p>
    <w:p>
      <w:pPr>
        <w:ind w:firstLine="1200" w:firstLineChars="500"/>
        <w:rPr>
          <w:rFonts w:cs="Times New Roman"/>
          <w:color w:val="000000" w:themeColor="text1"/>
          <w14:textFill>
            <w14:solidFill>
              <w14:schemeClr w14:val="tx1"/>
            </w14:solidFill>
          </w14:textFill>
        </w:rPr>
      </w:pP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0</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——声源在参考距离</w:t>
      </w: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0</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处的声压级；</w:t>
      </w:r>
    </w:p>
    <w:p>
      <w:pPr>
        <w:ind w:firstLine="1200" w:firstLineChars="500"/>
        <w:rPr>
          <w:rFonts w:cs="Times New Roman"/>
          <w:color w:val="000000" w:themeColor="text1"/>
          <w14:textFill>
            <w14:solidFill>
              <w14:schemeClr w14:val="tx1"/>
            </w14:solidFill>
          </w14:textFill>
        </w:rPr>
      </w:pP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0</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——预测参考距离，m；</w:t>
      </w:r>
    </w:p>
    <w:p>
      <w:pPr>
        <w:ind w:firstLine="1200" w:firstLineChars="500"/>
        <w:rPr>
          <w:rFonts w:cs="Times New Roman"/>
          <w:color w:val="000000" w:themeColor="text1"/>
          <w14:textFill>
            <w14:solidFill>
              <w14:schemeClr w14:val="tx1"/>
            </w14:solidFill>
          </w14:textFill>
        </w:rPr>
      </w:pP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0</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——预测点的噪声现状值，dB。</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为了分析施工设备噪声影响，现将不同等级声源在不同距离影响量分析计算出来，列于表5.1-3。</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表5.1-3 不同声源等级dB（A）在不同距离（m）噪声影响水平</w:t>
      </w:r>
    </w:p>
    <w:p>
      <w:pPr>
        <w:kinsoku w:val="0"/>
        <w:overflowPunct w:val="0"/>
        <w:autoSpaceDE w:val="0"/>
        <w:autoSpaceDN w:val="0"/>
        <w:adjustRightInd w:val="0"/>
        <w:spacing w:before="1" w:line="240" w:lineRule="auto"/>
        <w:ind w:firstLine="0" w:firstLineChars="0"/>
        <w:jc w:val="left"/>
        <w:rPr>
          <w:rFonts w:cs="Times New Roman"/>
          <w:color w:val="000000" w:themeColor="text1"/>
          <w:kern w:val="0"/>
          <w:sz w:val="7"/>
          <w:szCs w:val="7"/>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1437"/>
        <w:gridCol w:w="842"/>
        <w:gridCol w:w="845"/>
        <w:gridCol w:w="845"/>
        <w:gridCol w:w="843"/>
        <w:gridCol w:w="843"/>
        <w:gridCol w:w="843"/>
        <w:gridCol w:w="843"/>
        <w:gridCol w:w="843"/>
        <w:gridCol w:w="917"/>
      </w:tblGrid>
      <w:tr>
        <w:tblPrEx>
          <w:tblCellMar>
            <w:top w:w="0" w:type="dxa"/>
            <w:left w:w="0" w:type="dxa"/>
            <w:bottom w:w="0" w:type="dxa"/>
            <w:right w:w="0" w:type="dxa"/>
          </w:tblCellMar>
        </w:tblPrEx>
        <w:trPr>
          <w:trHeight w:val="397" w:hRule="atLeast"/>
        </w:trPr>
        <w:tc>
          <w:tcPr>
            <w:tcW w:w="790" w:type="pct"/>
            <w:tcBorders>
              <w:top w:val="single" w:color="auto" w:sz="12" w:space="0"/>
              <w:left w:val="single" w:color="auto" w:sz="12" w:space="0"/>
              <w:bottom w:val="single" w:color="auto" w:sz="12" w:space="0"/>
              <w:right w:val="single" w:color="000000" w:sz="6" w:space="0"/>
              <w:tl2br w:val="single" w:color="auto" w:sz="4" w:space="0"/>
            </w:tcBorders>
            <w:vAlign w:val="center"/>
          </w:tcPr>
          <w:p>
            <w:pPr>
              <w:pStyle w:val="332"/>
              <w:jc w:val="right"/>
              <w:rPr>
                <w:color w:val="000000" w:themeColor="text1"/>
                <w14:textFill>
                  <w14:solidFill>
                    <w14:schemeClr w14:val="tx1"/>
                  </w14:solidFill>
                </w14:textFill>
              </w:rPr>
            </w:pPr>
            <w:r>
              <w:rPr>
                <w:color w:val="000000" w:themeColor="text1"/>
                <w14:textFill>
                  <w14:solidFill>
                    <w14:schemeClr w14:val="tx1"/>
                  </w14:solidFill>
                </w14:textFill>
              </w:rPr>
              <w:t>声源</w:t>
            </w:r>
          </w:p>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距离</w:t>
            </w:r>
          </w:p>
        </w:tc>
        <w:tc>
          <w:tcPr>
            <w:tcW w:w="463" w:type="pct"/>
            <w:tcBorders>
              <w:top w:val="single" w:color="auto" w:sz="12" w:space="0"/>
              <w:left w:val="single" w:color="000000" w:sz="6"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80</w:t>
            </w:r>
          </w:p>
        </w:tc>
        <w:tc>
          <w:tcPr>
            <w:tcW w:w="464"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85</w:t>
            </w:r>
          </w:p>
        </w:tc>
        <w:tc>
          <w:tcPr>
            <w:tcW w:w="464"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90</w:t>
            </w:r>
          </w:p>
        </w:tc>
        <w:tc>
          <w:tcPr>
            <w:tcW w:w="463"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95</w:t>
            </w:r>
          </w:p>
        </w:tc>
        <w:tc>
          <w:tcPr>
            <w:tcW w:w="463"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463"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105</w:t>
            </w:r>
          </w:p>
        </w:tc>
        <w:tc>
          <w:tcPr>
            <w:tcW w:w="463"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spacing w:val="-2"/>
                <w14:textFill>
                  <w14:solidFill>
                    <w14:schemeClr w14:val="tx1"/>
                  </w14:solidFill>
                </w14:textFill>
              </w:rPr>
              <w:t>110</w:t>
            </w:r>
          </w:p>
        </w:tc>
        <w:tc>
          <w:tcPr>
            <w:tcW w:w="463"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spacing w:val="-2"/>
                <w14:textFill>
                  <w14:solidFill>
                    <w14:schemeClr w14:val="tx1"/>
                  </w14:solidFill>
                </w14:textFill>
              </w:rPr>
              <w:t>115</w:t>
            </w:r>
          </w:p>
        </w:tc>
        <w:tc>
          <w:tcPr>
            <w:tcW w:w="504" w:type="pct"/>
            <w:tcBorders>
              <w:top w:val="single" w:color="auto" w:sz="12"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120</w:t>
            </w:r>
          </w:p>
        </w:tc>
      </w:tr>
      <w:tr>
        <w:tblPrEx>
          <w:tblCellMar>
            <w:top w:w="0" w:type="dxa"/>
            <w:left w:w="0" w:type="dxa"/>
            <w:bottom w:w="0" w:type="dxa"/>
            <w:right w:w="0" w:type="dxa"/>
          </w:tblCellMar>
        </w:tblPrEx>
        <w:trPr>
          <w:trHeight w:val="397" w:hRule="atLeast"/>
        </w:trPr>
        <w:tc>
          <w:tcPr>
            <w:tcW w:w="790" w:type="pct"/>
            <w:tcBorders>
              <w:top w:val="single" w:color="auto" w:sz="12"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463"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60.0</w:t>
            </w:r>
          </w:p>
        </w:tc>
        <w:tc>
          <w:tcPr>
            <w:tcW w:w="464"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65.0</w:t>
            </w:r>
          </w:p>
        </w:tc>
        <w:tc>
          <w:tcPr>
            <w:tcW w:w="464"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70.0</w:t>
            </w:r>
          </w:p>
        </w:tc>
        <w:tc>
          <w:tcPr>
            <w:tcW w:w="463"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75.0</w:t>
            </w:r>
          </w:p>
        </w:tc>
        <w:tc>
          <w:tcPr>
            <w:tcW w:w="463"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463"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85.0</w:t>
            </w:r>
          </w:p>
        </w:tc>
        <w:tc>
          <w:tcPr>
            <w:tcW w:w="463"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90.0</w:t>
            </w:r>
          </w:p>
        </w:tc>
        <w:tc>
          <w:tcPr>
            <w:tcW w:w="463"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95.0</w:t>
            </w:r>
          </w:p>
        </w:tc>
        <w:tc>
          <w:tcPr>
            <w:tcW w:w="504" w:type="pct"/>
            <w:tcBorders>
              <w:top w:val="single" w:color="auto" w:sz="12"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100.0</w:t>
            </w:r>
          </w:p>
        </w:tc>
      </w:tr>
      <w:tr>
        <w:tblPrEx>
          <w:tblCellMar>
            <w:top w:w="0" w:type="dxa"/>
            <w:left w:w="0" w:type="dxa"/>
            <w:bottom w:w="0" w:type="dxa"/>
            <w:right w:w="0" w:type="dxa"/>
          </w:tblCellMar>
        </w:tblPrEx>
        <w:trPr>
          <w:trHeight w:val="397" w:hRule="atLeast"/>
        </w:trPr>
        <w:tc>
          <w:tcPr>
            <w:tcW w:w="790"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54.0</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59.0</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64.0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69.0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74.0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79.0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84.0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89.0</w:t>
            </w:r>
          </w:p>
        </w:tc>
        <w:tc>
          <w:tcPr>
            <w:tcW w:w="504"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94.0</w:t>
            </w:r>
          </w:p>
        </w:tc>
      </w:tr>
      <w:tr>
        <w:tblPrEx>
          <w:tblCellMar>
            <w:top w:w="0" w:type="dxa"/>
            <w:left w:w="0" w:type="dxa"/>
            <w:bottom w:w="0" w:type="dxa"/>
            <w:right w:w="0" w:type="dxa"/>
          </w:tblCellMar>
        </w:tblPrEx>
        <w:trPr>
          <w:trHeight w:val="397" w:hRule="atLeast"/>
        </w:trPr>
        <w:tc>
          <w:tcPr>
            <w:tcW w:w="790"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46.0</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51.0</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56.0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61.0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66.0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71.0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76.0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81.0</w:t>
            </w:r>
          </w:p>
        </w:tc>
        <w:tc>
          <w:tcPr>
            <w:tcW w:w="504"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86.0</w:t>
            </w:r>
          </w:p>
        </w:tc>
      </w:tr>
      <w:tr>
        <w:tblPrEx>
          <w:tblCellMar>
            <w:top w:w="0" w:type="dxa"/>
            <w:left w:w="0" w:type="dxa"/>
            <w:bottom w:w="0" w:type="dxa"/>
            <w:right w:w="0" w:type="dxa"/>
          </w:tblCellMar>
        </w:tblPrEx>
        <w:trPr>
          <w:trHeight w:val="397" w:hRule="atLeast"/>
        </w:trPr>
        <w:tc>
          <w:tcPr>
            <w:tcW w:w="790"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42.5</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47.5</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52.5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57.5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62.5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17.5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72.5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77.5</w:t>
            </w:r>
          </w:p>
        </w:tc>
        <w:tc>
          <w:tcPr>
            <w:tcW w:w="504"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82.5</w:t>
            </w:r>
          </w:p>
        </w:tc>
      </w:tr>
      <w:tr>
        <w:tblPrEx>
          <w:tblCellMar>
            <w:top w:w="0" w:type="dxa"/>
            <w:left w:w="0" w:type="dxa"/>
            <w:bottom w:w="0" w:type="dxa"/>
            <w:right w:w="0" w:type="dxa"/>
          </w:tblCellMar>
        </w:tblPrEx>
        <w:trPr>
          <w:trHeight w:val="397" w:hRule="atLeast"/>
        </w:trPr>
        <w:tc>
          <w:tcPr>
            <w:tcW w:w="790"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45.0</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60.0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65.0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70.0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75.0</w:t>
            </w:r>
          </w:p>
        </w:tc>
        <w:tc>
          <w:tcPr>
            <w:tcW w:w="504"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80.0</w:t>
            </w:r>
          </w:p>
        </w:tc>
      </w:tr>
      <w:tr>
        <w:tblPrEx>
          <w:tblCellMar>
            <w:top w:w="0" w:type="dxa"/>
            <w:left w:w="0" w:type="dxa"/>
            <w:bottom w:w="0" w:type="dxa"/>
            <w:right w:w="0" w:type="dxa"/>
          </w:tblCellMar>
        </w:tblPrEx>
        <w:trPr>
          <w:trHeight w:val="397" w:hRule="atLeast"/>
        </w:trPr>
        <w:tc>
          <w:tcPr>
            <w:tcW w:w="790"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38.1</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43.1</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48.1</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53.1</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58.1</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63.1</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68.1</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73.1</w:t>
            </w:r>
          </w:p>
        </w:tc>
        <w:tc>
          <w:tcPr>
            <w:tcW w:w="504"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78.1</w:t>
            </w:r>
          </w:p>
        </w:tc>
      </w:tr>
      <w:tr>
        <w:tblPrEx>
          <w:tblCellMar>
            <w:top w:w="0" w:type="dxa"/>
            <w:left w:w="0" w:type="dxa"/>
            <w:bottom w:w="0" w:type="dxa"/>
            <w:right w:w="0" w:type="dxa"/>
          </w:tblCellMar>
        </w:tblPrEx>
        <w:trPr>
          <w:trHeight w:val="397" w:hRule="atLeast"/>
        </w:trPr>
        <w:tc>
          <w:tcPr>
            <w:tcW w:w="790"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36.5</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41.5</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46.5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51.5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56.5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61.5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66.5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71.5</w:t>
            </w:r>
          </w:p>
        </w:tc>
        <w:tc>
          <w:tcPr>
            <w:tcW w:w="504"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76.5</w:t>
            </w:r>
          </w:p>
        </w:tc>
      </w:tr>
      <w:tr>
        <w:tblPrEx>
          <w:tblCellMar>
            <w:top w:w="0" w:type="dxa"/>
            <w:left w:w="0" w:type="dxa"/>
            <w:bottom w:w="0" w:type="dxa"/>
            <w:right w:w="0" w:type="dxa"/>
          </w:tblCellMar>
        </w:tblPrEx>
        <w:trPr>
          <w:trHeight w:val="397" w:hRule="atLeast"/>
        </w:trPr>
        <w:tc>
          <w:tcPr>
            <w:tcW w:w="790"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34.0</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39.0</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44.0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49.0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54.0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59.0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64.0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69.0</w:t>
            </w:r>
          </w:p>
        </w:tc>
        <w:tc>
          <w:tcPr>
            <w:tcW w:w="504"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74.0</w:t>
            </w:r>
          </w:p>
        </w:tc>
      </w:tr>
      <w:tr>
        <w:tblPrEx>
          <w:tblCellMar>
            <w:top w:w="0" w:type="dxa"/>
            <w:left w:w="0" w:type="dxa"/>
            <w:bottom w:w="0" w:type="dxa"/>
            <w:right w:w="0" w:type="dxa"/>
          </w:tblCellMar>
        </w:tblPrEx>
        <w:trPr>
          <w:trHeight w:val="397" w:hRule="atLeast"/>
        </w:trPr>
        <w:tc>
          <w:tcPr>
            <w:tcW w:w="790"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30.5</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35.5</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40.5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45.5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50.5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60.5</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65.5</w:t>
            </w:r>
          </w:p>
        </w:tc>
        <w:tc>
          <w:tcPr>
            <w:tcW w:w="504"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70.5</w:t>
            </w:r>
          </w:p>
        </w:tc>
      </w:tr>
      <w:tr>
        <w:tblPrEx>
          <w:tblCellMar>
            <w:top w:w="0" w:type="dxa"/>
            <w:left w:w="0" w:type="dxa"/>
            <w:bottom w:w="0" w:type="dxa"/>
            <w:right w:w="0" w:type="dxa"/>
          </w:tblCellMar>
        </w:tblPrEx>
        <w:trPr>
          <w:trHeight w:val="397" w:hRule="atLeast"/>
        </w:trPr>
        <w:tc>
          <w:tcPr>
            <w:tcW w:w="790"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25.8</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29.8</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35.8</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39.8</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45.8</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49.8</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55.8</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59.8</w:t>
            </w:r>
          </w:p>
        </w:tc>
        <w:tc>
          <w:tcPr>
            <w:tcW w:w="504"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65.8</w:t>
            </w:r>
          </w:p>
        </w:tc>
      </w:tr>
      <w:tr>
        <w:tblPrEx>
          <w:tblCellMar>
            <w:top w:w="0" w:type="dxa"/>
            <w:left w:w="0" w:type="dxa"/>
            <w:bottom w:w="0" w:type="dxa"/>
            <w:right w:w="0" w:type="dxa"/>
          </w:tblCellMar>
        </w:tblPrEx>
        <w:trPr>
          <w:trHeight w:val="397" w:hRule="atLeast"/>
        </w:trPr>
        <w:tc>
          <w:tcPr>
            <w:tcW w:w="790"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600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24.4</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29.4</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34.4</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39.4</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44.4</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49.4</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54.4</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59.4</w:t>
            </w:r>
          </w:p>
        </w:tc>
        <w:tc>
          <w:tcPr>
            <w:tcW w:w="504"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64.4</w:t>
            </w:r>
          </w:p>
        </w:tc>
      </w:tr>
      <w:tr>
        <w:tblPrEx>
          <w:tblCellMar>
            <w:top w:w="0" w:type="dxa"/>
            <w:left w:w="0" w:type="dxa"/>
            <w:bottom w:w="0" w:type="dxa"/>
            <w:right w:w="0" w:type="dxa"/>
          </w:tblCellMar>
        </w:tblPrEx>
        <w:trPr>
          <w:trHeight w:val="397" w:hRule="atLeast"/>
        </w:trPr>
        <w:tc>
          <w:tcPr>
            <w:tcW w:w="790" w:type="pct"/>
            <w:tcBorders>
              <w:top w:val="single" w:color="000000" w:sz="4"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700</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23.1</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28.1</w:t>
            </w:r>
          </w:p>
        </w:tc>
        <w:tc>
          <w:tcPr>
            <w:tcW w:w="46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33.1</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38.1</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43.1</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48.1</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53.1</w:t>
            </w:r>
          </w:p>
        </w:tc>
        <w:tc>
          <w:tcPr>
            <w:tcW w:w="4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58.1</w:t>
            </w:r>
          </w:p>
        </w:tc>
        <w:tc>
          <w:tcPr>
            <w:tcW w:w="504" w:type="pct"/>
            <w:tcBorders>
              <w:top w:val="single" w:color="000000" w:sz="4"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63.1</w:t>
            </w:r>
          </w:p>
        </w:tc>
      </w:tr>
      <w:tr>
        <w:tblPrEx>
          <w:tblCellMar>
            <w:top w:w="0" w:type="dxa"/>
            <w:left w:w="0" w:type="dxa"/>
            <w:bottom w:w="0" w:type="dxa"/>
            <w:right w:w="0" w:type="dxa"/>
          </w:tblCellMar>
        </w:tblPrEx>
        <w:trPr>
          <w:trHeight w:val="397" w:hRule="atLeast"/>
        </w:trPr>
        <w:tc>
          <w:tcPr>
            <w:tcW w:w="790" w:type="pct"/>
            <w:tcBorders>
              <w:top w:val="single" w:color="000000" w:sz="4"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463"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21.8</w:t>
            </w:r>
          </w:p>
        </w:tc>
        <w:tc>
          <w:tcPr>
            <w:tcW w:w="464"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26.8</w:t>
            </w:r>
          </w:p>
        </w:tc>
        <w:tc>
          <w:tcPr>
            <w:tcW w:w="464"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31.8</w:t>
            </w:r>
          </w:p>
        </w:tc>
        <w:tc>
          <w:tcPr>
            <w:tcW w:w="463"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36.8</w:t>
            </w:r>
          </w:p>
        </w:tc>
        <w:tc>
          <w:tcPr>
            <w:tcW w:w="463"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41.8</w:t>
            </w:r>
          </w:p>
        </w:tc>
        <w:tc>
          <w:tcPr>
            <w:tcW w:w="463"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46.8</w:t>
            </w:r>
          </w:p>
        </w:tc>
        <w:tc>
          <w:tcPr>
            <w:tcW w:w="463"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51.8</w:t>
            </w:r>
          </w:p>
        </w:tc>
        <w:tc>
          <w:tcPr>
            <w:tcW w:w="463"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56.8</w:t>
            </w:r>
          </w:p>
        </w:tc>
        <w:tc>
          <w:tcPr>
            <w:tcW w:w="504" w:type="pct"/>
            <w:tcBorders>
              <w:top w:val="single" w:color="000000" w:sz="4"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61.8</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由表5.1-3可知，施工机械噪声一般都超过《建筑施工场界环境噪声排放标准》（昼间70 dB（A）、夜间55 dB（A）），施工机械噪声在白天对距声源30 m范围内，夜间对距声源200 m范围内敏感点有一定影响。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本项目厂界距离最近的村庄为杜村，距离项目所在位置630 m，由施工期施工设备不同距离噪声值预测结果看，施工噪声对周围村庄的居民影响很小。</w:t>
      </w:r>
    </w:p>
    <w:p>
      <w:pPr>
        <w:pStyle w:val="5"/>
        <w:rPr>
          <w:color w:val="000000" w:themeColor="text1"/>
          <w14:textFill>
            <w14:solidFill>
              <w14:schemeClr w14:val="tx1"/>
            </w14:solidFill>
          </w14:textFill>
        </w:rPr>
      </w:pPr>
      <w:r>
        <w:rPr>
          <w:color w:val="000000" w:themeColor="text1"/>
          <w14:textFill>
            <w14:solidFill>
              <w14:schemeClr w14:val="tx1"/>
            </w14:solidFill>
          </w14:textFill>
        </w:rPr>
        <w:t>5.1.3.3防治措施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筑施工由于各阶段使用的机械设备组合情况不同，所以噪声辐射影响的程度也不尽相同。基础施工阶段设备多属高噪声机械。主体施工阶段，噪声特点是持续时间长，强度高。施工噪声的防治包括控制措施和防护措施。控制措施主要是对施工设备、施工时间和施工人员的控制和管理；防护措施主要是对周围敏感目标的保护。环评要求要切实做好噪声污染的防范措施，避免对居民造成影响。主要通过以下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在各施工阶段中，第一阶段即土方阶段的挖掘机对声环境的影响最大，采取的防治措施如下：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1）制定严格合理的施工计划，集中安排高噪声施工阶段，便于合理控制；</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2）事先公告施工状况，以征得周围居民的谅解；</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3）施工区应实施严格的隔离措施，降低施工噪声影响；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4）在施工阶段采用商品砼，不仅可减少扬尘，而且还避免搅拌机噪声污染。</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5）所有高产噪设备的施工时间如打桩机等应安排在日间非休息时段，夜间禁止施工；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尽可能利用噪声距离衰减措施，在不影响施工的条件下，将强噪声设备尽量移至距场界较远的地方，保证施工场界达标。尽量将强噪声设备分散安排，同时相对固定的机械设备尽量入棚操作，最大限度减少施工噪声对周围居民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避免在同一地点安排大量动力机械设备，以避免局部声级过高；施工设备选型上应尽量采用低噪声设备，如振捣器采用变频振捣器等；对动力机械设备进行定期的维修、养护，因设备常因松动部件的震动或消声器破坏而加大其工作时的声级；尽量少用哨子、喇叭等指挥作业，减少人为噪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8）对位置相对固定的产噪机械设备，能设在棚内操作的应尽量进入操作间，不能入棚的也应适当建立围隔声障；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9）建设施工期，工程业主和有关管理部门应设立举报途径，并应加强日常监督管理，发现违规行为应及时纠正，以确保工程施工阶段的声环境要求。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采取以上措施后施工噪声对周围环境影响很小。</w:t>
      </w:r>
    </w:p>
    <w:p>
      <w:pPr>
        <w:pStyle w:val="4"/>
        <w:rPr>
          <w:rFonts w:cs="Times New Roman"/>
          <w:color w:val="000000" w:themeColor="text1"/>
          <w14:textFill>
            <w14:solidFill>
              <w14:schemeClr w14:val="tx1"/>
            </w14:solidFill>
          </w14:textFill>
        </w:rPr>
      </w:pPr>
      <w:bookmarkStart w:id="554" w:name="_Toc91163915"/>
      <w:r>
        <w:rPr>
          <w:rFonts w:cs="Times New Roman"/>
          <w:color w:val="000000" w:themeColor="text1"/>
          <w14:textFill>
            <w14:solidFill>
              <w14:schemeClr w14:val="tx1"/>
            </w14:solidFill>
          </w14:textFill>
        </w:rPr>
        <w:t>5.1.4 固体废物影响分析</w:t>
      </w:r>
      <w:bookmarkEnd w:id="554"/>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施工期产生的固体废物主要为开挖土方、建筑垃圾和施工人员的少量生活垃圾。</w:t>
      </w:r>
    </w:p>
    <w:p>
      <w:pPr>
        <w:ind w:firstLine="480"/>
        <w:rPr>
          <w:rFonts w:cs="Times New Roman"/>
          <w:color w:val="000000" w:themeColor="text1"/>
          <w:highlight w:val="yellow"/>
          <w14:textFill>
            <w14:solidFill>
              <w14:schemeClr w14:val="tx1"/>
            </w14:solidFill>
          </w14:textFill>
        </w:rPr>
      </w:pPr>
      <w:r>
        <w:rPr>
          <w:rFonts w:cs="Times New Roman"/>
          <w:color w:val="000000" w:themeColor="text1"/>
          <w14:textFill>
            <w14:solidFill>
              <w14:schemeClr w14:val="tx1"/>
            </w14:solidFill>
          </w14:textFill>
        </w:rPr>
        <w:t>本项目占地为</w:t>
      </w:r>
      <w:r>
        <w:rPr>
          <w:rFonts w:cs="Times New Roman"/>
          <w:bCs/>
          <w:color w:val="000000" w:themeColor="text1"/>
          <w:kern w:val="24"/>
          <w:szCs w:val="20"/>
          <w14:textFill>
            <w14:solidFill>
              <w14:schemeClr w14:val="tx1"/>
            </w14:solidFill>
          </w14:textFill>
        </w:rPr>
        <w:t>占地面积53019.51m</w:t>
      </w:r>
      <w:r>
        <w:rPr>
          <w:rFonts w:cs="Times New Roman"/>
          <w:bCs/>
          <w:color w:val="000000" w:themeColor="text1"/>
          <w:kern w:val="24"/>
          <w:szCs w:val="20"/>
          <w:vertAlign w:val="superscript"/>
          <w14:textFill>
            <w14:solidFill>
              <w14:schemeClr w14:val="tx1"/>
            </w14:solidFill>
          </w14:textFill>
        </w:rPr>
        <w:t>2</w:t>
      </w:r>
      <w:r>
        <w:rPr>
          <w:rFonts w:cs="Times New Roman"/>
          <w:bCs/>
          <w:color w:val="000000" w:themeColor="text1"/>
          <w:kern w:val="24"/>
          <w:szCs w:val="20"/>
          <w14:textFill>
            <w14:solidFill>
              <w14:schemeClr w14:val="tx1"/>
            </w14:solidFill>
          </w14:textFill>
        </w:rPr>
        <w:t>，约79.53亩</w:t>
      </w:r>
      <w:r>
        <w:rPr>
          <w:rFonts w:cs="Times New Roman"/>
          <w:color w:val="000000" w:themeColor="text1"/>
          <w14:textFill>
            <w14:solidFill>
              <w14:schemeClr w14:val="tx1"/>
            </w14:solidFill>
          </w14:textFill>
        </w:rPr>
        <w:t>，施工期间挖方主要为建筑物的地基开挖，总挖方量约为5万m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，全部回填，主要用于地基的回填、场地垫平、铺路和场地绿化，不产生废弃土方。</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施工期产生的建筑垃圾约60 t，主要是碎砖块、灰浆、废材料等，由施工队妥善处理，及时清运。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项目施工人员100人，生活垃圾产生量为0.05 t/d，生活垃圾应定点堆放，收集后与附近村庄生活垃圾一起处理。</w:t>
      </w:r>
    </w:p>
    <w:p>
      <w:pPr>
        <w:pStyle w:val="4"/>
        <w:rPr>
          <w:rFonts w:cs="Times New Roman"/>
          <w:color w:val="000000" w:themeColor="text1"/>
          <w14:textFill>
            <w14:solidFill>
              <w14:schemeClr w14:val="tx1"/>
            </w14:solidFill>
          </w14:textFill>
        </w:rPr>
      </w:pPr>
      <w:bookmarkStart w:id="555" w:name="_Toc91163916"/>
      <w:r>
        <w:rPr>
          <w:rFonts w:cs="Times New Roman"/>
          <w:color w:val="000000" w:themeColor="text1"/>
          <w14:textFill>
            <w14:solidFill>
              <w14:schemeClr w14:val="tx1"/>
            </w14:solidFill>
          </w14:textFill>
        </w:rPr>
        <w:t>5.1.5 生态环境影响分析</w:t>
      </w:r>
      <w:bookmarkEnd w:id="555"/>
    </w:p>
    <w:p>
      <w:pPr>
        <w:pStyle w:val="5"/>
        <w:rPr>
          <w:color w:val="000000" w:themeColor="text1"/>
          <w14:textFill>
            <w14:solidFill>
              <w14:schemeClr w14:val="tx1"/>
            </w14:solidFill>
          </w14:textFill>
        </w:rPr>
      </w:pPr>
      <w:r>
        <w:rPr>
          <w:color w:val="000000" w:themeColor="text1"/>
          <w14:textFill>
            <w14:solidFill>
              <w14:schemeClr w14:val="tx1"/>
            </w14:solidFill>
          </w14:textFill>
        </w:rPr>
        <w:t>5.1.5.1工程占地对生态环境影响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w:t>
      </w:r>
      <w:r>
        <w:rPr>
          <w:rFonts w:cs="Times New Roman"/>
          <w:bCs/>
          <w:color w:val="000000" w:themeColor="text1"/>
          <w:kern w:val="24"/>
          <w:szCs w:val="20"/>
          <w14:textFill>
            <w14:solidFill>
              <w14:schemeClr w14:val="tx1"/>
            </w14:solidFill>
          </w14:textFill>
        </w:rPr>
        <w:t>占地面积53019.51m</w:t>
      </w:r>
      <w:r>
        <w:rPr>
          <w:rFonts w:cs="Times New Roman"/>
          <w:bCs/>
          <w:color w:val="000000" w:themeColor="text1"/>
          <w:kern w:val="24"/>
          <w:szCs w:val="20"/>
          <w:vertAlign w:val="superscript"/>
          <w14:textFill>
            <w14:solidFill>
              <w14:schemeClr w14:val="tx1"/>
            </w14:solidFill>
          </w14:textFill>
        </w:rPr>
        <w:t>2</w:t>
      </w:r>
      <w:r>
        <w:rPr>
          <w:rFonts w:cs="Times New Roman"/>
          <w:bCs/>
          <w:color w:val="000000" w:themeColor="text1"/>
          <w:kern w:val="24"/>
          <w:szCs w:val="20"/>
          <w14:textFill>
            <w14:solidFill>
              <w14:schemeClr w14:val="tx1"/>
            </w14:solidFill>
          </w14:textFill>
        </w:rPr>
        <w:t>，约79.53亩</w:t>
      </w:r>
      <w:r>
        <w:rPr>
          <w:rFonts w:cs="Times New Roman"/>
          <w:color w:val="000000" w:themeColor="text1"/>
          <w14:textFill>
            <w14:solidFill>
              <w14:schemeClr w14:val="tx1"/>
            </w14:solidFill>
          </w14:textFill>
        </w:rPr>
        <w:t>，不占用基本农田，项目建设对周围生态环境产生的影响主要表现为清理地面、土地挖掘等活动，这样就改变了原有地表功能，造成场地植被破坏，进而引起水土流失等现象发生。</w:t>
      </w:r>
    </w:p>
    <w:p>
      <w:pPr>
        <w:pStyle w:val="5"/>
        <w:rPr>
          <w:color w:val="000000" w:themeColor="text1"/>
          <w14:textFill>
            <w14:solidFill>
              <w14:schemeClr w14:val="tx1"/>
            </w14:solidFill>
          </w14:textFill>
        </w:rPr>
      </w:pPr>
      <w:r>
        <w:rPr>
          <w:color w:val="000000" w:themeColor="text1"/>
          <w14:textFill>
            <w14:solidFill>
              <w14:schemeClr w14:val="tx1"/>
            </w14:solidFill>
          </w14:textFill>
        </w:rPr>
        <w:t>5.1.5.2施工对生物群落影响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施工对植物影响一方面来自土地占用对原地表植被的直接破坏，另一方面来自施工扬尘（包括挖填方扬尘和运输扬尘）对施工场地附近地表植被正常生长的影响。前一种影响是不可恢复的，后一种影响则可以随施工期结束而终止。</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项目施工对动物影响主要表现在施工区域及周围啮齿类动物等受到干扰。施工产生的噪声会干扰周围栖息的鸟类，导致鸟类外迁。</w:t>
      </w:r>
    </w:p>
    <w:p>
      <w:pPr>
        <w:pStyle w:val="5"/>
        <w:rPr>
          <w:color w:val="000000" w:themeColor="text1"/>
          <w14:textFill>
            <w14:solidFill>
              <w14:schemeClr w14:val="tx1"/>
            </w14:solidFill>
          </w14:textFill>
        </w:rPr>
      </w:pPr>
      <w:r>
        <w:rPr>
          <w:color w:val="000000" w:themeColor="text1"/>
          <w14:textFill>
            <w14:solidFill>
              <w14:schemeClr w14:val="tx1"/>
            </w14:solidFill>
          </w14:textFill>
        </w:rPr>
        <w:t>5.1.5.3施工引起的水土流失</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由于施工期对原地表的扰动、破坏较大，会造成一定的水土流失，同时建设过程中产生的临时堆渣以及大量的建筑垃圾，也会造成新的水土流失。</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以上分析可知：本项目在施工过程中填挖土方、场地平整等工程行为，会对当地植被产生一定影响，建筑垃圾堆放会对本地区生态环境造成影响。虽然施工过程产生的绝大部分影响都是暂时的、局部的，施工完成会慢慢恢复，但有些影响还是短期不易恢复的。尽管项目建成后会给当地带来可观的经济收益，且能通过绿化、美化等措施进行一定程度的生态补偿，但在施工过程中仍需采取必要的防护措施，如尽量减少土方工程量、基础施工中挖方需妥善堆存，用于回填、最大限度的降低施工扬尘等，使施工对生态环境影响降至最低程度。</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针对本项目的实际情况，要求采取以下保护措施：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1、防护措施：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为防止施工期造成生态破坏、水土流失，环评要求采取以下防治措施：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厂区及其配套设施的建设等施工对生态环境影响主要是地基开挖、场地平整等施工活动对地表结构的改变。项目施工期间，因土地平整，将对现有土层进行翻挖、削高、填低，使土层结构更为疏松，若在此过程中遇有大风或暴雨天气，如没有围挡措施，将成为本项目水土流失过程发生源，造成局部小面积泥水漫延，因此，在容易发生水土流失的施工地段布设土工布围栏，尽可能减少土壤侵蚀模数。在项目建成后，场区除绿化覆盖面积外，其余全部硬化。场区雨水及生产废水则采用清污分流制度，减少厂内水土流失，降低土壤侵蚀。</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评价要求优化施工营地布置，尽量缩小施工营地范围，施工完毕，应尽快整理施工营地，清理垃圾，恢复植被。施工营地临时占地破坏的植被，要制定补偿措施，进行补偿。</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2、生态恢复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区或直接影响区的生态恢复：工程建设区土地功能由于生产区、办公区或道路等的建设而永久性地发生变化，对其主要以生态补偿的方法实施；工程直接影响区则主要是施工及其它临时占地，治理主要是整理、硬化或绿化土地。具体措施为：对场区道路及地面进行硬化，减少雨水冲刷地面造成的生态影响；对猪舍周围设置绿化带，减少恶臭造成的环境影响，改善区域生态环境。</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上述施工过程中产生的污染都是暂时的、局部的，且随着施工过程的结束，该污染也将消失。</w:t>
      </w:r>
    </w:p>
    <w:p>
      <w:pPr>
        <w:pStyle w:val="3"/>
        <w:spacing w:before="120" w:after="120"/>
        <w:rPr>
          <w:rFonts w:cs="Times New Roman"/>
          <w:color w:val="000000" w:themeColor="text1"/>
          <w14:textFill>
            <w14:solidFill>
              <w14:schemeClr w14:val="tx1"/>
            </w14:solidFill>
          </w14:textFill>
        </w:rPr>
      </w:pPr>
      <w:bookmarkStart w:id="556" w:name="_Toc91163917"/>
      <w:r>
        <w:rPr>
          <w:rFonts w:cs="Times New Roman"/>
          <w:color w:val="000000" w:themeColor="text1"/>
          <w14:textFill>
            <w14:solidFill>
              <w14:schemeClr w14:val="tx1"/>
            </w14:solidFill>
          </w14:textFill>
        </w:rPr>
        <w:t>5.2  运营期大气环境影响预测与评价</w:t>
      </w:r>
      <w:bookmarkEnd w:id="556"/>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根据《环境影响评价技术导则 大气环境》（HJ2.2-2018）选择项目污染源正常排放的主要污染物及排放参数，采用附录A推荐模型中估算模型分别计算项目污染源的最大环境影响，然后按评价工作分级判据进行分级。</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本次评价采用导则推荐的AERSCREEN估算模式，确定本项目环境空气评价等级为二级，根据导则要求，二级评价项目可直接引用估算模型预测结果进行评价，不进行进一步预测与评价，只对污染物排放量进行核算。</w:t>
      </w:r>
    </w:p>
    <w:p>
      <w:pPr>
        <w:pStyle w:val="4"/>
        <w:rPr>
          <w:rFonts w:cs="Times New Roman"/>
          <w:color w:val="000000" w:themeColor="text1"/>
          <w14:textFill>
            <w14:solidFill>
              <w14:schemeClr w14:val="tx1"/>
            </w14:solidFill>
          </w14:textFill>
        </w:rPr>
      </w:pPr>
      <w:bookmarkStart w:id="557" w:name="_Toc91163918"/>
      <w:r>
        <w:rPr>
          <w:rFonts w:cs="Times New Roman"/>
          <w:color w:val="000000" w:themeColor="text1"/>
          <w14:textFill>
            <w14:solidFill>
              <w14:schemeClr w14:val="tx1"/>
            </w14:solidFill>
          </w14:textFill>
        </w:rPr>
        <w:t>5.2.1 大气污染源调查</w:t>
      </w:r>
      <w:bookmarkEnd w:id="55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根据《环境影响评价技术导则大气环境》（HJ2.2-2018），二级评价可只调查分析本项目污染源。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从项目工程分析选取主要污染物本项目运营期大气污染物PM</w:t>
      </w:r>
      <w:r>
        <w:rPr>
          <w:rFonts w:cs="Times New Roman"/>
          <w:color w:val="000000" w:themeColor="text1"/>
          <w:vertAlign w:val="subscript"/>
          <w14:textFill>
            <w14:solidFill>
              <w14:schemeClr w14:val="tx1"/>
            </w14:solidFill>
          </w14:textFill>
        </w:rPr>
        <w:t>10</w:t>
      </w:r>
      <w:r>
        <w:rPr>
          <w:rFonts w:cs="Times New Roman"/>
          <w:color w:val="000000" w:themeColor="text1"/>
          <w14:textFill>
            <w14:solidFill>
              <w14:schemeClr w14:val="tx1"/>
            </w14:solidFill>
          </w14:textFill>
        </w:rPr>
        <w:t>、SO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、NOx、NH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S，评价以场区无害化处理设备废气排放口、沼气发电机排口，养殖区、粪污治理区和有机肥粪棚作为面源污染源预测大气污染物排放情况。</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大气污染源有组织点源参数见表5.2-3，大气污染源无组织面源参数见表5.2-4。</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表5.2-3 点源参数调查清单</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535"/>
        <w:gridCol w:w="677"/>
        <w:gridCol w:w="537"/>
        <w:gridCol w:w="537"/>
        <w:gridCol w:w="561"/>
        <w:gridCol w:w="564"/>
        <w:gridCol w:w="938"/>
        <w:gridCol w:w="1216"/>
        <w:gridCol w:w="794"/>
        <w:gridCol w:w="794"/>
        <w:gridCol w:w="7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top w:val="single" w:color="auto" w:sz="12" w:space="0"/>
              <w:left w:val="single" w:color="auto" w:sz="12"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298"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排气筒高度/m</w:t>
            </w:r>
          </w:p>
        </w:tc>
        <w:tc>
          <w:tcPr>
            <w:tcW w:w="376"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排气筒出口内径/m</w:t>
            </w:r>
          </w:p>
        </w:tc>
        <w:tc>
          <w:tcPr>
            <w:tcW w:w="299"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烟气</w:t>
            </w:r>
          </w:p>
          <w:p>
            <w:pPr>
              <w:pStyle w:val="347"/>
              <w:rPr>
                <w:color w:val="000000" w:themeColor="text1"/>
                <w14:textFill>
                  <w14:solidFill>
                    <w14:schemeClr w14:val="tx1"/>
                  </w14:solidFill>
                </w14:textFill>
              </w:rPr>
            </w:pPr>
            <w:r>
              <w:rPr>
                <w:color w:val="000000" w:themeColor="text1"/>
                <w14:textFill>
                  <w14:solidFill>
                    <w14:schemeClr w14:val="tx1"/>
                  </w14:solidFill>
                </w14:textFill>
              </w:rPr>
              <w:t>流速</w:t>
            </w:r>
          </w:p>
          <w:p>
            <w:pPr>
              <w:pStyle w:val="347"/>
              <w:rPr>
                <w:color w:val="000000" w:themeColor="text1"/>
                <w14:textFill>
                  <w14:solidFill>
                    <w14:schemeClr w14:val="tx1"/>
                  </w14:solidFill>
                </w14:textFill>
              </w:rPr>
            </w:pPr>
            <w:r>
              <w:rPr>
                <w:color w:val="000000" w:themeColor="text1"/>
                <w14:textFill>
                  <w14:solidFill>
                    <w14:schemeClr w14:val="tx1"/>
                  </w14:solidFill>
                </w14:textFill>
              </w:rPr>
              <w:t>m/s</w:t>
            </w:r>
          </w:p>
        </w:tc>
        <w:tc>
          <w:tcPr>
            <w:tcW w:w="299"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烟气温度</w:t>
            </w:r>
          </w:p>
          <w:p>
            <w:pPr>
              <w:pStyle w:val="347"/>
              <w:rPr>
                <w:color w:val="000000" w:themeColor="text1"/>
                <w14:textFill>
                  <w14:solidFill>
                    <w14:schemeClr w14:val="tx1"/>
                  </w14:solidFill>
                </w14:textFill>
              </w:rPr>
            </w:pPr>
            <w:r>
              <w:rPr>
                <w:color w:val="000000" w:themeColor="text1"/>
                <w14:textFill>
                  <w14:solidFill>
                    <w14:schemeClr w14:val="tx1"/>
                  </w14:solidFill>
                </w14:textFill>
              </w:rPr>
              <w:t>K</w:t>
            </w:r>
          </w:p>
        </w:tc>
        <w:tc>
          <w:tcPr>
            <w:tcW w:w="312"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年排放小时数</w:t>
            </w:r>
          </w:p>
          <w:p>
            <w:pPr>
              <w:pStyle w:val="347"/>
              <w:rPr>
                <w:color w:val="000000" w:themeColor="text1"/>
                <w14:textFill>
                  <w14:solidFill>
                    <w14:schemeClr w14:val="tx1"/>
                  </w14:solidFill>
                </w14:textFill>
              </w:rPr>
            </w:pPr>
            <w:r>
              <w:rPr>
                <w:color w:val="000000" w:themeColor="text1"/>
                <w14:textFill>
                  <w14:solidFill>
                    <w14:schemeClr w14:val="tx1"/>
                  </w14:solidFill>
                </w14:textFill>
              </w:rPr>
              <w:t>/h</w:t>
            </w:r>
          </w:p>
        </w:tc>
        <w:tc>
          <w:tcPr>
            <w:tcW w:w="314" w:type="pct"/>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排放</w:t>
            </w:r>
          </w:p>
          <w:p>
            <w:pPr>
              <w:pStyle w:val="347"/>
              <w:rPr>
                <w:color w:val="000000" w:themeColor="text1"/>
                <w14:textFill>
                  <w14:solidFill>
                    <w14:schemeClr w14:val="tx1"/>
                  </w14:solidFill>
                </w14:textFill>
              </w:rPr>
            </w:pPr>
            <w:r>
              <w:rPr>
                <w:color w:val="000000" w:themeColor="text1"/>
                <w14:textFill>
                  <w14:solidFill>
                    <w14:schemeClr w14:val="tx1"/>
                  </w14:solidFill>
                </w14:textFill>
              </w:rPr>
              <w:t>工况</w:t>
            </w:r>
          </w:p>
        </w:tc>
        <w:tc>
          <w:tcPr>
            <w:tcW w:w="2421" w:type="pct"/>
            <w:gridSpan w:val="5"/>
            <w:tcBorders>
              <w:top w:val="single" w:color="auto" w:sz="12" w:space="0"/>
              <w:left w:val="single" w:color="auto" w:sz="4" w:space="0"/>
              <w:bottom w:val="single" w:color="auto" w:sz="4" w:space="0"/>
              <w:right w:val="single" w:color="auto" w:sz="12" w:space="0"/>
            </w:tcBorders>
            <w:tcMar>
              <w:top w:w="0" w:type="dxa"/>
              <w:left w:w="28" w:type="dxa"/>
              <w:bottom w:w="0" w:type="dxa"/>
              <w:right w:w="28" w:type="dxa"/>
            </w:tcMar>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top w:val="single" w:color="auto" w:sz="12" w:space="0"/>
              <w:left w:val="single" w:color="auto" w:sz="12"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298"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376"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299"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299"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312"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314" w:type="pct"/>
            <w:vMerge w:val="continue"/>
            <w:tcBorders>
              <w:top w:val="single" w:color="auto" w:sz="12" w:space="0"/>
              <w:left w:val="single" w:color="auto" w:sz="4" w:space="0"/>
              <w:bottom w:val="single" w:color="auto" w:sz="12" w:space="0"/>
              <w:right w:val="single" w:color="auto" w:sz="4" w:space="0"/>
            </w:tcBorders>
            <w:vAlign w:val="center"/>
          </w:tcPr>
          <w:p>
            <w:pPr>
              <w:widowControl/>
              <w:ind w:firstLine="480"/>
              <w:jc w:val="center"/>
              <w:rPr>
                <w:rFonts w:cs="Times New Roman"/>
                <w:color w:val="000000" w:themeColor="text1"/>
                <w:szCs w:val="24"/>
                <w14:textFill>
                  <w14:solidFill>
                    <w14:schemeClr w14:val="tx1"/>
                  </w14:solidFill>
                </w14:textFill>
              </w:rPr>
            </w:pPr>
          </w:p>
        </w:tc>
        <w:tc>
          <w:tcPr>
            <w:tcW w:w="519" w:type="pct"/>
            <w:tcBorders>
              <w:top w:val="single" w:color="auto" w:sz="4" w:space="0"/>
              <w:left w:val="single" w:color="auto" w:sz="4" w:space="0"/>
              <w:bottom w:val="single" w:color="auto" w:sz="12"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671" w:type="pct"/>
            <w:tcBorders>
              <w:top w:val="single" w:color="auto" w:sz="4" w:space="0"/>
              <w:left w:val="single" w:color="auto" w:sz="4" w:space="0"/>
              <w:bottom w:val="single" w:color="auto" w:sz="12"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410" w:type="pct"/>
            <w:tcBorders>
              <w:top w:val="single" w:color="auto" w:sz="4" w:space="0"/>
              <w:left w:val="single" w:color="auto" w:sz="4" w:space="0"/>
              <w:bottom w:val="single" w:color="auto" w:sz="12"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烟尘</w:t>
            </w:r>
            <w:r>
              <w:rPr>
                <w:color w:val="000000" w:themeColor="text1"/>
                <w:vertAlign w:val="subscript"/>
                <w14:textFill>
                  <w14:solidFill>
                    <w14:schemeClr w14:val="tx1"/>
                  </w14:solidFill>
                </w14:textFill>
              </w:rPr>
              <w:t>0</w:t>
            </w:r>
          </w:p>
        </w:tc>
        <w:tc>
          <w:tcPr>
            <w:tcW w:w="410" w:type="pct"/>
            <w:tcBorders>
              <w:top w:val="single" w:color="auto" w:sz="4" w:space="0"/>
              <w:left w:val="single" w:color="auto" w:sz="4" w:space="0"/>
              <w:bottom w:val="single" w:color="auto" w:sz="12"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p>
        </w:tc>
        <w:tc>
          <w:tcPr>
            <w:tcW w:w="411" w:type="pct"/>
            <w:tcBorders>
              <w:top w:val="single" w:color="auto" w:sz="4" w:space="0"/>
              <w:left w:val="single" w:color="auto"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NOx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tcBorders>
              <w:top w:val="single" w:color="auto" w:sz="12" w:space="0"/>
              <w:left w:val="single" w:color="auto" w:sz="12"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无害化处理设备排气口</w:t>
            </w:r>
          </w:p>
        </w:tc>
        <w:tc>
          <w:tcPr>
            <w:tcW w:w="298"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15</w:t>
            </w:r>
          </w:p>
        </w:tc>
        <w:tc>
          <w:tcPr>
            <w:tcW w:w="376"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0.15</w:t>
            </w:r>
          </w:p>
        </w:tc>
        <w:tc>
          <w:tcPr>
            <w:tcW w:w="299"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10.85</w:t>
            </w:r>
          </w:p>
        </w:tc>
        <w:tc>
          <w:tcPr>
            <w:tcW w:w="299"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298</w:t>
            </w:r>
          </w:p>
        </w:tc>
        <w:tc>
          <w:tcPr>
            <w:tcW w:w="312"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3650</w:t>
            </w:r>
          </w:p>
        </w:tc>
        <w:tc>
          <w:tcPr>
            <w:tcW w:w="314"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519"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47"/>
              <w:rPr>
                <w:color w:val="000000" w:themeColor="text1"/>
                <w:sz w:val="18"/>
                <w:szCs w:val="21"/>
                <w14:textFill>
                  <w14:solidFill>
                    <w14:schemeClr w14:val="tx1"/>
                  </w14:solidFill>
                </w14:textFill>
              </w:rPr>
            </w:pPr>
            <w:r>
              <w:rPr>
                <w:color w:val="000000" w:themeColor="text1"/>
                <w14:textFill>
                  <w14:solidFill>
                    <w14:schemeClr w14:val="tx1"/>
                  </w14:solidFill>
                </w14:textFill>
              </w:rPr>
              <w:t>0.000046</w:t>
            </w:r>
          </w:p>
        </w:tc>
        <w:tc>
          <w:tcPr>
            <w:tcW w:w="671" w:type="pct"/>
            <w:tcBorders>
              <w:top w:val="single" w:color="auto" w:sz="12" w:space="0"/>
              <w:left w:val="single" w:color="auto" w:sz="4" w:space="0"/>
              <w:bottom w:val="single" w:color="auto" w:sz="4" w:space="0"/>
              <w:right w:val="single" w:color="auto" w:sz="4" w:space="0"/>
            </w:tcBorders>
            <w:vAlign w:val="center"/>
          </w:tcPr>
          <w:p>
            <w:pPr>
              <w:pStyle w:val="347"/>
              <w:rPr>
                <w:color w:val="000000" w:themeColor="text1"/>
                <w:sz w:val="18"/>
                <w:szCs w:val="21"/>
                <w14:textFill>
                  <w14:solidFill>
                    <w14:schemeClr w14:val="tx1"/>
                  </w14:solidFill>
                </w14:textFill>
              </w:rPr>
            </w:pPr>
            <w:r>
              <w:rPr>
                <w:color w:val="000000" w:themeColor="text1"/>
                <w14:textFill>
                  <w14:solidFill>
                    <w14:schemeClr w14:val="tx1"/>
                  </w14:solidFill>
                </w14:textFill>
              </w:rPr>
              <w:t>0.00000038</w:t>
            </w:r>
          </w:p>
        </w:tc>
        <w:tc>
          <w:tcPr>
            <w:tcW w:w="410" w:type="pct"/>
            <w:tcBorders>
              <w:top w:val="single" w:color="auto" w:sz="12" w:space="0"/>
              <w:left w:val="single" w:color="auto" w:sz="4" w:space="0"/>
              <w:bottom w:val="single" w:color="auto" w:sz="4" w:space="0"/>
              <w:right w:val="single" w:color="auto" w:sz="4" w:space="0"/>
            </w:tcBorders>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w:t>
            </w:r>
          </w:p>
        </w:tc>
        <w:tc>
          <w:tcPr>
            <w:tcW w:w="410" w:type="pct"/>
            <w:tcBorders>
              <w:top w:val="single" w:color="auto" w:sz="12" w:space="0"/>
              <w:left w:val="single" w:color="auto" w:sz="4" w:space="0"/>
              <w:bottom w:val="single" w:color="auto" w:sz="4" w:space="0"/>
              <w:right w:val="single" w:color="auto" w:sz="4" w:space="0"/>
            </w:tcBorders>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w:t>
            </w:r>
          </w:p>
        </w:tc>
        <w:tc>
          <w:tcPr>
            <w:tcW w:w="411" w:type="pct"/>
            <w:tcBorders>
              <w:top w:val="single" w:color="auto" w:sz="12" w:space="0"/>
              <w:left w:val="single" w:color="auto" w:sz="4" w:space="0"/>
              <w:bottom w:val="single" w:color="auto" w:sz="4" w:space="0"/>
              <w:right w:val="single" w:color="auto" w:sz="12" w:space="0"/>
            </w:tcBorders>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pct"/>
            <w:tcBorders>
              <w:top w:val="single" w:color="auto" w:sz="4" w:space="0"/>
              <w:left w:val="single" w:color="auto" w:sz="12"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沼气发电机排气口</w:t>
            </w:r>
          </w:p>
        </w:tc>
        <w:tc>
          <w:tcPr>
            <w:tcW w:w="298"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15</w:t>
            </w:r>
          </w:p>
        </w:tc>
        <w:tc>
          <w:tcPr>
            <w:tcW w:w="376"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0.15</w:t>
            </w:r>
          </w:p>
        </w:tc>
        <w:tc>
          <w:tcPr>
            <w:tcW w:w="299"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9.9</w:t>
            </w:r>
          </w:p>
        </w:tc>
        <w:tc>
          <w:tcPr>
            <w:tcW w:w="299"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333</w:t>
            </w:r>
          </w:p>
        </w:tc>
        <w:tc>
          <w:tcPr>
            <w:tcW w:w="312"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480</w:t>
            </w:r>
          </w:p>
        </w:tc>
        <w:tc>
          <w:tcPr>
            <w:tcW w:w="314"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519" w:type="pct"/>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w:t>
            </w:r>
          </w:p>
        </w:tc>
        <w:tc>
          <w:tcPr>
            <w:tcW w:w="671" w:type="pct"/>
            <w:tcBorders>
              <w:top w:val="single" w:color="auto" w:sz="4" w:space="0"/>
              <w:left w:val="single" w:color="auto" w:sz="4" w:space="0"/>
              <w:bottom w:val="single" w:color="auto" w:sz="12" w:space="0"/>
              <w:right w:val="single" w:color="auto" w:sz="4" w:space="0"/>
            </w:tcBorders>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w:t>
            </w:r>
          </w:p>
        </w:tc>
        <w:tc>
          <w:tcPr>
            <w:tcW w:w="410" w:type="pct"/>
            <w:tcBorders>
              <w:top w:val="single" w:color="auto" w:sz="4" w:space="0"/>
              <w:left w:val="single" w:color="auto" w:sz="4" w:space="0"/>
              <w:bottom w:val="single" w:color="auto" w:sz="12" w:space="0"/>
              <w:right w:val="single" w:color="auto" w:sz="4" w:space="0"/>
            </w:tcBorders>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0.0031</w:t>
            </w:r>
          </w:p>
        </w:tc>
        <w:tc>
          <w:tcPr>
            <w:tcW w:w="410" w:type="pct"/>
            <w:tcBorders>
              <w:top w:val="single" w:color="auto" w:sz="4" w:space="0"/>
              <w:left w:val="single" w:color="auto" w:sz="4" w:space="0"/>
              <w:bottom w:val="single" w:color="auto" w:sz="12" w:space="0"/>
              <w:right w:val="single" w:color="auto" w:sz="4" w:space="0"/>
            </w:tcBorders>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0.0029</w:t>
            </w:r>
          </w:p>
        </w:tc>
        <w:tc>
          <w:tcPr>
            <w:tcW w:w="411" w:type="pct"/>
            <w:tcBorders>
              <w:top w:val="single" w:color="auto" w:sz="4" w:space="0"/>
              <w:left w:val="single" w:color="auto" w:sz="4" w:space="0"/>
              <w:bottom w:val="single" w:color="auto" w:sz="12" w:space="0"/>
              <w:right w:val="single" w:color="auto" w:sz="12" w:space="0"/>
            </w:tcBorders>
            <w:vAlign w:val="center"/>
          </w:tcPr>
          <w:p>
            <w:pPr>
              <w:pStyle w:val="347"/>
              <w:rPr>
                <w:color w:val="000000" w:themeColor="text1"/>
                <w14:textFill>
                  <w14:solidFill>
                    <w14:schemeClr w14:val="tx1"/>
                  </w14:solidFill>
                </w14:textFill>
              </w:rPr>
            </w:pPr>
            <w:r>
              <w:rPr>
                <w:color w:val="000000" w:themeColor="text1"/>
                <w14:textFill>
                  <w14:solidFill>
                    <w14:schemeClr w14:val="tx1"/>
                  </w14:solidFill>
                </w14:textFill>
              </w:rPr>
              <w:t>0.094</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表5.2-4 面源参数调查清单</w:t>
      </w:r>
    </w:p>
    <w:tbl>
      <w:tblPr>
        <w:tblStyle w:val="34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302"/>
        <w:gridCol w:w="665"/>
        <w:gridCol w:w="702"/>
        <w:gridCol w:w="706"/>
        <w:gridCol w:w="851"/>
        <w:gridCol w:w="996"/>
        <w:gridCol w:w="854"/>
        <w:gridCol w:w="710"/>
        <w:gridCol w:w="923"/>
        <w:gridCol w:w="1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7"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701"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面源</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358"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海拔高度(m)</w:t>
            </w:r>
          </w:p>
        </w:tc>
        <w:tc>
          <w:tcPr>
            <w:tcW w:w="378"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面源长度(m)</w:t>
            </w:r>
          </w:p>
        </w:tc>
        <w:tc>
          <w:tcPr>
            <w:tcW w:w="380"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面源宽度(m)</w:t>
            </w:r>
          </w:p>
        </w:tc>
        <w:tc>
          <w:tcPr>
            <w:tcW w:w="458"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与正北方向夹角/°</w:t>
            </w:r>
          </w:p>
        </w:tc>
        <w:tc>
          <w:tcPr>
            <w:tcW w:w="536"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面源初始排放高度(m)</w:t>
            </w:r>
          </w:p>
        </w:tc>
        <w:tc>
          <w:tcPr>
            <w:tcW w:w="460"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年排放小时数</w:t>
            </w:r>
          </w:p>
          <w:p>
            <w:pPr>
              <w:pStyle w:val="332"/>
              <w:rPr>
                <w:color w:val="000000" w:themeColor="text1"/>
                <w14:textFill>
                  <w14:solidFill>
                    <w14:schemeClr w14:val="tx1"/>
                  </w14:solidFill>
                </w14:textFill>
              </w:rPr>
            </w:pPr>
            <w:r>
              <w:rPr>
                <w:color w:val="000000" w:themeColor="text1"/>
                <w14:textFill>
                  <w14:solidFill>
                    <w14:schemeClr w14:val="tx1"/>
                  </w14:solidFill>
                </w14:textFill>
              </w:rPr>
              <w:t>h</w:t>
            </w:r>
          </w:p>
        </w:tc>
        <w:tc>
          <w:tcPr>
            <w:tcW w:w="382"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排放工况</w:t>
            </w:r>
          </w:p>
        </w:tc>
        <w:tc>
          <w:tcPr>
            <w:tcW w:w="1110"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7"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701"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358"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378"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380"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458"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536"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460"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382"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497"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613"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7"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701" w:type="pct"/>
            <w:tcBorders>
              <w:top w:val="single" w:color="auto" w:sz="12" w:space="0"/>
              <w:bottom w:val="single" w:color="auto" w:sz="4" w:space="0"/>
            </w:tcBorders>
            <w:noWrap/>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养殖一区</w:t>
            </w:r>
          </w:p>
        </w:tc>
        <w:tc>
          <w:tcPr>
            <w:tcW w:w="358"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983</w:t>
            </w:r>
          </w:p>
        </w:tc>
        <w:tc>
          <w:tcPr>
            <w:tcW w:w="378" w:type="pct"/>
            <w:tcBorders>
              <w:top w:val="single" w:color="auto" w:sz="12"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160</w:t>
            </w:r>
          </w:p>
        </w:tc>
        <w:tc>
          <w:tcPr>
            <w:tcW w:w="380" w:type="pct"/>
            <w:tcBorders>
              <w:top w:val="single" w:color="auto" w:sz="12"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458" w:type="pct"/>
            <w:tcBorders>
              <w:top w:val="single" w:color="auto" w:sz="12"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536" w:type="pct"/>
            <w:tcBorders>
              <w:top w:val="single" w:color="auto" w:sz="12"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460" w:type="pct"/>
            <w:tcBorders>
              <w:top w:val="single" w:color="auto" w:sz="12"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8760</w:t>
            </w:r>
          </w:p>
        </w:tc>
        <w:tc>
          <w:tcPr>
            <w:tcW w:w="382"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497"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0.00131</w:t>
            </w:r>
          </w:p>
        </w:tc>
        <w:tc>
          <w:tcPr>
            <w:tcW w:w="613" w:type="pc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0.00019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7"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701" w:type="pct"/>
            <w:tcBorders>
              <w:top w:val="single" w:color="auto" w:sz="4" w:space="0"/>
              <w:bottom w:val="single" w:color="auto" w:sz="4" w:space="0"/>
            </w:tcBorders>
            <w:noWrap/>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养殖二区</w:t>
            </w:r>
          </w:p>
        </w:tc>
        <w:tc>
          <w:tcPr>
            <w:tcW w:w="358"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983</w:t>
            </w:r>
          </w:p>
        </w:tc>
        <w:tc>
          <w:tcPr>
            <w:tcW w:w="378"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380"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216</w:t>
            </w:r>
          </w:p>
        </w:tc>
        <w:tc>
          <w:tcPr>
            <w:tcW w:w="458"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536"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460"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8760</w:t>
            </w:r>
          </w:p>
        </w:tc>
        <w:tc>
          <w:tcPr>
            <w:tcW w:w="382"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497"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0.00552</w:t>
            </w:r>
          </w:p>
        </w:tc>
        <w:tc>
          <w:tcPr>
            <w:tcW w:w="613"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0.00047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7"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701" w:type="pct"/>
            <w:tcBorders>
              <w:top w:val="single" w:color="auto" w:sz="4" w:space="0"/>
              <w:bottom w:val="single" w:color="auto" w:sz="4" w:space="0"/>
            </w:tcBorders>
            <w:noWrap/>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黑膜沼气池</w:t>
            </w:r>
          </w:p>
        </w:tc>
        <w:tc>
          <w:tcPr>
            <w:tcW w:w="358"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983</w:t>
            </w:r>
          </w:p>
        </w:tc>
        <w:tc>
          <w:tcPr>
            <w:tcW w:w="378"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380"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458"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536"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460"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8760</w:t>
            </w:r>
          </w:p>
        </w:tc>
        <w:tc>
          <w:tcPr>
            <w:tcW w:w="382"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497"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0.0035</w:t>
            </w:r>
          </w:p>
        </w:tc>
        <w:tc>
          <w:tcPr>
            <w:tcW w:w="613"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0.0000087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7"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701" w:type="pct"/>
            <w:tcBorders>
              <w:top w:val="single" w:color="auto" w:sz="4" w:space="0"/>
              <w:bottom w:val="single" w:color="auto" w:sz="4"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沼液存储池</w:t>
            </w:r>
          </w:p>
        </w:tc>
        <w:tc>
          <w:tcPr>
            <w:tcW w:w="358"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983</w:t>
            </w:r>
          </w:p>
        </w:tc>
        <w:tc>
          <w:tcPr>
            <w:tcW w:w="378"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380"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458"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536"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460" w:type="pct"/>
            <w:tcBorders>
              <w:top w:val="single" w:color="auto" w:sz="4" w:space="0"/>
              <w:bottom w:val="single" w:color="auto" w:sz="4"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8760</w:t>
            </w:r>
          </w:p>
        </w:tc>
        <w:tc>
          <w:tcPr>
            <w:tcW w:w="382"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497"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613" w:type="pct"/>
            <w:tcBorders>
              <w:top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7"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701" w:type="pct"/>
            <w:tcBorders>
              <w:top w:val="single" w:color="auto" w:sz="4" w:space="0"/>
              <w:bottom w:val="single" w:color="auto" w:sz="12" w:space="0"/>
            </w:tcBorders>
            <w:noWrap/>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固粪处理区</w:t>
            </w:r>
          </w:p>
        </w:tc>
        <w:tc>
          <w:tcPr>
            <w:tcW w:w="358"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983</w:t>
            </w:r>
          </w:p>
        </w:tc>
        <w:tc>
          <w:tcPr>
            <w:tcW w:w="378" w:type="pct"/>
            <w:tcBorders>
              <w:top w:val="single" w:color="auto" w:sz="4" w:space="0"/>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380" w:type="pct"/>
            <w:tcBorders>
              <w:top w:val="single" w:color="auto" w:sz="4" w:space="0"/>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458" w:type="pct"/>
            <w:tcBorders>
              <w:top w:val="single" w:color="auto" w:sz="4" w:space="0"/>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536" w:type="pct"/>
            <w:tcBorders>
              <w:top w:val="single" w:color="auto" w:sz="4" w:space="0"/>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460" w:type="pct"/>
            <w:tcBorders>
              <w:top w:val="single" w:color="auto" w:sz="4" w:space="0"/>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8760</w:t>
            </w:r>
          </w:p>
        </w:tc>
        <w:tc>
          <w:tcPr>
            <w:tcW w:w="382"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497"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0.0008</w:t>
            </w:r>
          </w:p>
        </w:tc>
        <w:tc>
          <w:tcPr>
            <w:tcW w:w="613"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0.00004</w:t>
            </w:r>
          </w:p>
        </w:tc>
      </w:tr>
    </w:tbl>
    <w:p>
      <w:pPr>
        <w:pStyle w:val="4"/>
        <w:rPr>
          <w:rFonts w:cs="Times New Roman"/>
          <w:color w:val="000000" w:themeColor="text1"/>
          <w14:textFill>
            <w14:solidFill>
              <w14:schemeClr w14:val="tx1"/>
            </w14:solidFill>
          </w14:textFill>
        </w:rPr>
      </w:pPr>
      <w:bookmarkStart w:id="558" w:name="_Toc91163919"/>
      <w:r>
        <w:rPr>
          <w:rFonts w:cs="Times New Roman"/>
          <w:color w:val="000000" w:themeColor="text1"/>
          <w14:textFill>
            <w14:solidFill>
              <w14:schemeClr w14:val="tx1"/>
            </w14:solidFill>
          </w14:textFill>
        </w:rPr>
        <w:t>5.2.2估算结果</w:t>
      </w:r>
      <w:bookmarkEnd w:id="558"/>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本次评价采用估算模型对各污染源排放的污染物进行估算。计算结果详见表5.2-5~5.2-10。</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表5.2-5 无害化处理设备大气污染源污染物排放估算结果表</w:t>
      </w:r>
    </w:p>
    <w:p>
      <w:pPr>
        <w:kinsoku w:val="0"/>
        <w:overflowPunct w:val="0"/>
        <w:autoSpaceDE w:val="0"/>
        <w:autoSpaceDN w:val="0"/>
        <w:adjustRightInd w:val="0"/>
        <w:spacing w:before="2" w:line="240" w:lineRule="auto"/>
        <w:ind w:firstLine="0" w:firstLineChars="0"/>
        <w:jc w:val="left"/>
        <w:rPr>
          <w:rFonts w:cs="Times New Roman"/>
          <w:color w:val="000000" w:themeColor="text1"/>
          <w:kern w:val="0"/>
          <w:sz w:val="5"/>
          <w:szCs w:val="5"/>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2273"/>
        <w:gridCol w:w="1707"/>
        <w:gridCol w:w="1707"/>
        <w:gridCol w:w="1707"/>
        <w:gridCol w:w="170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24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距离(m)</w:t>
            </w:r>
          </w:p>
        </w:tc>
        <w:tc>
          <w:tcPr>
            <w:tcW w:w="187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875"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249"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浓度（μg/m</w:t>
            </w:r>
            <w:r>
              <w:rPr>
                <w:color w:val="000000" w:themeColor="text1"/>
                <w:position w:val="10"/>
                <w:sz w:val="14"/>
                <w:szCs w:val="14"/>
                <w14:textFill>
                  <w14:solidFill>
                    <w14:schemeClr w14:val="tx1"/>
                  </w14:solidFill>
                </w14:textFill>
              </w:rPr>
              <w:t>3</w:t>
            </w:r>
            <w:r>
              <w:rPr>
                <w:color w:val="000000" w:themeColor="text1"/>
                <w14:textFill>
                  <w14:solidFill>
                    <w14:schemeClr w14:val="tx1"/>
                  </w14:solidFill>
                </w14:textFill>
              </w:rPr>
              <w:t>）</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占标率（%）</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浓度（μg/m</w:t>
            </w:r>
            <w:r>
              <w:rPr>
                <w:color w:val="000000" w:themeColor="text1"/>
                <w:position w:val="10"/>
                <w:sz w:val="14"/>
                <w:szCs w:val="14"/>
                <w14:textFill>
                  <w14:solidFill>
                    <w14:schemeClr w14:val="tx1"/>
                  </w14:solidFill>
                </w14:textFill>
              </w:rPr>
              <w:t>3</w:t>
            </w:r>
            <w:r>
              <w:rPr>
                <w:color w:val="000000" w:themeColor="text1"/>
                <w14:textFill>
                  <w14:solidFill>
                    <w14:schemeClr w14:val="tx1"/>
                  </w14:solidFill>
                </w14:textFill>
              </w:rPr>
              <w:t>）</w:t>
            </w:r>
          </w:p>
        </w:tc>
        <w:tc>
          <w:tcPr>
            <w:tcW w:w="937"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占标率（%）</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0.0001</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0.000001</w:t>
            </w:r>
          </w:p>
        </w:tc>
        <w:tc>
          <w:tcPr>
            <w:tcW w:w="937"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25</w:t>
            </w:r>
          </w:p>
        </w:tc>
        <w:tc>
          <w:tcPr>
            <w:tcW w:w="938"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0.0031</w:t>
            </w:r>
          </w:p>
        </w:tc>
        <w:tc>
          <w:tcPr>
            <w:tcW w:w="938"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0.000026</w:t>
            </w:r>
          </w:p>
        </w:tc>
        <w:tc>
          <w:tcPr>
            <w:tcW w:w="937"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50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0.0065</w:t>
            </w:r>
          </w:p>
        </w:tc>
        <w:tc>
          <w:tcPr>
            <w:tcW w:w="93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0.000054</w:t>
            </w:r>
          </w:p>
        </w:tc>
        <w:tc>
          <w:tcPr>
            <w:tcW w:w="93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52</w:t>
            </w:r>
          </w:p>
        </w:tc>
        <w:tc>
          <w:tcPr>
            <w:tcW w:w="938"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0.0066</w:t>
            </w:r>
          </w:p>
        </w:tc>
        <w:tc>
          <w:tcPr>
            <w:tcW w:w="938" w:type="pct"/>
            <w:vAlign w:val="center"/>
          </w:tcPr>
          <w:p>
            <w:pPr>
              <w:pStyle w:val="332"/>
              <w:rPr>
                <w:b/>
                <w:bCs/>
                <w:color w:val="000000" w:themeColor="text1"/>
                <w14:textFill>
                  <w14:solidFill>
                    <w14:schemeClr w14:val="tx1"/>
                  </w14:solidFill>
                </w14:textFill>
              </w:rPr>
            </w:pPr>
            <w:r>
              <w:rPr>
                <w:b/>
                <w:bCs/>
                <w:color w:val="000000" w:themeColor="text1"/>
                <w14:textFill>
                  <w14:solidFill>
                    <w14:schemeClr w14:val="tx1"/>
                  </w14:solidFill>
                </w14:textFill>
              </w:rPr>
              <w:t>0.00</w:t>
            </w:r>
          </w:p>
        </w:tc>
        <w:tc>
          <w:tcPr>
            <w:tcW w:w="938"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0.000054</w:t>
            </w:r>
          </w:p>
        </w:tc>
        <w:tc>
          <w:tcPr>
            <w:tcW w:w="937" w:type="pct"/>
            <w:vAlign w:val="center"/>
          </w:tcPr>
          <w:p>
            <w:pPr>
              <w:pStyle w:val="332"/>
              <w:rPr>
                <w:b/>
                <w:bCs/>
                <w:color w:val="000000" w:themeColor="text1"/>
                <w14:textFill>
                  <w14:solidFill>
                    <w14:schemeClr w14:val="tx1"/>
                  </w14:solidFill>
                </w14:textFill>
              </w:rPr>
            </w:pPr>
            <w:r>
              <w:rPr>
                <w:b/>
                <w:bCs/>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75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0.0055</w:t>
            </w:r>
          </w:p>
        </w:tc>
        <w:tc>
          <w:tcPr>
            <w:tcW w:w="93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0.000045</w:t>
            </w:r>
          </w:p>
        </w:tc>
        <w:tc>
          <w:tcPr>
            <w:tcW w:w="93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0.0046</w:t>
            </w:r>
          </w:p>
        </w:tc>
        <w:tc>
          <w:tcPr>
            <w:tcW w:w="93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0.000038</w:t>
            </w:r>
          </w:p>
        </w:tc>
        <w:tc>
          <w:tcPr>
            <w:tcW w:w="93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0.0035</w:t>
            </w:r>
          </w:p>
        </w:tc>
        <w:tc>
          <w:tcPr>
            <w:tcW w:w="93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0.000029</w:t>
            </w:r>
          </w:p>
        </w:tc>
        <w:tc>
          <w:tcPr>
            <w:tcW w:w="93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0.0031</w:t>
            </w:r>
          </w:p>
        </w:tc>
        <w:tc>
          <w:tcPr>
            <w:tcW w:w="93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0.000026</w:t>
            </w:r>
          </w:p>
        </w:tc>
        <w:tc>
          <w:tcPr>
            <w:tcW w:w="93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400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0.0027</w:t>
            </w:r>
          </w:p>
        </w:tc>
        <w:tc>
          <w:tcPr>
            <w:tcW w:w="93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0.000022</w:t>
            </w:r>
          </w:p>
        </w:tc>
        <w:tc>
          <w:tcPr>
            <w:tcW w:w="93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500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0.0026</w:t>
            </w:r>
          </w:p>
        </w:tc>
        <w:tc>
          <w:tcPr>
            <w:tcW w:w="93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0.000021</w:t>
            </w:r>
          </w:p>
        </w:tc>
        <w:tc>
          <w:tcPr>
            <w:tcW w:w="93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700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0.0022</w:t>
            </w:r>
          </w:p>
        </w:tc>
        <w:tc>
          <w:tcPr>
            <w:tcW w:w="93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0.000018</w:t>
            </w:r>
          </w:p>
        </w:tc>
        <w:tc>
          <w:tcPr>
            <w:tcW w:w="93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0.0016</w:t>
            </w:r>
          </w:p>
        </w:tc>
        <w:tc>
          <w:tcPr>
            <w:tcW w:w="93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0.000013</w:t>
            </w:r>
          </w:p>
        </w:tc>
        <w:tc>
          <w:tcPr>
            <w:tcW w:w="93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1200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0.0014</w:t>
            </w:r>
          </w:p>
        </w:tc>
        <w:tc>
          <w:tcPr>
            <w:tcW w:w="93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0.000011</w:t>
            </w:r>
          </w:p>
        </w:tc>
        <w:tc>
          <w:tcPr>
            <w:tcW w:w="93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1400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0.0012</w:t>
            </w:r>
          </w:p>
        </w:tc>
        <w:tc>
          <w:tcPr>
            <w:tcW w:w="93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0.000010</w:t>
            </w:r>
          </w:p>
        </w:tc>
        <w:tc>
          <w:tcPr>
            <w:tcW w:w="93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1600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0.0010</w:t>
            </w:r>
          </w:p>
        </w:tc>
        <w:tc>
          <w:tcPr>
            <w:tcW w:w="93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0.000008</w:t>
            </w:r>
          </w:p>
        </w:tc>
        <w:tc>
          <w:tcPr>
            <w:tcW w:w="93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1800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0.0010</w:t>
            </w:r>
          </w:p>
        </w:tc>
        <w:tc>
          <w:tcPr>
            <w:tcW w:w="93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0.000008</w:t>
            </w:r>
          </w:p>
        </w:tc>
        <w:tc>
          <w:tcPr>
            <w:tcW w:w="93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0.0009</w:t>
            </w:r>
          </w:p>
        </w:tc>
        <w:tc>
          <w:tcPr>
            <w:tcW w:w="93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0.000008</w:t>
            </w:r>
          </w:p>
        </w:tc>
        <w:tc>
          <w:tcPr>
            <w:tcW w:w="93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2500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0.0008</w:t>
            </w:r>
          </w:p>
        </w:tc>
        <w:tc>
          <w:tcPr>
            <w:tcW w:w="93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0.000007</w:t>
            </w:r>
          </w:p>
        </w:tc>
        <w:tc>
          <w:tcPr>
            <w:tcW w:w="93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auto" w:sz="12" w:space="0"/>
              <w:bottom w:val="single" w:color="000000" w:sz="4" w:space="0"/>
            </w:tcBorders>
            <w:vAlign w:val="center"/>
          </w:tcPr>
          <w:p>
            <w:pPr>
              <w:pStyle w:val="332"/>
              <w:rPr>
                <w:color w:val="000000" w:themeColor="text1"/>
                <w:spacing w:val="-2"/>
                <w14:textFill>
                  <w14:solidFill>
                    <w14:schemeClr w14:val="tx1"/>
                  </w14:solidFill>
                </w14:textFill>
              </w:rPr>
            </w:pPr>
            <w:r>
              <w:rPr>
                <w:color w:val="000000" w:themeColor="text1"/>
                <w:spacing w:val="-2"/>
                <w14:textFill>
                  <w14:solidFill>
                    <w14:schemeClr w14:val="tx1"/>
                  </w14:solidFill>
                </w14:textFill>
              </w:rPr>
              <w:t>下风向最大质量浓度</w:t>
            </w:r>
          </w:p>
          <w:p>
            <w:pPr>
              <w:pStyle w:val="332"/>
              <w:rPr>
                <w:color w:val="000000" w:themeColor="text1"/>
                <w14:textFill>
                  <w14:solidFill>
                    <w14:schemeClr w14:val="tx1"/>
                  </w14:solidFill>
                </w14:textFill>
              </w:rPr>
            </w:pPr>
            <w:r>
              <w:rPr>
                <w:color w:val="000000" w:themeColor="text1"/>
                <w:spacing w:val="-2"/>
                <w14:textFill>
                  <w14:solidFill>
                    <w14:schemeClr w14:val="tx1"/>
                  </w14:solidFill>
                </w14:textFill>
              </w:rPr>
              <w:t>及</w:t>
            </w:r>
            <w:r>
              <w:rPr>
                <w:color w:val="000000" w:themeColor="text1"/>
                <w:spacing w:val="-85"/>
                <w14:textFill>
                  <w14:solidFill>
                    <w14:schemeClr w14:val="tx1"/>
                  </w14:solidFill>
                </w14:textFill>
              </w:rPr>
              <w:t xml:space="preserve"> </w:t>
            </w:r>
            <w:r>
              <w:rPr>
                <w:color w:val="000000" w:themeColor="text1"/>
                <w14:textFill>
                  <w14:solidFill>
                    <w14:schemeClr w14:val="tx1"/>
                  </w14:solidFill>
                </w14:textFill>
              </w:rPr>
              <w:t>占标率/%</w:t>
            </w:r>
          </w:p>
        </w:tc>
        <w:tc>
          <w:tcPr>
            <w:tcW w:w="938" w:type="pct"/>
            <w:tcBorders>
              <w:top w:val="single" w:color="auto" w:sz="12" w:space="0"/>
              <w:bottom w:val="single" w:color="000000" w:sz="4" w:space="0"/>
            </w:tcBorders>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0.0066</w:t>
            </w:r>
          </w:p>
        </w:tc>
        <w:tc>
          <w:tcPr>
            <w:tcW w:w="938" w:type="pct"/>
            <w:tcBorders>
              <w:top w:val="single" w:color="auto" w:sz="12" w:space="0"/>
              <w:bottom w:val="single" w:color="000000" w:sz="4" w:space="0"/>
            </w:tcBorders>
            <w:vAlign w:val="center"/>
          </w:tcPr>
          <w:p>
            <w:pPr>
              <w:pStyle w:val="332"/>
              <w:rPr>
                <w:b/>
                <w:bCs/>
                <w:color w:val="000000" w:themeColor="text1"/>
                <w14:textFill>
                  <w14:solidFill>
                    <w14:schemeClr w14:val="tx1"/>
                  </w14:solidFill>
                </w14:textFill>
              </w:rPr>
            </w:pPr>
            <w:r>
              <w:rPr>
                <w:b/>
                <w:bCs/>
                <w:color w:val="000000" w:themeColor="text1"/>
                <w14:textFill>
                  <w14:solidFill>
                    <w14:schemeClr w14:val="tx1"/>
                  </w14:solidFill>
                </w14:textFill>
              </w:rPr>
              <w:t>0.00</w:t>
            </w:r>
          </w:p>
        </w:tc>
        <w:tc>
          <w:tcPr>
            <w:tcW w:w="938" w:type="pct"/>
            <w:tcBorders>
              <w:top w:val="single" w:color="auto" w:sz="12" w:space="0"/>
              <w:bottom w:val="single" w:color="000000" w:sz="4" w:space="0"/>
            </w:tcBorders>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0.000054</w:t>
            </w:r>
          </w:p>
        </w:tc>
        <w:tc>
          <w:tcPr>
            <w:tcW w:w="937" w:type="pct"/>
            <w:tcBorders>
              <w:top w:val="single" w:color="auto" w:sz="12" w:space="0"/>
              <w:bottom w:val="single" w:color="000000" w:sz="4" w:space="0"/>
            </w:tcBorders>
            <w:vAlign w:val="center"/>
          </w:tcPr>
          <w:p>
            <w:pPr>
              <w:pStyle w:val="332"/>
              <w:rPr>
                <w:b/>
                <w:bCs/>
                <w:color w:val="000000" w:themeColor="text1"/>
                <w14:textFill>
                  <w14:solidFill>
                    <w14:schemeClr w14:val="tx1"/>
                  </w14:solidFill>
                </w14:textFill>
              </w:rPr>
            </w:pPr>
            <w:r>
              <w:rPr>
                <w:b/>
                <w:bCs/>
                <w:color w:val="000000" w:themeColor="text1"/>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D</w:t>
            </w:r>
            <w:r>
              <w:rPr>
                <w:color w:val="000000" w:themeColor="text1"/>
                <w:position w:val="-3"/>
                <w:sz w:val="14"/>
                <w:szCs w:val="14"/>
                <w14:textFill>
                  <w14:solidFill>
                    <w14:schemeClr w14:val="tx1"/>
                  </w14:solidFill>
                </w14:textFill>
              </w:rPr>
              <w:t>10%</w:t>
            </w:r>
            <w:r>
              <w:rPr>
                <w:color w:val="000000" w:themeColor="text1"/>
                <w14:textFill>
                  <w14:solidFill>
                    <w14:schemeClr w14:val="tx1"/>
                  </w14:solidFill>
                </w14:textFill>
              </w:rPr>
              <w:t>最远距离/m</w:t>
            </w:r>
          </w:p>
        </w:tc>
        <w:tc>
          <w:tcPr>
            <w:tcW w:w="1876" w:type="pct"/>
            <w:gridSpan w:val="2"/>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875" w:type="pct"/>
            <w:gridSpan w:val="2"/>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表5.2-6 沼气发电机排气口大气污染源污染物排放估算结果表</w:t>
      </w:r>
    </w:p>
    <w:p>
      <w:pPr>
        <w:kinsoku w:val="0"/>
        <w:overflowPunct w:val="0"/>
        <w:autoSpaceDE w:val="0"/>
        <w:autoSpaceDN w:val="0"/>
        <w:adjustRightInd w:val="0"/>
        <w:spacing w:before="11" w:line="240" w:lineRule="auto"/>
        <w:ind w:firstLine="0" w:firstLineChars="0"/>
        <w:jc w:val="left"/>
        <w:rPr>
          <w:rFonts w:cs="Times New Roman"/>
          <w:color w:val="000000" w:themeColor="text1"/>
          <w:kern w:val="0"/>
          <w:sz w:val="2"/>
          <w:szCs w:val="2"/>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1856"/>
        <w:gridCol w:w="1205"/>
        <w:gridCol w:w="1210"/>
        <w:gridCol w:w="1209"/>
        <w:gridCol w:w="1205"/>
        <w:gridCol w:w="1209"/>
        <w:gridCol w:w="120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020" w:type="pct"/>
            <w:vMerge w:val="restart"/>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距离(m)</w:t>
            </w:r>
          </w:p>
        </w:tc>
        <w:tc>
          <w:tcPr>
            <w:tcW w:w="1327" w:type="pct"/>
            <w:gridSpan w:val="2"/>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PM</w:t>
            </w:r>
            <w:r>
              <w:rPr>
                <w:color w:val="000000" w:themeColor="text1"/>
                <w:position w:val="-3"/>
                <w:sz w:val="14"/>
                <w:szCs w:val="14"/>
                <w14:textFill>
                  <w14:solidFill>
                    <w14:schemeClr w14:val="tx1"/>
                  </w14:solidFill>
                </w14:textFill>
              </w:rPr>
              <w:t>10</w:t>
            </w:r>
          </w:p>
        </w:tc>
        <w:tc>
          <w:tcPr>
            <w:tcW w:w="1326" w:type="pct"/>
            <w:gridSpan w:val="2"/>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SO</w:t>
            </w:r>
            <w:r>
              <w:rPr>
                <w:color w:val="000000" w:themeColor="text1"/>
                <w:position w:val="-3"/>
                <w:sz w:val="14"/>
                <w:szCs w:val="14"/>
                <w14:textFill>
                  <w14:solidFill>
                    <w14:schemeClr w14:val="tx1"/>
                  </w14:solidFill>
                </w14:textFill>
              </w:rPr>
              <w:t>2</w:t>
            </w:r>
          </w:p>
        </w:tc>
        <w:tc>
          <w:tcPr>
            <w:tcW w:w="1327" w:type="pct"/>
            <w:gridSpan w:val="2"/>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NO</w:t>
            </w:r>
            <w:r>
              <w:rPr>
                <w:color w:val="000000" w:themeColor="text1"/>
                <w:position w:val="-3"/>
                <w:sz w:val="14"/>
                <w:szCs w:val="14"/>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020"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662" w:type="pct"/>
            <w:tcBorders>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浓度</w:t>
            </w:r>
          </w:p>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（μg/m</w:t>
            </w:r>
            <w:r>
              <w:rPr>
                <w:color w:val="000000" w:themeColor="text1"/>
                <w:position w:val="10"/>
                <w:sz w:val="14"/>
                <w:szCs w:val="14"/>
                <w14:textFill>
                  <w14:solidFill>
                    <w14:schemeClr w14:val="tx1"/>
                  </w14:solidFill>
                </w14:textFill>
              </w:rPr>
              <w:t>3</w:t>
            </w:r>
            <w:r>
              <w:rPr>
                <w:color w:val="000000" w:themeColor="text1"/>
                <w:szCs w:val="21"/>
                <w14:textFill>
                  <w14:solidFill>
                    <w14:schemeClr w14:val="tx1"/>
                  </w14:solidFill>
                </w14:textFill>
              </w:rPr>
              <w:t>）</w:t>
            </w:r>
          </w:p>
        </w:tc>
        <w:tc>
          <w:tcPr>
            <w:tcW w:w="665" w:type="pct"/>
            <w:tcBorders>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占标率</w:t>
            </w:r>
          </w:p>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664" w:type="pct"/>
            <w:tcBorders>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浓度</w:t>
            </w:r>
          </w:p>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（μg/m</w:t>
            </w:r>
            <w:r>
              <w:rPr>
                <w:color w:val="000000" w:themeColor="text1"/>
                <w:position w:val="10"/>
                <w:sz w:val="14"/>
                <w:szCs w:val="14"/>
                <w14:textFill>
                  <w14:solidFill>
                    <w14:schemeClr w14:val="tx1"/>
                  </w14:solidFill>
                </w14:textFill>
              </w:rPr>
              <w:t>3</w:t>
            </w:r>
            <w:r>
              <w:rPr>
                <w:color w:val="000000" w:themeColor="text1"/>
                <w:szCs w:val="21"/>
                <w14:textFill>
                  <w14:solidFill>
                    <w14:schemeClr w14:val="tx1"/>
                  </w14:solidFill>
                </w14:textFill>
              </w:rPr>
              <w:t>）</w:t>
            </w:r>
          </w:p>
        </w:tc>
        <w:tc>
          <w:tcPr>
            <w:tcW w:w="662" w:type="pct"/>
            <w:tcBorders>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占标率</w:t>
            </w:r>
          </w:p>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w:t>
            </w:r>
          </w:p>
        </w:tc>
        <w:tc>
          <w:tcPr>
            <w:tcW w:w="664" w:type="pct"/>
            <w:tcBorders>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浓度</w:t>
            </w:r>
          </w:p>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（μg/m</w:t>
            </w:r>
            <w:r>
              <w:rPr>
                <w:color w:val="000000" w:themeColor="text1"/>
                <w:position w:val="10"/>
                <w:sz w:val="14"/>
                <w:szCs w:val="14"/>
                <w14:textFill>
                  <w14:solidFill>
                    <w14:schemeClr w14:val="tx1"/>
                  </w14:solidFill>
                </w14:textFill>
              </w:rPr>
              <w:t>3</w:t>
            </w:r>
            <w:r>
              <w:rPr>
                <w:color w:val="000000" w:themeColor="text1"/>
                <w:szCs w:val="21"/>
                <w14:textFill>
                  <w14:solidFill>
                    <w14:schemeClr w14:val="tx1"/>
                  </w14:solidFill>
                </w14:textFill>
              </w:rPr>
              <w:t>）</w:t>
            </w:r>
          </w:p>
        </w:tc>
        <w:tc>
          <w:tcPr>
            <w:tcW w:w="663" w:type="pct"/>
            <w:tcBorders>
              <w:bottom w:val="single" w:color="auto" w:sz="12" w:space="0"/>
            </w:tcBorders>
            <w:vAlign w:val="center"/>
          </w:tcPr>
          <w:p>
            <w:pPr>
              <w:pStyle w:val="332"/>
              <w:rPr>
                <w:color w:val="000000" w:themeColor="text1"/>
                <w:szCs w:val="21"/>
                <w14:textFill>
                  <w14:solidFill>
                    <w14:schemeClr w14:val="tx1"/>
                  </w14:solidFill>
                </w14:textFill>
              </w:rPr>
            </w:pPr>
            <w:r>
              <w:rPr>
                <w:color w:val="000000" w:themeColor="text1"/>
                <w:szCs w:val="21"/>
                <w14:textFill>
                  <w14:solidFill>
                    <w14:schemeClr w14:val="tx1"/>
                  </w14:solidFill>
                </w14:textFill>
              </w:rPr>
              <w:t>占标率</w:t>
            </w:r>
          </w:p>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w:t>
            </w:r>
          </w:p>
        </w:tc>
        <w:tc>
          <w:tcPr>
            <w:tcW w:w="662"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w:t>
            </w:r>
          </w:p>
        </w:tc>
        <w:tc>
          <w:tcPr>
            <w:tcW w:w="665"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w:t>
            </w:r>
          </w:p>
        </w:tc>
        <w:tc>
          <w:tcPr>
            <w:tcW w:w="664"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w:t>
            </w:r>
          </w:p>
        </w:tc>
        <w:tc>
          <w:tcPr>
            <w:tcW w:w="662"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w:t>
            </w:r>
          </w:p>
        </w:tc>
        <w:tc>
          <w:tcPr>
            <w:tcW w:w="664"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0.24</w:t>
            </w:r>
          </w:p>
        </w:tc>
        <w:tc>
          <w:tcPr>
            <w:tcW w:w="663"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25</w:t>
            </w:r>
          </w:p>
        </w:tc>
        <w:tc>
          <w:tcPr>
            <w:tcW w:w="662"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0.16</w:t>
            </w:r>
          </w:p>
        </w:tc>
        <w:tc>
          <w:tcPr>
            <w:tcW w:w="665"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0.04</w:t>
            </w:r>
          </w:p>
        </w:tc>
        <w:tc>
          <w:tcPr>
            <w:tcW w:w="664"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0.15</w:t>
            </w:r>
          </w:p>
        </w:tc>
        <w:tc>
          <w:tcPr>
            <w:tcW w:w="662"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w:t>
            </w:r>
          </w:p>
        </w:tc>
        <w:tc>
          <w:tcPr>
            <w:tcW w:w="664"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4.94</w:t>
            </w:r>
          </w:p>
        </w:tc>
        <w:tc>
          <w:tcPr>
            <w:tcW w:w="663"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2.47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50</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0.26</w:t>
            </w:r>
          </w:p>
        </w:tc>
        <w:tc>
          <w:tcPr>
            <w:tcW w:w="665"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0.06</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0.24</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0.05</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7.84</w:t>
            </w:r>
          </w:p>
        </w:tc>
        <w:tc>
          <w:tcPr>
            <w:tcW w:w="663"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3.92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58</w:t>
            </w:r>
          </w:p>
        </w:tc>
        <w:tc>
          <w:tcPr>
            <w:tcW w:w="662"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0.27</w:t>
            </w:r>
          </w:p>
        </w:tc>
        <w:tc>
          <w:tcPr>
            <w:tcW w:w="665"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0.06</w:t>
            </w:r>
          </w:p>
        </w:tc>
        <w:tc>
          <w:tcPr>
            <w:tcW w:w="664"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0.25</w:t>
            </w:r>
          </w:p>
        </w:tc>
        <w:tc>
          <w:tcPr>
            <w:tcW w:w="662"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0.05</w:t>
            </w:r>
          </w:p>
        </w:tc>
        <w:tc>
          <w:tcPr>
            <w:tcW w:w="664"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8.08</w:t>
            </w:r>
          </w:p>
        </w:tc>
        <w:tc>
          <w:tcPr>
            <w:tcW w:w="663"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4.04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75</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0.25</w:t>
            </w:r>
          </w:p>
        </w:tc>
        <w:tc>
          <w:tcPr>
            <w:tcW w:w="665"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0.06</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0.23</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0.05</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7.50</w:t>
            </w:r>
          </w:p>
        </w:tc>
        <w:tc>
          <w:tcPr>
            <w:tcW w:w="663"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3.75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100</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0.24</w:t>
            </w:r>
          </w:p>
        </w:tc>
        <w:tc>
          <w:tcPr>
            <w:tcW w:w="665"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0.05</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0.22</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0.04</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7.15</w:t>
            </w:r>
          </w:p>
        </w:tc>
        <w:tc>
          <w:tcPr>
            <w:tcW w:w="663"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3.58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150</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0.16</w:t>
            </w:r>
          </w:p>
        </w:tc>
        <w:tc>
          <w:tcPr>
            <w:tcW w:w="665"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0.04</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0.15</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4.98</w:t>
            </w:r>
          </w:p>
        </w:tc>
        <w:tc>
          <w:tcPr>
            <w:tcW w:w="663"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2.49</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200</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0.15</w:t>
            </w:r>
          </w:p>
        </w:tc>
        <w:tc>
          <w:tcPr>
            <w:tcW w:w="665"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0.14</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4.59</w:t>
            </w:r>
          </w:p>
        </w:tc>
        <w:tc>
          <w:tcPr>
            <w:tcW w:w="663"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2.29</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250</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0.17</w:t>
            </w:r>
          </w:p>
        </w:tc>
        <w:tc>
          <w:tcPr>
            <w:tcW w:w="665"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0.04</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0.16</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5.08</w:t>
            </w:r>
          </w:p>
        </w:tc>
        <w:tc>
          <w:tcPr>
            <w:tcW w:w="663"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2.54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300</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0.16</w:t>
            </w:r>
          </w:p>
        </w:tc>
        <w:tc>
          <w:tcPr>
            <w:tcW w:w="665"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0.04</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0.15</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4.99</w:t>
            </w:r>
          </w:p>
        </w:tc>
        <w:tc>
          <w:tcPr>
            <w:tcW w:w="663"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2.49</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350</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0.15</w:t>
            </w:r>
          </w:p>
        </w:tc>
        <w:tc>
          <w:tcPr>
            <w:tcW w:w="665"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0.14</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4.67</w:t>
            </w:r>
          </w:p>
        </w:tc>
        <w:tc>
          <w:tcPr>
            <w:tcW w:w="663"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2.34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400</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0.14</w:t>
            </w:r>
          </w:p>
        </w:tc>
        <w:tc>
          <w:tcPr>
            <w:tcW w:w="665"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0.13</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4.29</w:t>
            </w:r>
          </w:p>
        </w:tc>
        <w:tc>
          <w:tcPr>
            <w:tcW w:w="663"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2.14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500</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0.12</w:t>
            </w:r>
          </w:p>
        </w:tc>
        <w:tc>
          <w:tcPr>
            <w:tcW w:w="665"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0.11</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3.56</w:t>
            </w:r>
          </w:p>
        </w:tc>
        <w:tc>
          <w:tcPr>
            <w:tcW w:w="663"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1.78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600</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0.11</w:t>
            </w:r>
          </w:p>
        </w:tc>
        <w:tc>
          <w:tcPr>
            <w:tcW w:w="665"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0.10</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3.29</w:t>
            </w:r>
          </w:p>
        </w:tc>
        <w:tc>
          <w:tcPr>
            <w:tcW w:w="663"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1.65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800</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0.10</w:t>
            </w:r>
          </w:p>
        </w:tc>
        <w:tc>
          <w:tcPr>
            <w:tcW w:w="665"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0.09</w:t>
            </w:r>
          </w:p>
        </w:tc>
        <w:tc>
          <w:tcPr>
            <w:tcW w:w="662"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w:t>
            </w:r>
          </w:p>
        </w:tc>
        <w:tc>
          <w:tcPr>
            <w:tcW w:w="664"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3.07</w:t>
            </w:r>
          </w:p>
        </w:tc>
        <w:tc>
          <w:tcPr>
            <w:tcW w:w="663"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1.53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tcBorders>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1000</w:t>
            </w:r>
          </w:p>
        </w:tc>
        <w:tc>
          <w:tcPr>
            <w:tcW w:w="662" w:type="pct"/>
            <w:tcBorders>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0.09</w:t>
            </w:r>
          </w:p>
        </w:tc>
        <w:tc>
          <w:tcPr>
            <w:tcW w:w="665" w:type="pct"/>
            <w:tcBorders>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w:t>
            </w:r>
          </w:p>
        </w:tc>
        <w:tc>
          <w:tcPr>
            <w:tcW w:w="664" w:type="pct"/>
            <w:tcBorders>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0.08</w:t>
            </w:r>
          </w:p>
        </w:tc>
        <w:tc>
          <w:tcPr>
            <w:tcW w:w="662" w:type="pct"/>
            <w:tcBorders>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w:t>
            </w:r>
          </w:p>
        </w:tc>
        <w:tc>
          <w:tcPr>
            <w:tcW w:w="664" w:type="pct"/>
            <w:tcBorders>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2.71</w:t>
            </w:r>
          </w:p>
        </w:tc>
        <w:tc>
          <w:tcPr>
            <w:tcW w:w="663" w:type="pct"/>
            <w:tcBorders>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1.36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tcBorders>
              <w:top w:val="single" w:color="000000"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1500</w:t>
            </w:r>
          </w:p>
        </w:tc>
        <w:tc>
          <w:tcPr>
            <w:tcW w:w="662" w:type="pct"/>
            <w:tcBorders>
              <w:top w:val="single" w:color="000000"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0.06</w:t>
            </w:r>
          </w:p>
        </w:tc>
        <w:tc>
          <w:tcPr>
            <w:tcW w:w="665" w:type="pct"/>
            <w:tcBorders>
              <w:top w:val="single" w:color="000000"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w:t>
            </w:r>
          </w:p>
        </w:tc>
        <w:tc>
          <w:tcPr>
            <w:tcW w:w="664" w:type="pct"/>
            <w:tcBorders>
              <w:top w:val="single" w:color="000000"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0.06</w:t>
            </w:r>
          </w:p>
        </w:tc>
        <w:tc>
          <w:tcPr>
            <w:tcW w:w="662" w:type="pct"/>
            <w:tcBorders>
              <w:top w:val="single" w:color="000000"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w:t>
            </w:r>
          </w:p>
        </w:tc>
        <w:tc>
          <w:tcPr>
            <w:tcW w:w="664" w:type="pct"/>
            <w:tcBorders>
              <w:top w:val="single" w:color="000000"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1.96</w:t>
            </w:r>
          </w:p>
        </w:tc>
        <w:tc>
          <w:tcPr>
            <w:tcW w:w="663" w:type="pct"/>
            <w:tcBorders>
              <w:top w:val="single" w:color="000000" w:sz="4" w:space="0"/>
              <w:left w:val="single" w:color="auto" w:sz="4"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0.98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tcBorders>
              <w:top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2000</w:t>
            </w:r>
          </w:p>
        </w:tc>
        <w:tc>
          <w:tcPr>
            <w:tcW w:w="662"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0.05</w:t>
            </w:r>
          </w:p>
        </w:tc>
        <w:tc>
          <w:tcPr>
            <w:tcW w:w="665"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w:t>
            </w:r>
          </w:p>
        </w:tc>
        <w:tc>
          <w:tcPr>
            <w:tcW w:w="664"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0.05</w:t>
            </w:r>
          </w:p>
        </w:tc>
        <w:tc>
          <w:tcPr>
            <w:tcW w:w="662"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w:t>
            </w:r>
          </w:p>
        </w:tc>
        <w:tc>
          <w:tcPr>
            <w:tcW w:w="664"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1.49</w:t>
            </w:r>
          </w:p>
        </w:tc>
        <w:tc>
          <w:tcPr>
            <w:tcW w:w="663" w:type="pct"/>
            <w:tcBorders>
              <w:top w:val="single" w:color="auto" w:sz="4" w:space="0"/>
              <w:left w:val="single" w:color="auto" w:sz="4" w:space="0"/>
              <w:bottom w:val="single" w:color="auto"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0.75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tcBorders>
              <w:top w:val="single" w:color="auto" w:sz="4" w:space="0"/>
              <w:bottom w:val="single" w:color="auto" w:sz="12" w:space="0"/>
              <w:right w:val="single" w:color="auto" w:sz="4" w:space="0"/>
            </w:tcBorders>
            <w:vAlign w:val="center"/>
          </w:tcPr>
          <w:p>
            <w:pPr>
              <w:pStyle w:val="332"/>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2500</w:t>
            </w:r>
          </w:p>
        </w:tc>
        <w:tc>
          <w:tcPr>
            <w:tcW w:w="662" w:type="pct"/>
            <w:tcBorders>
              <w:top w:val="single" w:color="auto" w:sz="4" w:space="0"/>
              <w:left w:val="single" w:color="auto" w:sz="4" w:space="0"/>
              <w:bottom w:val="single" w:color="auto" w:sz="12" w:space="0"/>
              <w:right w:val="single" w:color="auto" w:sz="4" w:space="0"/>
            </w:tcBorders>
            <w:vAlign w:val="center"/>
          </w:tcPr>
          <w:p>
            <w:pPr>
              <w:pStyle w:val="332"/>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0.04</w:t>
            </w:r>
          </w:p>
        </w:tc>
        <w:tc>
          <w:tcPr>
            <w:tcW w:w="665" w:type="pct"/>
            <w:tcBorders>
              <w:top w:val="single" w:color="auto" w:sz="4" w:space="0"/>
              <w:left w:val="single" w:color="auto" w:sz="4" w:space="0"/>
              <w:bottom w:val="single" w:color="auto" w:sz="12" w:space="0"/>
              <w:right w:val="single" w:color="auto" w:sz="4" w:space="0"/>
            </w:tcBorders>
            <w:vAlign w:val="center"/>
          </w:tcPr>
          <w:p>
            <w:pPr>
              <w:pStyle w:val="332"/>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0.01</w:t>
            </w:r>
          </w:p>
        </w:tc>
        <w:tc>
          <w:tcPr>
            <w:tcW w:w="664" w:type="pct"/>
            <w:tcBorders>
              <w:top w:val="single" w:color="auto" w:sz="4" w:space="0"/>
              <w:left w:val="single" w:color="auto" w:sz="4" w:space="0"/>
              <w:bottom w:val="single" w:color="auto" w:sz="12" w:space="0"/>
              <w:right w:val="single" w:color="auto" w:sz="4" w:space="0"/>
            </w:tcBorders>
            <w:vAlign w:val="center"/>
          </w:tcPr>
          <w:p>
            <w:pPr>
              <w:pStyle w:val="332"/>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0.04</w:t>
            </w:r>
          </w:p>
        </w:tc>
        <w:tc>
          <w:tcPr>
            <w:tcW w:w="662" w:type="pct"/>
            <w:tcBorders>
              <w:top w:val="single" w:color="auto" w:sz="4" w:space="0"/>
              <w:left w:val="single" w:color="auto" w:sz="4" w:space="0"/>
              <w:bottom w:val="single" w:color="auto" w:sz="12" w:space="0"/>
              <w:right w:val="single" w:color="auto" w:sz="4" w:space="0"/>
            </w:tcBorders>
            <w:vAlign w:val="center"/>
          </w:tcPr>
          <w:p>
            <w:pPr>
              <w:pStyle w:val="332"/>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0.01</w:t>
            </w:r>
          </w:p>
        </w:tc>
        <w:tc>
          <w:tcPr>
            <w:tcW w:w="664" w:type="pct"/>
            <w:tcBorders>
              <w:top w:val="single" w:color="auto" w:sz="4" w:space="0"/>
              <w:left w:val="single" w:color="auto" w:sz="4" w:space="0"/>
              <w:bottom w:val="single" w:color="auto" w:sz="12" w:space="0"/>
              <w:right w:val="single" w:color="auto" w:sz="4" w:space="0"/>
            </w:tcBorders>
            <w:vAlign w:val="center"/>
          </w:tcPr>
          <w:p>
            <w:pPr>
              <w:pStyle w:val="332"/>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1.29</w:t>
            </w:r>
          </w:p>
        </w:tc>
        <w:tc>
          <w:tcPr>
            <w:tcW w:w="663" w:type="pct"/>
            <w:tcBorders>
              <w:top w:val="single" w:color="auto" w:sz="4" w:space="0"/>
              <w:left w:val="single" w:color="auto" w:sz="4" w:space="0"/>
              <w:bottom w:val="single" w:color="auto" w:sz="12" w:space="0"/>
            </w:tcBorders>
            <w:vAlign w:val="center"/>
          </w:tcPr>
          <w:p>
            <w:pPr>
              <w:pStyle w:val="332"/>
              <w:rPr>
                <w:rFonts w:eastAsia="等线"/>
                <w:color w:val="000000" w:themeColor="text1"/>
                <w:sz w:val="22"/>
                <w:szCs w:val="22"/>
                <w14:textFill>
                  <w14:solidFill>
                    <w14:schemeClr w14:val="tx1"/>
                  </w14:solidFill>
                </w14:textFill>
              </w:rPr>
            </w:pPr>
            <w:r>
              <w:rPr>
                <w:rFonts w:eastAsia="等线"/>
                <w:color w:val="000000" w:themeColor="text1"/>
                <w:sz w:val="22"/>
                <w:szCs w:val="22"/>
                <w14:textFill>
                  <w14:solidFill>
                    <w14:schemeClr w14:val="tx1"/>
                  </w14:solidFill>
                </w14:textFill>
              </w:rPr>
              <w:t>0.65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tcBorders>
              <w:top w:val="single" w:color="auto" w:sz="12" w:space="0"/>
              <w:bottom w:val="single" w:color="000000" w:sz="4" w:space="0"/>
            </w:tcBorders>
            <w:vAlign w:val="center"/>
          </w:tcPr>
          <w:p>
            <w:pPr>
              <w:pStyle w:val="332"/>
              <w:rPr>
                <w:color w:val="000000" w:themeColor="text1"/>
                <w:szCs w:val="21"/>
                <w14:textFill>
                  <w14:solidFill>
                    <w14:schemeClr w14:val="tx1"/>
                  </w14:solidFill>
                </w14:textFill>
              </w:rPr>
            </w:pPr>
            <w:r>
              <w:rPr>
                <w:color w:val="000000" w:themeColor="text1"/>
                <w14:textFill>
                  <w14:solidFill>
                    <w14:schemeClr w14:val="tx1"/>
                  </w14:solidFill>
                </w14:textFill>
              </w:rPr>
              <w:t>下风向最大质量浓度及占标率/%</w:t>
            </w:r>
          </w:p>
        </w:tc>
        <w:tc>
          <w:tcPr>
            <w:tcW w:w="662" w:type="pct"/>
            <w:tcBorders>
              <w:top w:val="single" w:color="auto" w:sz="12" w:space="0"/>
              <w:bottom w:val="single" w:color="000000" w:sz="4" w:space="0"/>
            </w:tcBorders>
            <w:vAlign w:val="center"/>
          </w:tcPr>
          <w:p>
            <w:pPr>
              <w:pStyle w:val="332"/>
              <w:rPr>
                <w:color w:val="000000" w:themeColor="text1"/>
                <w:szCs w:val="21"/>
                <w14:textFill>
                  <w14:solidFill>
                    <w14:schemeClr w14:val="tx1"/>
                  </w14:solidFill>
                </w14:textFill>
              </w:rPr>
            </w:pPr>
            <w:r>
              <w:rPr>
                <w:rFonts w:eastAsia="等线"/>
                <w:b/>
                <w:bCs/>
                <w:color w:val="000000" w:themeColor="text1"/>
                <w:sz w:val="22"/>
                <w:szCs w:val="22"/>
                <w14:textFill>
                  <w14:solidFill>
                    <w14:schemeClr w14:val="tx1"/>
                  </w14:solidFill>
                </w14:textFill>
              </w:rPr>
              <w:t>0.27</w:t>
            </w:r>
          </w:p>
        </w:tc>
        <w:tc>
          <w:tcPr>
            <w:tcW w:w="665" w:type="pct"/>
            <w:tcBorders>
              <w:top w:val="single" w:color="auto" w:sz="12" w:space="0"/>
              <w:bottom w:val="single" w:color="000000" w:sz="4" w:space="0"/>
            </w:tcBorders>
            <w:vAlign w:val="center"/>
          </w:tcPr>
          <w:p>
            <w:pPr>
              <w:pStyle w:val="332"/>
              <w:rPr>
                <w:color w:val="000000" w:themeColor="text1"/>
                <w:szCs w:val="21"/>
                <w14:textFill>
                  <w14:solidFill>
                    <w14:schemeClr w14:val="tx1"/>
                  </w14:solidFill>
                </w14:textFill>
              </w:rPr>
            </w:pPr>
            <w:r>
              <w:rPr>
                <w:rFonts w:eastAsia="等线"/>
                <w:b/>
                <w:bCs/>
                <w:color w:val="000000" w:themeColor="text1"/>
                <w:sz w:val="22"/>
                <w:szCs w:val="22"/>
                <w14:textFill>
                  <w14:solidFill>
                    <w14:schemeClr w14:val="tx1"/>
                  </w14:solidFill>
                </w14:textFill>
              </w:rPr>
              <w:t>0.06</w:t>
            </w:r>
          </w:p>
        </w:tc>
        <w:tc>
          <w:tcPr>
            <w:tcW w:w="664" w:type="pct"/>
            <w:tcBorders>
              <w:top w:val="single" w:color="auto" w:sz="12" w:space="0"/>
              <w:bottom w:val="single" w:color="000000" w:sz="4" w:space="0"/>
            </w:tcBorders>
            <w:vAlign w:val="center"/>
          </w:tcPr>
          <w:p>
            <w:pPr>
              <w:pStyle w:val="332"/>
              <w:rPr>
                <w:color w:val="000000" w:themeColor="text1"/>
                <w:szCs w:val="21"/>
                <w14:textFill>
                  <w14:solidFill>
                    <w14:schemeClr w14:val="tx1"/>
                  </w14:solidFill>
                </w14:textFill>
              </w:rPr>
            </w:pPr>
            <w:r>
              <w:rPr>
                <w:rFonts w:eastAsia="等线"/>
                <w:b/>
                <w:bCs/>
                <w:color w:val="000000" w:themeColor="text1"/>
                <w:sz w:val="22"/>
                <w:szCs w:val="22"/>
                <w14:textFill>
                  <w14:solidFill>
                    <w14:schemeClr w14:val="tx1"/>
                  </w14:solidFill>
                </w14:textFill>
              </w:rPr>
              <w:t>0.25</w:t>
            </w:r>
          </w:p>
        </w:tc>
        <w:tc>
          <w:tcPr>
            <w:tcW w:w="662" w:type="pct"/>
            <w:tcBorders>
              <w:top w:val="single" w:color="auto" w:sz="12" w:space="0"/>
              <w:bottom w:val="single" w:color="000000" w:sz="4" w:space="0"/>
            </w:tcBorders>
            <w:vAlign w:val="center"/>
          </w:tcPr>
          <w:p>
            <w:pPr>
              <w:pStyle w:val="332"/>
              <w:rPr>
                <w:color w:val="000000" w:themeColor="text1"/>
                <w:szCs w:val="21"/>
                <w14:textFill>
                  <w14:solidFill>
                    <w14:schemeClr w14:val="tx1"/>
                  </w14:solidFill>
                </w14:textFill>
              </w:rPr>
            </w:pPr>
            <w:r>
              <w:rPr>
                <w:rFonts w:eastAsia="等线"/>
                <w:b/>
                <w:bCs/>
                <w:color w:val="000000" w:themeColor="text1"/>
                <w:sz w:val="22"/>
                <w:szCs w:val="22"/>
                <w14:textFill>
                  <w14:solidFill>
                    <w14:schemeClr w14:val="tx1"/>
                  </w14:solidFill>
                </w14:textFill>
              </w:rPr>
              <w:t>0.05</w:t>
            </w:r>
          </w:p>
        </w:tc>
        <w:tc>
          <w:tcPr>
            <w:tcW w:w="664" w:type="pct"/>
            <w:tcBorders>
              <w:top w:val="single" w:color="auto" w:sz="12" w:space="0"/>
              <w:bottom w:val="single" w:color="000000" w:sz="4" w:space="0"/>
            </w:tcBorders>
            <w:vAlign w:val="center"/>
          </w:tcPr>
          <w:p>
            <w:pPr>
              <w:pStyle w:val="332"/>
              <w:rPr>
                <w:color w:val="000000" w:themeColor="text1"/>
                <w:szCs w:val="21"/>
                <w14:textFill>
                  <w14:solidFill>
                    <w14:schemeClr w14:val="tx1"/>
                  </w14:solidFill>
                </w14:textFill>
              </w:rPr>
            </w:pPr>
            <w:r>
              <w:rPr>
                <w:rFonts w:eastAsia="等线"/>
                <w:b/>
                <w:bCs/>
                <w:color w:val="000000" w:themeColor="text1"/>
                <w:sz w:val="22"/>
                <w:szCs w:val="22"/>
                <w14:textFill>
                  <w14:solidFill>
                    <w14:schemeClr w14:val="tx1"/>
                  </w14:solidFill>
                </w14:textFill>
              </w:rPr>
              <w:t>8.08</w:t>
            </w:r>
          </w:p>
        </w:tc>
        <w:tc>
          <w:tcPr>
            <w:tcW w:w="663" w:type="pct"/>
            <w:tcBorders>
              <w:top w:val="single" w:color="auto" w:sz="12" w:space="0"/>
              <w:bottom w:val="single" w:color="000000" w:sz="4" w:space="0"/>
            </w:tcBorders>
            <w:vAlign w:val="center"/>
          </w:tcPr>
          <w:p>
            <w:pPr>
              <w:pStyle w:val="332"/>
              <w:rPr>
                <w:color w:val="000000" w:themeColor="text1"/>
                <w:szCs w:val="21"/>
                <w14:textFill>
                  <w14:solidFill>
                    <w14:schemeClr w14:val="tx1"/>
                  </w14:solidFill>
                </w14:textFill>
              </w:rPr>
            </w:pPr>
            <w:r>
              <w:rPr>
                <w:rFonts w:eastAsia="等线"/>
                <w:b/>
                <w:bCs/>
                <w:color w:val="000000" w:themeColor="text1"/>
                <w:sz w:val="22"/>
                <w:szCs w:val="22"/>
                <w14:textFill>
                  <w14:solidFill>
                    <w14:schemeClr w14:val="tx1"/>
                  </w14:solidFill>
                </w14:textFill>
              </w:rPr>
              <w:t>4.04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20"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D</w:t>
            </w:r>
            <w:r>
              <w:rPr>
                <w:color w:val="000000" w:themeColor="text1"/>
                <w:position w:val="-3"/>
                <w:sz w:val="14"/>
                <w:szCs w:val="14"/>
                <w14:textFill>
                  <w14:solidFill>
                    <w14:schemeClr w14:val="tx1"/>
                  </w14:solidFill>
                </w14:textFill>
              </w:rPr>
              <w:t>10%</w:t>
            </w:r>
            <w:r>
              <w:rPr>
                <w:color w:val="000000" w:themeColor="text1"/>
                <w14:textFill>
                  <w14:solidFill>
                    <w14:schemeClr w14:val="tx1"/>
                  </w14:solidFill>
                </w14:textFill>
              </w:rPr>
              <w:t>最远距离/m</w:t>
            </w:r>
          </w:p>
        </w:tc>
        <w:tc>
          <w:tcPr>
            <w:tcW w:w="1327" w:type="pct"/>
            <w:gridSpan w:val="2"/>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326" w:type="pct"/>
            <w:gridSpan w:val="2"/>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327" w:type="pct"/>
            <w:gridSpan w:val="2"/>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bl>
    <w:p>
      <w:pPr>
        <w:kinsoku w:val="0"/>
        <w:overflowPunct w:val="0"/>
        <w:autoSpaceDE w:val="0"/>
        <w:autoSpaceDN w:val="0"/>
        <w:adjustRightInd w:val="0"/>
        <w:spacing w:before="5" w:line="240" w:lineRule="auto"/>
        <w:ind w:firstLine="0" w:firstLineChars="0"/>
        <w:jc w:val="left"/>
        <w:rPr>
          <w:rFonts w:cs="Times New Roman"/>
          <w:color w:val="000000" w:themeColor="text1"/>
          <w:kern w:val="0"/>
          <w:sz w:val="2"/>
          <w:szCs w:val="2"/>
          <w14:textFill>
            <w14:solidFill>
              <w14:schemeClr w14:val="tx1"/>
            </w14:solidFill>
          </w14:textFill>
        </w:rPr>
      </w:pP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表5.2-7 养殖一区大气污染源污染物排放估算结果表</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2273"/>
        <w:gridCol w:w="1707"/>
        <w:gridCol w:w="1707"/>
        <w:gridCol w:w="1707"/>
        <w:gridCol w:w="170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24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距离(m)</w:t>
            </w:r>
          </w:p>
        </w:tc>
        <w:tc>
          <w:tcPr>
            <w:tcW w:w="187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875"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249"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浓度（μg/m</w:t>
            </w:r>
            <w:r>
              <w:rPr>
                <w:color w:val="000000" w:themeColor="text1"/>
                <w:position w:val="10"/>
                <w:sz w:val="14"/>
                <w:szCs w:val="14"/>
                <w14:textFill>
                  <w14:solidFill>
                    <w14:schemeClr w14:val="tx1"/>
                  </w14:solidFill>
                </w14:textFill>
              </w:rPr>
              <w:t>3</w:t>
            </w:r>
            <w:r>
              <w:rPr>
                <w:color w:val="000000" w:themeColor="text1"/>
                <w14:textFill>
                  <w14:solidFill>
                    <w14:schemeClr w14:val="tx1"/>
                  </w14:solidFill>
                </w14:textFill>
              </w:rPr>
              <w:t>）</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占标率（%）</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浓度（μg/m</w:t>
            </w:r>
            <w:r>
              <w:rPr>
                <w:color w:val="000000" w:themeColor="text1"/>
                <w:position w:val="10"/>
                <w:sz w:val="14"/>
                <w:szCs w:val="14"/>
                <w14:textFill>
                  <w14:solidFill>
                    <w14:schemeClr w14:val="tx1"/>
                  </w14:solidFill>
                </w14:textFill>
              </w:rPr>
              <w:t>3</w:t>
            </w:r>
            <w:r>
              <w:rPr>
                <w:color w:val="000000" w:themeColor="text1"/>
                <w14:textFill>
                  <w14:solidFill>
                    <w14:schemeClr w14:val="tx1"/>
                  </w14:solidFill>
                </w14:textFill>
              </w:rPr>
              <w:t>）</w:t>
            </w:r>
          </w:p>
        </w:tc>
        <w:tc>
          <w:tcPr>
            <w:tcW w:w="937"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占标率（%）</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auto" w:sz="12" w:space="0"/>
              <w:bottom w:val="single" w:color="000000" w:sz="4"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10</w:t>
            </w:r>
          </w:p>
        </w:tc>
        <w:tc>
          <w:tcPr>
            <w:tcW w:w="938" w:type="pct"/>
            <w:tcBorders>
              <w:top w:val="single" w:color="auto" w:sz="12" w:space="0"/>
              <w:bottom w:val="single" w:color="000000" w:sz="4"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0.47</w:t>
            </w:r>
          </w:p>
        </w:tc>
        <w:tc>
          <w:tcPr>
            <w:tcW w:w="938" w:type="pct"/>
            <w:tcBorders>
              <w:top w:val="single" w:color="auto" w:sz="12" w:space="0"/>
              <w:bottom w:val="single" w:color="000000" w:sz="4"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0.23</w:t>
            </w:r>
          </w:p>
        </w:tc>
        <w:tc>
          <w:tcPr>
            <w:tcW w:w="938" w:type="pct"/>
            <w:tcBorders>
              <w:top w:val="single" w:color="auto" w:sz="12" w:space="0"/>
              <w:bottom w:val="single" w:color="000000" w:sz="4"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0.07</w:t>
            </w:r>
          </w:p>
        </w:tc>
        <w:tc>
          <w:tcPr>
            <w:tcW w:w="937" w:type="pct"/>
            <w:tcBorders>
              <w:top w:val="single" w:color="auto" w:sz="12" w:space="0"/>
              <w:bottom w:val="single" w:color="000000" w:sz="4"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0.68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000000" w:sz="4"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25</w:t>
            </w:r>
          </w:p>
        </w:tc>
        <w:tc>
          <w:tcPr>
            <w:tcW w:w="938" w:type="pct"/>
            <w:tcBorders>
              <w:top w:val="single" w:color="000000" w:sz="4"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0.52</w:t>
            </w:r>
          </w:p>
        </w:tc>
        <w:tc>
          <w:tcPr>
            <w:tcW w:w="938" w:type="pct"/>
            <w:tcBorders>
              <w:top w:val="single" w:color="000000" w:sz="4"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0.26</w:t>
            </w:r>
          </w:p>
        </w:tc>
        <w:tc>
          <w:tcPr>
            <w:tcW w:w="938" w:type="pct"/>
            <w:tcBorders>
              <w:top w:val="single" w:color="000000" w:sz="4"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0.08</w:t>
            </w:r>
          </w:p>
        </w:tc>
        <w:tc>
          <w:tcPr>
            <w:tcW w:w="937" w:type="pct"/>
            <w:tcBorders>
              <w:top w:val="single" w:color="000000" w:sz="4"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0.75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50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0.58</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0.29</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0.08</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0.84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75</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0.62</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0.31</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0.09</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0.91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100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0.64</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0.32</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0.09</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0.93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b/>
                <w:bCs/>
                <w:color w:val="000000" w:themeColor="text1"/>
                <w:highlight w:val="yellow"/>
                <w14:textFill>
                  <w14:solidFill>
                    <w14:schemeClr w14:val="tx1"/>
                  </w14:solidFill>
                </w14:textFill>
              </w:rPr>
            </w:pPr>
            <w:r>
              <w:rPr>
                <w:b/>
                <w:bCs/>
                <w:color w:val="000000" w:themeColor="text1"/>
                <w14:textFill>
                  <w14:solidFill>
                    <w14:schemeClr w14:val="tx1"/>
                  </w14:solidFill>
                </w14:textFill>
              </w:rPr>
              <w:t>113</w:t>
            </w:r>
          </w:p>
        </w:tc>
        <w:tc>
          <w:tcPr>
            <w:tcW w:w="938" w:type="pct"/>
            <w:vAlign w:val="center"/>
          </w:tcPr>
          <w:p>
            <w:pPr>
              <w:pStyle w:val="332"/>
              <w:rPr>
                <w:b/>
                <w:bCs/>
                <w:color w:val="000000" w:themeColor="text1"/>
                <w:highlight w:val="yellow"/>
                <w14:textFill>
                  <w14:solidFill>
                    <w14:schemeClr w14:val="tx1"/>
                  </w14:solidFill>
                </w14:textFill>
              </w:rPr>
            </w:pPr>
            <w:r>
              <w:rPr>
                <w:b/>
                <w:bCs/>
                <w:color w:val="000000" w:themeColor="text1"/>
                <w14:textFill>
                  <w14:solidFill>
                    <w14:schemeClr w14:val="tx1"/>
                  </w14:solidFill>
                </w14:textFill>
              </w:rPr>
              <w:t>0.65</w:t>
            </w:r>
          </w:p>
        </w:tc>
        <w:tc>
          <w:tcPr>
            <w:tcW w:w="938" w:type="pct"/>
            <w:vAlign w:val="center"/>
          </w:tcPr>
          <w:p>
            <w:pPr>
              <w:pStyle w:val="332"/>
              <w:rPr>
                <w:b/>
                <w:bCs/>
                <w:color w:val="000000" w:themeColor="text1"/>
                <w:highlight w:val="yellow"/>
                <w14:textFill>
                  <w14:solidFill>
                    <w14:schemeClr w14:val="tx1"/>
                  </w14:solidFill>
                </w14:textFill>
              </w:rPr>
            </w:pPr>
            <w:r>
              <w:rPr>
                <w:b/>
                <w:bCs/>
                <w:color w:val="000000" w:themeColor="text1"/>
                <w14:textFill>
                  <w14:solidFill>
                    <w14:schemeClr w14:val="tx1"/>
                  </w14:solidFill>
                </w14:textFill>
              </w:rPr>
              <w:t>0.32</w:t>
            </w:r>
          </w:p>
        </w:tc>
        <w:tc>
          <w:tcPr>
            <w:tcW w:w="938" w:type="pct"/>
            <w:vAlign w:val="center"/>
          </w:tcPr>
          <w:p>
            <w:pPr>
              <w:pStyle w:val="332"/>
              <w:rPr>
                <w:b/>
                <w:bCs/>
                <w:color w:val="000000" w:themeColor="text1"/>
                <w:highlight w:val="yellow"/>
                <w14:textFill>
                  <w14:solidFill>
                    <w14:schemeClr w14:val="tx1"/>
                  </w14:solidFill>
                </w14:textFill>
              </w:rPr>
            </w:pPr>
            <w:r>
              <w:rPr>
                <w:b/>
                <w:bCs/>
                <w:color w:val="000000" w:themeColor="text1"/>
                <w14:textFill>
                  <w14:solidFill>
                    <w14:schemeClr w14:val="tx1"/>
                  </w14:solidFill>
                </w14:textFill>
              </w:rPr>
              <w:t>0.09</w:t>
            </w:r>
          </w:p>
        </w:tc>
        <w:tc>
          <w:tcPr>
            <w:tcW w:w="937" w:type="pct"/>
            <w:vAlign w:val="center"/>
          </w:tcPr>
          <w:p>
            <w:pPr>
              <w:pStyle w:val="332"/>
              <w:rPr>
                <w:b/>
                <w:bCs/>
                <w:color w:val="000000" w:themeColor="text1"/>
                <w:highlight w:val="yellow"/>
                <w14:textFill>
                  <w14:solidFill>
                    <w14:schemeClr w14:val="tx1"/>
                  </w14:solidFill>
                </w14:textFill>
              </w:rPr>
            </w:pPr>
            <w:r>
              <w:rPr>
                <w:b/>
                <w:bCs/>
                <w:color w:val="000000" w:themeColor="text1"/>
                <w14:textFill>
                  <w14:solidFill>
                    <w14:schemeClr w14:val="tx1"/>
                  </w14:solidFill>
                </w14:textFill>
              </w:rPr>
              <w:t>0.94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150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0.63</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0.32</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0.09</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0.92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200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0.61</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0.30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0.09</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0.88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300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0.55</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0.28</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0.08</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400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0.50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0.25</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0.07</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0.73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500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0.46</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0.23</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0.07</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0.67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600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0.43</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0.21</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0.06</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0.62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700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0.39</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0.20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0.06</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0.57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800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0.36</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0.18</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0.05</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0.53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900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0.34</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0.17</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0.05</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0.49</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1000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0.32</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0.16</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0.05</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0.46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1200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0.28</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0.14</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0.04</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0.41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1400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0.25</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0.12</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0.04</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0.36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1600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0.23</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0.11</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0.03</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0.33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1800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0.21</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0.10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0.03</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2000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0.19</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0.10</w:t>
            </w:r>
          </w:p>
        </w:tc>
        <w:tc>
          <w:tcPr>
            <w:tcW w:w="93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0.03</w:t>
            </w:r>
          </w:p>
        </w:tc>
        <w:tc>
          <w:tcPr>
            <w:tcW w:w="937"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0.28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bottom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2500</w:t>
            </w:r>
          </w:p>
        </w:tc>
        <w:tc>
          <w:tcPr>
            <w:tcW w:w="938" w:type="pct"/>
            <w:tcBorders>
              <w:bottom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0.16</w:t>
            </w:r>
          </w:p>
        </w:tc>
        <w:tc>
          <w:tcPr>
            <w:tcW w:w="938" w:type="pct"/>
            <w:tcBorders>
              <w:bottom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0.08</w:t>
            </w:r>
          </w:p>
        </w:tc>
        <w:tc>
          <w:tcPr>
            <w:tcW w:w="938" w:type="pct"/>
            <w:tcBorders>
              <w:bottom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0.02</w:t>
            </w:r>
          </w:p>
        </w:tc>
        <w:tc>
          <w:tcPr>
            <w:tcW w:w="937" w:type="pct"/>
            <w:tcBorders>
              <w:bottom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0.23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auto" w:sz="12" w:space="0"/>
              <w:bottom w:val="single" w:color="000000" w:sz="4" w:space="0"/>
            </w:tcBorders>
            <w:vAlign w:val="center"/>
          </w:tcPr>
          <w:p>
            <w:pPr>
              <w:pStyle w:val="332"/>
              <w:rPr>
                <w:color w:val="000000" w:themeColor="text1"/>
                <w:spacing w:val="-2"/>
                <w14:textFill>
                  <w14:solidFill>
                    <w14:schemeClr w14:val="tx1"/>
                  </w14:solidFill>
                </w14:textFill>
              </w:rPr>
            </w:pPr>
            <w:r>
              <w:rPr>
                <w:color w:val="000000" w:themeColor="text1"/>
                <w:spacing w:val="-2"/>
                <w14:textFill>
                  <w14:solidFill>
                    <w14:schemeClr w14:val="tx1"/>
                  </w14:solidFill>
                </w14:textFill>
              </w:rPr>
              <w:t>下风向最大质量浓度</w:t>
            </w:r>
          </w:p>
          <w:p>
            <w:pPr>
              <w:pStyle w:val="332"/>
              <w:rPr>
                <w:color w:val="000000" w:themeColor="text1"/>
                <w14:textFill>
                  <w14:solidFill>
                    <w14:schemeClr w14:val="tx1"/>
                  </w14:solidFill>
                </w14:textFill>
              </w:rPr>
            </w:pPr>
            <w:r>
              <w:rPr>
                <w:color w:val="000000" w:themeColor="text1"/>
                <w:spacing w:val="-2"/>
                <w14:textFill>
                  <w14:solidFill>
                    <w14:schemeClr w14:val="tx1"/>
                  </w14:solidFill>
                </w14:textFill>
              </w:rPr>
              <w:t>及</w:t>
            </w:r>
            <w:r>
              <w:rPr>
                <w:color w:val="000000" w:themeColor="text1"/>
                <w:spacing w:val="-85"/>
                <w14:textFill>
                  <w14:solidFill>
                    <w14:schemeClr w14:val="tx1"/>
                  </w14:solidFill>
                </w14:textFill>
              </w:rPr>
              <w:t xml:space="preserve"> </w:t>
            </w:r>
            <w:r>
              <w:rPr>
                <w:color w:val="000000" w:themeColor="text1"/>
                <w14:textFill>
                  <w14:solidFill>
                    <w14:schemeClr w14:val="tx1"/>
                  </w14:solidFill>
                </w14:textFill>
              </w:rPr>
              <w:t>占标率/%</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b/>
                <w:bCs/>
                <w:color w:val="000000" w:themeColor="text1"/>
                <w14:textFill>
                  <w14:solidFill>
                    <w14:schemeClr w14:val="tx1"/>
                  </w14:solidFill>
                </w14:textFill>
              </w:rPr>
              <w:t>0.65</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b/>
                <w:bCs/>
                <w:color w:val="000000" w:themeColor="text1"/>
                <w14:textFill>
                  <w14:solidFill>
                    <w14:schemeClr w14:val="tx1"/>
                  </w14:solidFill>
                </w14:textFill>
              </w:rPr>
              <w:t>0.32</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b/>
                <w:bCs/>
                <w:color w:val="000000" w:themeColor="text1"/>
                <w14:textFill>
                  <w14:solidFill>
                    <w14:schemeClr w14:val="tx1"/>
                  </w14:solidFill>
                </w14:textFill>
              </w:rPr>
              <w:t>0.09</w:t>
            </w:r>
          </w:p>
        </w:tc>
        <w:tc>
          <w:tcPr>
            <w:tcW w:w="937"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b/>
                <w:bCs/>
                <w:color w:val="000000" w:themeColor="text1"/>
                <w14:textFill>
                  <w14:solidFill>
                    <w14:schemeClr w14:val="tx1"/>
                  </w14:solidFill>
                </w14:textFill>
              </w:rPr>
              <w:t>0.94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D</w:t>
            </w:r>
            <w:r>
              <w:rPr>
                <w:color w:val="000000" w:themeColor="text1"/>
                <w:position w:val="-3"/>
                <w:sz w:val="14"/>
                <w:szCs w:val="14"/>
                <w14:textFill>
                  <w14:solidFill>
                    <w14:schemeClr w14:val="tx1"/>
                  </w14:solidFill>
                </w14:textFill>
              </w:rPr>
              <w:t>10%</w:t>
            </w:r>
            <w:r>
              <w:rPr>
                <w:color w:val="000000" w:themeColor="text1"/>
                <w14:textFill>
                  <w14:solidFill>
                    <w14:schemeClr w14:val="tx1"/>
                  </w14:solidFill>
                </w14:textFill>
              </w:rPr>
              <w:t>最远距离/m</w:t>
            </w:r>
          </w:p>
        </w:tc>
        <w:tc>
          <w:tcPr>
            <w:tcW w:w="1876" w:type="pct"/>
            <w:gridSpan w:val="2"/>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875" w:type="pct"/>
            <w:gridSpan w:val="2"/>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表5.2-8 养殖二区大气污染源污染物排放估算结果表</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2273"/>
        <w:gridCol w:w="1707"/>
        <w:gridCol w:w="1707"/>
        <w:gridCol w:w="1707"/>
        <w:gridCol w:w="170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24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距离(m)</w:t>
            </w:r>
          </w:p>
        </w:tc>
        <w:tc>
          <w:tcPr>
            <w:tcW w:w="187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875"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249"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浓度（μg/m</w:t>
            </w:r>
            <w:r>
              <w:rPr>
                <w:color w:val="000000" w:themeColor="text1"/>
                <w:position w:val="10"/>
                <w:sz w:val="14"/>
                <w:szCs w:val="14"/>
                <w14:textFill>
                  <w14:solidFill>
                    <w14:schemeClr w14:val="tx1"/>
                  </w14:solidFill>
                </w14:textFill>
              </w:rPr>
              <w:t>3</w:t>
            </w:r>
            <w:r>
              <w:rPr>
                <w:color w:val="000000" w:themeColor="text1"/>
                <w14:textFill>
                  <w14:solidFill>
                    <w14:schemeClr w14:val="tx1"/>
                  </w14:solidFill>
                </w14:textFill>
              </w:rPr>
              <w:t>）</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占标率（%）</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浓度（μg/m</w:t>
            </w:r>
            <w:r>
              <w:rPr>
                <w:color w:val="000000" w:themeColor="text1"/>
                <w:position w:val="10"/>
                <w:sz w:val="14"/>
                <w:szCs w:val="14"/>
                <w14:textFill>
                  <w14:solidFill>
                    <w14:schemeClr w14:val="tx1"/>
                  </w14:solidFill>
                </w14:textFill>
              </w:rPr>
              <w:t>3</w:t>
            </w:r>
            <w:r>
              <w:rPr>
                <w:color w:val="000000" w:themeColor="text1"/>
                <w14:textFill>
                  <w14:solidFill>
                    <w14:schemeClr w14:val="tx1"/>
                  </w14:solidFill>
                </w14:textFill>
              </w:rPr>
              <w:t>）</w:t>
            </w:r>
          </w:p>
        </w:tc>
        <w:tc>
          <w:tcPr>
            <w:tcW w:w="937"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占标率（%）</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auto" w:sz="12" w:space="0"/>
              <w:bottom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10</w:t>
            </w:r>
          </w:p>
        </w:tc>
        <w:tc>
          <w:tcPr>
            <w:tcW w:w="938" w:type="pct"/>
            <w:tcBorders>
              <w:top w:val="single" w:color="auto" w:sz="12" w:space="0"/>
              <w:bottom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1.74</w:t>
            </w:r>
          </w:p>
        </w:tc>
        <w:tc>
          <w:tcPr>
            <w:tcW w:w="938" w:type="pct"/>
            <w:tcBorders>
              <w:top w:val="single" w:color="auto" w:sz="12" w:space="0"/>
              <w:bottom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0.87</w:t>
            </w:r>
          </w:p>
        </w:tc>
        <w:tc>
          <w:tcPr>
            <w:tcW w:w="938" w:type="pct"/>
            <w:tcBorders>
              <w:top w:val="single" w:color="auto" w:sz="12" w:space="0"/>
              <w:bottom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0.15</w:t>
            </w:r>
          </w:p>
        </w:tc>
        <w:tc>
          <w:tcPr>
            <w:tcW w:w="937" w:type="pct"/>
            <w:tcBorders>
              <w:top w:val="single" w:color="auto" w:sz="12" w:space="0"/>
              <w:bottom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1.48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25</w:t>
            </w:r>
          </w:p>
        </w:tc>
        <w:tc>
          <w:tcPr>
            <w:tcW w:w="938" w:type="pct"/>
            <w:tcBorders>
              <w:top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1.80</w:t>
            </w:r>
          </w:p>
        </w:tc>
        <w:tc>
          <w:tcPr>
            <w:tcW w:w="938" w:type="pct"/>
            <w:tcBorders>
              <w:top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0.90</w:t>
            </w:r>
          </w:p>
        </w:tc>
        <w:tc>
          <w:tcPr>
            <w:tcW w:w="938" w:type="pct"/>
            <w:tcBorders>
              <w:top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0.15</w:t>
            </w:r>
          </w:p>
        </w:tc>
        <w:tc>
          <w:tcPr>
            <w:tcW w:w="937" w:type="pct"/>
            <w:tcBorders>
              <w:top w:val="single" w:color="000000" w:sz="4"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1.53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50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1.96</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0.98</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0.17</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1.67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75</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2.25</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1.12</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0.19</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1.91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100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2.55</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1.27</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0.22</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2.17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b/>
                <w:bCs/>
                <w:color w:val="000000" w:themeColor="text1"/>
                <w:highlight w:val="yellow"/>
                <w14:textFill>
                  <w14:solidFill>
                    <w14:schemeClr w14:val="tx1"/>
                  </w14:solidFill>
                </w14:textFill>
              </w:rPr>
            </w:pPr>
            <w:r>
              <w:rPr>
                <w:rFonts w:eastAsia="等线"/>
                <w:b/>
                <w:bCs/>
                <w:color w:val="000000" w:themeColor="text1"/>
                <w:sz w:val="22"/>
                <w:szCs w:val="22"/>
                <w14:textFill>
                  <w14:solidFill>
                    <w14:schemeClr w14:val="tx1"/>
                  </w14:solidFill>
                </w14:textFill>
              </w:rPr>
              <w:t>130</w:t>
            </w:r>
          </w:p>
        </w:tc>
        <w:tc>
          <w:tcPr>
            <w:tcW w:w="938" w:type="pct"/>
            <w:vAlign w:val="center"/>
          </w:tcPr>
          <w:p>
            <w:pPr>
              <w:pStyle w:val="332"/>
              <w:rPr>
                <w:b/>
                <w:bCs/>
                <w:color w:val="000000" w:themeColor="text1"/>
                <w:highlight w:val="yellow"/>
                <w14:textFill>
                  <w14:solidFill>
                    <w14:schemeClr w14:val="tx1"/>
                  </w14:solidFill>
                </w14:textFill>
              </w:rPr>
            </w:pPr>
            <w:r>
              <w:rPr>
                <w:rFonts w:eastAsia="等线"/>
                <w:b/>
                <w:bCs/>
                <w:color w:val="000000" w:themeColor="text1"/>
                <w:sz w:val="22"/>
                <w:szCs w:val="22"/>
                <w14:textFill>
                  <w14:solidFill>
                    <w14:schemeClr w14:val="tx1"/>
                  </w14:solidFill>
                </w14:textFill>
              </w:rPr>
              <w:t>2.67</w:t>
            </w:r>
          </w:p>
        </w:tc>
        <w:tc>
          <w:tcPr>
            <w:tcW w:w="938" w:type="pct"/>
            <w:vAlign w:val="center"/>
          </w:tcPr>
          <w:p>
            <w:pPr>
              <w:pStyle w:val="332"/>
              <w:rPr>
                <w:b/>
                <w:bCs/>
                <w:color w:val="000000" w:themeColor="text1"/>
                <w:highlight w:val="yellow"/>
                <w14:textFill>
                  <w14:solidFill>
                    <w14:schemeClr w14:val="tx1"/>
                  </w14:solidFill>
                </w14:textFill>
              </w:rPr>
            </w:pPr>
            <w:r>
              <w:rPr>
                <w:rFonts w:eastAsia="等线"/>
                <w:b/>
                <w:bCs/>
                <w:color w:val="000000" w:themeColor="text1"/>
                <w:sz w:val="22"/>
                <w:szCs w:val="22"/>
                <w14:textFill>
                  <w14:solidFill>
                    <w14:schemeClr w14:val="tx1"/>
                  </w14:solidFill>
                </w14:textFill>
              </w:rPr>
              <w:t>1.33</w:t>
            </w:r>
          </w:p>
        </w:tc>
        <w:tc>
          <w:tcPr>
            <w:tcW w:w="938" w:type="pct"/>
            <w:vAlign w:val="center"/>
          </w:tcPr>
          <w:p>
            <w:pPr>
              <w:pStyle w:val="332"/>
              <w:rPr>
                <w:b/>
                <w:bCs/>
                <w:color w:val="000000" w:themeColor="text1"/>
                <w:highlight w:val="yellow"/>
                <w14:textFill>
                  <w14:solidFill>
                    <w14:schemeClr w14:val="tx1"/>
                  </w14:solidFill>
                </w14:textFill>
              </w:rPr>
            </w:pPr>
            <w:r>
              <w:rPr>
                <w:rFonts w:eastAsia="等线"/>
                <w:b/>
                <w:bCs/>
                <w:color w:val="000000" w:themeColor="text1"/>
                <w:sz w:val="22"/>
                <w:szCs w:val="22"/>
                <w14:textFill>
                  <w14:solidFill>
                    <w14:schemeClr w14:val="tx1"/>
                  </w14:solidFill>
                </w14:textFill>
              </w:rPr>
              <w:t>0.23</w:t>
            </w:r>
          </w:p>
        </w:tc>
        <w:tc>
          <w:tcPr>
            <w:tcW w:w="937" w:type="pct"/>
            <w:vAlign w:val="center"/>
          </w:tcPr>
          <w:p>
            <w:pPr>
              <w:pStyle w:val="332"/>
              <w:rPr>
                <w:b/>
                <w:bCs/>
                <w:color w:val="000000" w:themeColor="text1"/>
                <w:highlight w:val="yellow"/>
                <w14:textFill>
                  <w14:solidFill>
                    <w14:schemeClr w14:val="tx1"/>
                  </w14:solidFill>
                </w14:textFill>
              </w:rPr>
            </w:pPr>
            <w:r>
              <w:rPr>
                <w:rFonts w:eastAsia="等线"/>
                <w:b/>
                <w:bCs/>
                <w:color w:val="000000" w:themeColor="text1"/>
                <w:sz w:val="22"/>
                <w:szCs w:val="22"/>
                <w14:textFill>
                  <w14:solidFill>
                    <w14:schemeClr w14:val="tx1"/>
                  </w14:solidFill>
                </w14:textFill>
              </w:rPr>
              <w:t>2.27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150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2.65</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1.33</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0.23</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2.26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175</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2.62</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1.31</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0.22</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2.23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200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2.56</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1.28</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0.22</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2.18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300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2.33</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1.17</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0.20</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1.99</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400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2.13</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1.06</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0.18</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1.81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500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1.95</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0.98</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0.17</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1.66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600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1.80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0.90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0.15</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1.53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700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1.66</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0.83</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0.14</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1.41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800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1.54</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0.77</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0.13</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1.31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900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1.43</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0.72</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0.12</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1.22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1000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1.34</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0.67</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0.11</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1.14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1200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1.18</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0.59</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0.10</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1400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1.05</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0.53</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0.09</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0.90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1600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0.95</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0.47</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0.08</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0.81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1800</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0.87</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0.44</w:t>
            </w:r>
          </w:p>
        </w:tc>
        <w:tc>
          <w:tcPr>
            <w:tcW w:w="938"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0.07</w:t>
            </w:r>
          </w:p>
        </w:tc>
        <w:tc>
          <w:tcPr>
            <w:tcW w:w="937" w:type="pct"/>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0.74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bottom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2000</w:t>
            </w:r>
          </w:p>
        </w:tc>
        <w:tc>
          <w:tcPr>
            <w:tcW w:w="938" w:type="pct"/>
            <w:tcBorders>
              <w:bottom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0.80</w:t>
            </w:r>
          </w:p>
        </w:tc>
        <w:tc>
          <w:tcPr>
            <w:tcW w:w="938" w:type="pct"/>
            <w:tcBorders>
              <w:bottom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0.40</w:t>
            </w:r>
          </w:p>
        </w:tc>
        <w:tc>
          <w:tcPr>
            <w:tcW w:w="938" w:type="pct"/>
            <w:tcBorders>
              <w:bottom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0.07</w:t>
            </w:r>
          </w:p>
        </w:tc>
        <w:tc>
          <w:tcPr>
            <w:tcW w:w="937" w:type="pct"/>
            <w:tcBorders>
              <w:bottom w:val="single" w:color="auto" w:sz="12" w:space="0"/>
            </w:tcBorders>
            <w:vAlign w:val="center"/>
          </w:tcPr>
          <w:p>
            <w:pPr>
              <w:pStyle w:val="332"/>
              <w:rPr>
                <w:color w:val="000000" w:themeColor="text1"/>
                <w:highlight w:val="yellow"/>
                <w14:textFill>
                  <w14:solidFill>
                    <w14:schemeClr w14:val="tx1"/>
                  </w14:solidFill>
                </w14:textFill>
              </w:rPr>
            </w:pPr>
            <w:r>
              <w:rPr>
                <w:rFonts w:eastAsia="等线"/>
                <w:color w:val="000000" w:themeColor="text1"/>
                <w:sz w:val="22"/>
                <w:szCs w:val="22"/>
                <w14:textFill>
                  <w14:solidFill>
                    <w14:schemeClr w14:val="tx1"/>
                  </w14:solidFill>
                </w14:textFill>
              </w:rPr>
              <w:t>0.68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auto" w:sz="12" w:space="0"/>
              <w:bottom w:val="single" w:color="000000" w:sz="4" w:space="0"/>
            </w:tcBorders>
            <w:vAlign w:val="center"/>
          </w:tcPr>
          <w:p>
            <w:pPr>
              <w:pStyle w:val="332"/>
              <w:rPr>
                <w:color w:val="000000" w:themeColor="text1"/>
                <w:spacing w:val="-2"/>
                <w14:textFill>
                  <w14:solidFill>
                    <w14:schemeClr w14:val="tx1"/>
                  </w14:solidFill>
                </w14:textFill>
              </w:rPr>
            </w:pPr>
            <w:r>
              <w:rPr>
                <w:color w:val="000000" w:themeColor="text1"/>
                <w:spacing w:val="-2"/>
                <w14:textFill>
                  <w14:solidFill>
                    <w14:schemeClr w14:val="tx1"/>
                  </w14:solidFill>
                </w14:textFill>
              </w:rPr>
              <w:t>下风向最大质量浓度</w:t>
            </w:r>
          </w:p>
          <w:p>
            <w:pPr>
              <w:pStyle w:val="332"/>
              <w:rPr>
                <w:color w:val="000000" w:themeColor="text1"/>
                <w14:textFill>
                  <w14:solidFill>
                    <w14:schemeClr w14:val="tx1"/>
                  </w14:solidFill>
                </w14:textFill>
              </w:rPr>
            </w:pPr>
            <w:r>
              <w:rPr>
                <w:color w:val="000000" w:themeColor="text1"/>
                <w:spacing w:val="-2"/>
                <w14:textFill>
                  <w14:solidFill>
                    <w14:schemeClr w14:val="tx1"/>
                  </w14:solidFill>
                </w14:textFill>
              </w:rPr>
              <w:t>及</w:t>
            </w:r>
            <w:r>
              <w:rPr>
                <w:color w:val="000000" w:themeColor="text1"/>
                <w:spacing w:val="-85"/>
                <w14:textFill>
                  <w14:solidFill>
                    <w14:schemeClr w14:val="tx1"/>
                  </w14:solidFill>
                </w14:textFill>
              </w:rPr>
              <w:t xml:space="preserve"> </w:t>
            </w:r>
            <w:r>
              <w:rPr>
                <w:color w:val="000000" w:themeColor="text1"/>
                <w14:textFill>
                  <w14:solidFill>
                    <w14:schemeClr w14:val="tx1"/>
                  </w14:solidFill>
                </w14:textFill>
              </w:rPr>
              <w:t>占标率/%</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2.67</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1.33</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0.23</w:t>
            </w:r>
          </w:p>
        </w:tc>
        <w:tc>
          <w:tcPr>
            <w:tcW w:w="937"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2.27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D</w:t>
            </w:r>
            <w:r>
              <w:rPr>
                <w:color w:val="000000" w:themeColor="text1"/>
                <w:position w:val="-3"/>
                <w:sz w:val="14"/>
                <w:szCs w:val="14"/>
                <w14:textFill>
                  <w14:solidFill>
                    <w14:schemeClr w14:val="tx1"/>
                  </w14:solidFill>
                </w14:textFill>
              </w:rPr>
              <w:t>10%</w:t>
            </w:r>
            <w:r>
              <w:rPr>
                <w:color w:val="000000" w:themeColor="text1"/>
                <w14:textFill>
                  <w14:solidFill>
                    <w14:schemeClr w14:val="tx1"/>
                  </w14:solidFill>
                </w14:textFill>
              </w:rPr>
              <w:t>最远距离/m</w:t>
            </w:r>
          </w:p>
        </w:tc>
        <w:tc>
          <w:tcPr>
            <w:tcW w:w="1876" w:type="pct"/>
            <w:gridSpan w:val="2"/>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875" w:type="pct"/>
            <w:gridSpan w:val="2"/>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表5.2-9 黑膜沼气池大气污染源污染物排放估算结果表</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2273"/>
        <w:gridCol w:w="1707"/>
        <w:gridCol w:w="1707"/>
        <w:gridCol w:w="1707"/>
        <w:gridCol w:w="170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24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距离(m)</w:t>
            </w:r>
          </w:p>
        </w:tc>
        <w:tc>
          <w:tcPr>
            <w:tcW w:w="187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875"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249"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浓度（μg/m</w:t>
            </w:r>
            <w:r>
              <w:rPr>
                <w:color w:val="000000" w:themeColor="text1"/>
                <w:position w:val="10"/>
                <w:sz w:val="14"/>
                <w:szCs w:val="14"/>
                <w14:textFill>
                  <w14:solidFill>
                    <w14:schemeClr w14:val="tx1"/>
                  </w14:solidFill>
                </w14:textFill>
              </w:rPr>
              <w:t>3</w:t>
            </w:r>
            <w:r>
              <w:rPr>
                <w:color w:val="000000" w:themeColor="text1"/>
                <w14:textFill>
                  <w14:solidFill>
                    <w14:schemeClr w14:val="tx1"/>
                  </w14:solidFill>
                </w14:textFill>
              </w:rPr>
              <w:t>）</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占标率（%）</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浓度（μg/m</w:t>
            </w:r>
            <w:r>
              <w:rPr>
                <w:color w:val="000000" w:themeColor="text1"/>
                <w:position w:val="10"/>
                <w:sz w:val="14"/>
                <w:szCs w:val="14"/>
                <w14:textFill>
                  <w14:solidFill>
                    <w14:schemeClr w14:val="tx1"/>
                  </w14:solidFill>
                </w14:textFill>
              </w:rPr>
              <w:t>3</w:t>
            </w:r>
            <w:r>
              <w:rPr>
                <w:color w:val="000000" w:themeColor="text1"/>
                <w14:textFill>
                  <w14:solidFill>
                    <w14:schemeClr w14:val="tx1"/>
                  </w14:solidFill>
                </w14:textFill>
              </w:rPr>
              <w:t>）</w:t>
            </w:r>
          </w:p>
        </w:tc>
        <w:tc>
          <w:tcPr>
            <w:tcW w:w="937"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占标率（%）</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3.85</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1.92</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0.010</w:t>
            </w:r>
          </w:p>
        </w:tc>
        <w:tc>
          <w:tcPr>
            <w:tcW w:w="937"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25</w:t>
            </w:r>
          </w:p>
        </w:tc>
        <w:tc>
          <w:tcPr>
            <w:tcW w:w="938"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4.93</w:t>
            </w:r>
          </w:p>
        </w:tc>
        <w:tc>
          <w:tcPr>
            <w:tcW w:w="938"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2.46</w:t>
            </w:r>
          </w:p>
        </w:tc>
        <w:tc>
          <w:tcPr>
            <w:tcW w:w="938"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0.012</w:t>
            </w:r>
          </w:p>
        </w:tc>
        <w:tc>
          <w:tcPr>
            <w:tcW w:w="937"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30</w:t>
            </w:r>
          </w:p>
        </w:tc>
        <w:tc>
          <w:tcPr>
            <w:tcW w:w="938"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5.04</w:t>
            </w:r>
          </w:p>
        </w:tc>
        <w:tc>
          <w:tcPr>
            <w:tcW w:w="938"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2.52</w:t>
            </w:r>
          </w:p>
        </w:tc>
        <w:tc>
          <w:tcPr>
            <w:tcW w:w="938"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0.013</w:t>
            </w:r>
          </w:p>
        </w:tc>
        <w:tc>
          <w:tcPr>
            <w:tcW w:w="937"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0.13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50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3.98</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1.99</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0.010</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75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2.46</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1.23</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0.006</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2.22</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1.11</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0.006</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150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1.95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0.97</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0.005</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1.78</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0.89</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0.004</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1.56</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0.78</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0.004</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400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1.40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0.70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0.003</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500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1.27</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0.63</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0.003</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600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1.16</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0.58</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0.003</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700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1.07</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0.54</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0.003</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800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0.99</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0.49</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0.002</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900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0.92</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0.46</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0.002</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0.86</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0.43</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0.002</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1200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0.75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0.38</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0.002</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1400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0.67</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0.34</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0.002</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1600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0.61</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0.002</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1800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0.55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0.28</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0.001</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0.51</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0.001</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2500</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0.42</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0.21</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0.001</w:t>
            </w:r>
          </w:p>
        </w:tc>
        <w:tc>
          <w:tcPr>
            <w:tcW w:w="937"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auto" w:sz="12" w:space="0"/>
              <w:bottom w:val="single" w:color="000000" w:sz="4" w:space="0"/>
            </w:tcBorders>
            <w:vAlign w:val="center"/>
          </w:tcPr>
          <w:p>
            <w:pPr>
              <w:pStyle w:val="332"/>
              <w:rPr>
                <w:color w:val="000000" w:themeColor="text1"/>
                <w:spacing w:val="-2"/>
                <w14:textFill>
                  <w14:solidFill>
                    <w14:schemeClr w14:val="tx1"/>
                  </w14:solidFill>
                </w14:textFill>
              </w:rPr>
            </w:pPr>
            <w:r>
              <w:rPr>
                <w:color w:val="000000" w:themeColor="text1"/>
                <w:spacing w:val="-2"/>
                <w14:textFill>
                  <w14:solidFill>
                    <w14:schemeClr w14:val="tx1"/>
                  </w14:solidFill>
                </w14:textFill>
              </w:rPr>
              <w:t>下风向最大质量浓度</w:t>
            </w:r>
          </w:p>
          <w:p>
            <w:pPr>
              <w:pStyle w:val="332"/>
              <w:rPr>
                <w:color w:val="000000" w:themeColor="text1"/>
                <w14:textFill>
                  <w14:solidFill>
                    <w14:schemeClr w14:val="tx1"/>
                  </w14:solidFill>
                </w14:textFill>
              </w:rPr>
            </w:pPr>
            <w:r>
              <w:rPr>
                <w:color w:val="000000" w:themeColor="text1"/>
                <w:spacing w:val="-2"/>
                <w14:textFill>
                  <w14:solidFill>
                    <w14:schemeClr w14:val="tx1"/>
                  </w14:solidFill>
                </w14:textFill>
              </w:rPr>
              <w:t>及</w:t>
            </w:r>
            <w:r>
              <w:rPr>
                <w:color w:val="000000" w:themeColor="text1"/>
                <w:spacing w:val="-85"/>
                <w14:textFill>
                  <w14:solidFill>
                    <w14:schemeClr w14:val="tx1"/>
                  </w14:solidFill>
                </w14:textFill>
              </w:rPr>
              <w:t xml:space="preserve"> </w:t>
            </w:r>
            <w:r>
              <w:rPr>
                <w:color w:val="000000" w:themeColor="text1"/>
                <w14:textFill>
                  <w14:solidFill>
                    <w14:schemeClr w14:val="tx1"/>
                  </w14:solidFill>
                </w14:textFill>
              </w:rPr>
              <w:t>占标率/%</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5.04</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2.52</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0.013</w:t>
            </w:r>
          </w:p>
        </w:tc>
        <w:tc>
          <w:tcPr>
            <w:tcW w:w="937"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0.13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D</w:t>
            </w:r>
            <w:r>
              <w:rPr>
                <w:color w:val="000000" w:themeColor="text1"/>
                <w:position w:val="-3"/>
                <w:sz w:val="14"/>
                <w:szCs w:val="14"/>
                <w14:textFill>
                  <w14:solidFill>
                    <w14:schemeClr w14:val="tx1"/>
                  </w14:solidFill>
                </w14:textFill>
              </w:rPr>
              <w:t>10%</w:t>
            </w:r>
            <w:r>
              <w:rPr>
                <w:color w:val="000000" w:themeColor="text1"/>
                <w14:textFill>
                  <w14:solidFill>
                    <w14:schemeClr w14:val="tx1"/>
                  </w14:solidFill>
                </w14:textFill>
              </w:rPr>
              <w:t>最远距离/m</w:t>
            </w:r>
          </w:p>
        </w:tc>
        <w:tc>
          <w:tcPr>
            <w:tcW w:w="1876" w:type="pct"/>
            <w:gridSpan w:val="2"/>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875" w:type="pct"/>
            <w:gridSpan w:val="2"/>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表5.2-10 沼液存储池大气污染源污染物排放估算结果表</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2273"/>
        <w:gridCol w:w="1707"/>
        <w:gridCol w:w="1707"/>
        <w:gridCol w:w="1707"/>
        <w:gridCol w:w="170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blHeader/>
        </w:trPr>
        <w:tc>
          <w:tcPr>
            <w:tcW w:w="124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距离(m)</w:t>
            </w:r>
          </w:p>
        </w:tc>
        <w:tc>
          <w:tcPr>
            <w:tcW w:w="187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875"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blHeader/>
        </w:trPr>
        <w:tc>
          <w:tcPr>
            <w:tcW w:w="1249"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浓度（μg/m</w:t>
            </w:r>
            <w:r>
              <w:rPr>
                <w:color w:val="000000" w:themeColor="text1"/>
                <w:position w:val="10"/>
                <w:sz w:val="14"/>
                <w:szCs w:val="14"/>
                <w14:textFill>
                  <w14:solidFill>
                    <w14:schemeClr w14:val="tx1"/>
                  </w14:solidFill>
                </w14:textFill>
              </w:rPr>
              <w:t>3</w:t>
            </w:r>
            <w:r>
              <w:rPr>
                <w:color w:val="000000" w:themeColor="text1"/>
                <w14:textFill>
                  <w14:solidFill>
                    <w14:schemeClr w14:val="tx1"/>
                  </w14:solidFill>
                </w14:textFill>
              </w:rPr>
              <w:t>）</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占标率（%）</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浓度（μg/m</w:t>
            </w:r>
            <w:r>
              <w:rPr>
                <w:color w:val="000000" w:themeColor="text1"/>
                <w:position w:val="10"/>
                <w:sz w:val="14"/>
                <w:szCs w:val="14"/>
                <w14:textFill>
                  <w14:solidFill>
                    <w14:schemeClr w14:val="tx1"/>
                  </w14:solidFill>
                </w14:textFill>
              </w:rPr>
              <w:t>3</w:t>
            </w:r>
            <w:r>
              <w:rPr>
                <w:color w:val="000000" w:themeColor="text1"/>
                <w14:textFill>
                  <w14:solidFill>
                    <w14:schemeClr w14:val="tx1"/>
                  </w14:solidFill>
                </w14:textFill>
              </w:rPr>
              <w:t>）</w:t>
            </w:r>
          </w:p>
        </w:tc>
        <w:tc>
          <w:tcPr>
            <w:tcW w:w="937"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占标率（%）</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1.77</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0.89</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0.35</w:t>
            </w:r>
          </w:p>
        </w:tc>
        <w:tc>
          <w:tcPr>
            <w:tcW w:w="937"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3.55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25</w:t>
            </w:r>
          </w:p>
        </w:tc>
        <w:tc>
          <w:tcPr>
            <w:tcW w:w="938"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2.32</w:t>
            </w:r>
          </w:p>
        </w:tc>
        <w:tc>
          <w:tcPr>
            <w:tcW w:w="938"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1.16</w:t>
            </w:r>
          </w:p>
        </w:tc>
        <w:tc>
          <w:tcPr>
            <w:tcW w:w="938"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0.46</w:t>
            </w:r>
          </w:p>
        </w:tc>
        <w:tc>
          <w:tcPr>
            <w:tcW w:w="937"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4.64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50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3.04</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1.52</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0.61</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6.08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69</w:t>
            </w:r>
          </w:p>
        </w:tc>
        <w:tc>
          <w:tcPr>
            <w:tcW w:w="938"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3.14</w:t>
            </w:r>
          </w:p>
        </w:tc>
        <w:tc>
          <w:tcPr>
            <w:tcW w:w="938"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1.57</w:t>
            </w:r>
          </w:p>
        </w:tc>
        <w:tc>
          <w:tcPr>
            <w:tcW w:w="938"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0.63</w:t>
            </w:r>
          </w:p>
        </w:tc>
        <w:tc>
          <w:tcPr>
            <w:tcW w:w="937" w:type="pct"/>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6.28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75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3.13</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1.56</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0.63</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6.26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2.98</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1.49</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0.60</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5.96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150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2.50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1.25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0.50</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5.00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2.09</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0.42</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4.18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1.50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0.75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0.30</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400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1.24</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0.62</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0.25</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2.48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500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0.52</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0.21</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2.09</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600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0.91</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0.45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0.18</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1.81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700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0.80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0.40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0.16</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1.61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800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0.72</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0.36</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0.14</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1.45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900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0.65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0.33</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0.13</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1.31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0.59</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0.12</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1.19</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1200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0.51</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0.10</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1400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0.43</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0.22</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0.09</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0.86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1600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0.37</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0.19</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0.07</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0.75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1800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0.33</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0.16</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0.07</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0.66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0.29</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0.06</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0.58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2500</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0.22</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0.11</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0.04</w:t>
            </w:r>
          </w:p>
        </w:tc>
        <w:tc>
          <w:tcPr>
            <w:tcW w:w="937"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0.45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tcBorders>
              <w:top w:val="single" w:color="auto" w:sz="12" w:space="0"/>
              <w:bottom w:val="single" w:color="000000" w:sz="4" w:space="0"/>
            </w:tcBorders>
            <w:vAlign w:val="center"/>
          </w:tcPr>
          <w:p>
            <w:pPr>
              <w:pStyle w:val="332"/>
              <w:rPr>
                <w:color w:val="000000" w:themeColor="text1"/>
                <w:spacing w:val="-2"/>
                <w14:textFill>
                  <w14:solidFill>
                    <w14:schemeClr w14:val="tx1"/>
                  </w14:solidFill>
                </w14:textFill>
              </w:rPr>
            </w:pPr>
            <w:r>
              <w:rPr>
                <w:color w:val="000000" w:themeColor="text1"/>
                <w:spacing w:val="-2"/>
                <w14:textFill>
                  <w14:solidFill>
                    <w14:schemeClr w14:val="tx1"/>
                  </w14:solidFill>
                </w14:textFill>
              </w:rPr>
              <w:t>下风向最大质量浓度</w:t>
            </w:r>
          </w:p>
          <w:p>
            <w:pPr>
              <w:pStyle w:val="332"/>
              <w:rPr>
                <w:color w:val="000000" w:themeColor="text1"/>
                <w14:textFill>
                  <w14:solidFill>
                    <w14:schemeClr w14:val="tx1"/>
                  </w14:solidFill>
                </w14:textFill>
              </w:rPr>
            </w:pPr>
            <w:r>
              <w:rPr>
                <w:color w:val="000000" w:themeColor="text1"/>
                <w:spacing w:val="-2"/>
                <w14:textFill>
                  <w14:solidFill>
                    <w14:schemeClr w14:val="tx1"/>
                  </w14:solidFill>
                </w14:textFill>
              </w:rPr>
              <w:t>及</w:t>
            </w:r>
            <w:r>
              <w:rPr>
                <w:color w:val="000000" w:themeColor="text1"/>
                <w:spacing w:val="-85"/>
                <w14:textFill>
                  <w14:solidFill>
                    <w14:schemeClr w14:val="tx1"/>
                  </w14:solidFill>
                </w14:textFill>
              </w:rPr>
              <w:t xml:space="preserve"> </w:t>
            </w:r>
            <w:r>
              <w:rPr>
                <w:color w:val="000000" w:themeColor="text1"/>
                <w14:textFill>
                  <w14:solidFill>
                    <w14:schemeClr w14:val="tx1"/>
                  </w14:solidFill>
                </w14:textFill>
              </w:rPr>
              <w:t>占标率/%</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3.14</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1.57</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0.63</w:t>
            </w:r>
          </w:p>
        </w:tc>
        <w:tc>
          <w:tcPr>
            <w:tcW w:w="937"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6.28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249"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D</w:t>
            </w:r>
            <w:r>
              <w:rPr>
                <w:color w:val="000000" w:themeColor="text1"/>
                <w:position w:val="-3"/>
                <w:sz w:val="14"/>
                <w:szCs w:val="14"/>
                <w14:textFill>
                  <w14:solidFill>
                    <w14:schemeClr w14:val="tx1"/>
                  </w14:solidFill>
                </w14:textFill>
              </w:rPr>
              <w:t>10%</w:t>
            </w:r>
            <w:r>
              <w:rPr>
                <w:color w:val="000000" w:themeColor="text1"/>
                <w14:textFill>
                  <w14:solidFill>
                    <w14:schemeClr w14:val="tx1"/>
                  </w14:solidFill>
                </w14:textFill>
              </w:rPr>
              <w:t>最远距离/m</w:t>
            </w:r>
          </w:p>
        </w:tc>
        <w:tc>
          <w:tcPr>
            <w:tcW w:w="1876" w:type="pct"/>
            <w:gridSpan w:val="2"/>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875" w:type="pct"/>
            <w:gridSpan w:val="2"/>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表5.2-11 固粪处理区大气污染源污染物排放估算结果表</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2273"/>
        <w:gridCol w:w="1707"/>
        <w:gridCol w:w="1707"/>
        <w:gridCol w:w="1707"/>
        <w:gridCol w:w="170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24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距离(m)</w:t>
            </w:r>
          </w:p>
        </w:tc>
        <w:tc>
          <w:tcPr>
            <w:tcW w:w="187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875"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249"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浓度（μg/m</w:t>
            </w:r>
            <w:r>
              <w:rPr>
                <w:color w:val="000000" w:themeColor="text1"/>
                <w:position w:val="10"/>
                <w:sz w:val="14"/>
                <w:szCs w:val="14"/>
                <w14:textFill>
                  <w14:solidFill>
                    <w14:schemeClr w14:val="tx1"/>
                  </w14:solidFill>
                </w14:textFill>
              </w:rPr>
              <w:t>3</w:t>
            </w:r>
            <w:r>
              <w:rPr>
                <w:color w:val="000000" w:themeColor="text1"/>
                <w14:textFill>
                  <w14:solidFill>
                    <w14:schemeClr w14:val="tx1"/>
                  </w14:solidFill>
                </w14:textFill>
              </w:rPr>
              <w:t>）</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占标率（%）</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浓度（μg/m</w:t>
            </w:r>
            <w:r>
              <w:rPr>
                <w:color w:val="000000" w:themeColor="text1"/>
                <w:position w:val="10"/>
                <w:sz w:val="14"/>
                <w:szCs w:val="14"/>
                <w14:textFill>
                  <w14:solidFill>
                    <w14:schemeClr w14:val="tx1"/>
                  </w14:solidFill>
                </w14:textFill>
              </w:rPr>
              <w:t>3</w:t>
            </w:r>
            <w:r>
              <w:rPr>
                <w:color w:val="000000" w:themeColor="text1"/>
                <w14:textFill>
                  <w14:solidFill>
                    <w14:schemeClr w14:val="tx1"/>
                  </w14:solidFill>
                </w14:textFill>
              </w:rPr>
              <w:t>）</w:t>
            </w:r>
          </w:p>
        </w:tc>
        <w:tc>
          <w:tcPr>
            <w:tcW w:w="937"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占标率（%）</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1.39</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0.70</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0.070</w:t>
            </w:r>
          </w:p>
        </w:tc>
        <w:tc>
          <w:tcPr>
            <w:tcW w:w="937"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0.70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000000" w:sz="4" w:space="0"/>
            </w:tcBorders>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23</w:t>
            </w:r>
          </w:p>
        </w:tc>
        <w:tc>
          <w:tcPr>
            <w:tcW w:w="938" w:type="pct"/>
            <w:tcBorders>
              <w:top w:val="single" w:color="000000" w:sz="4" w:space="0"/>
            </w:tcBorders>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1.72</w:t>
            </w:r>
          </w:p>
        </w:tc>
        <w:tc>
          <w:tcPr>
            <w:tcW w:w="938" w:type="pct"/>
            <w:tcBorders>
              <w:top w:val="single" w:color="000000" w:sz="4" w:space="0"/>
            </w:tcBorders>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0.86</w:t>
            </w:r>
          </w:p>
        </w:tc>
        <w:tc>
          <w:tcPr>
            <w:tcW w:w="938" w:type="pct"/>
            <w:tcBorders>
              <w:top w:val="single" w:color="000000" w:sz="4" w:space="0"/>
            </w:tcBorders>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0.086</w:t>
            </w:r>
          </w:p>
        </w:tc>
        <w:tc>
          <w:tcPr>
            <w:tcW w:w="937" w:type="pct"/>
            <w:tcBorders>
              <w:top w:val="single" w:color="000000" w:sz="4" w:space="0"/>
            </w:tcBorders>
            <w:vAlign w:val="center"/>
          </w:tcPr>
          <w:p>
            <w:pPr>
              <w:pStyle w:val="332"/>
              <w:rPr>
                <w:b/>
                <w:bCs/>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0.86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1.72</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0.86</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0.086</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0.86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50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1.03</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0.52</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0.052</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0.52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75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0.81</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0.41</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0.041</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0.41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0.75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0.37</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0.037</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150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0.66</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0.33</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0.033</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0.61</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0.030</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300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0.52</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0.26</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0.026</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400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0.45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0.22</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0.022</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500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0.39</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0.020</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600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0.17</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0.017</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700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0.31</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0.16</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0.016</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800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0.28</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0.14</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0.014</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900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0.26</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0.13</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0.013</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0.24</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0.12</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0.012</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1200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0.21</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0.010</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1400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0.18</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0.09</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0.009</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0.09</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1600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0.16</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0.08</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0.008</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1800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0.15</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0.07</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0.007</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2000</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0.14</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0.07</w:t>
            </w:r>
          </w:p>
        </w:tc>
        <w:tc>
          <w:tcPr>
            <w:tcW w:w="938"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0.007</w:t>
            </w:r>
          </w:p>
        </w:tc>
        <w:tc>
          <w:tcPr>
            <w:tcW w:w="937" w:type="pct"/>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2500</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0.11</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0.06</w:t>
            </w:r>
          </w:p>
        </w:tc>
        <w:tc>
          <w:tcPr>
            <w:tcW w:w="938"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0.006</w:t>
            </w:r>
          </w:p>
        </w:tc>
        <w:tc>
          <w:tcPr>
            <w:tcW w:w="937" w:type="pct"/>
            <w:tcBorders>
              <w:bottom w:val="single" w:color="auto" w:sz="12" w:space="0"/>
            </w:tcBorders>
            <w:vAlign w:val="center"/>
          </w:tcPr>
          <w:p>
            <w:pPr>
              <w:pStyle w:val="332"/>
              <w:rPr>
                <w:color w:val="000000" w:themeColor="text1"/>
                <w14:textFill>
                  <w14:solidFill>
                    <w14:schemeClr w14:val="tx1"/>
                  </w14:solidFill>
                </w14:textFill>
              </w:rPr>
            </w:pPr>
            <w:r>
              <w:rPr>
                <w:rFonts w:eastAsia="等线"/>
                <w:color w:val="000000" w:themeColor="text1"/>
                <w:sz w:val="22"/>
                <w:szCs w:val="22"/>
                <w14:textFill>
                  <w14:solidFill>
                    <w14:schemeClr w14:val="tx1"/>
                  </w14:solidFill>
                </w14:textFill>
              </w:rPr>
              <w:t>0.06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auto" w:sz="12" w:space="0"/>
              <w:bottom w:val="single" w:color="000000" w:sz="4" w:space="0"/>
            </w:tcBorders>
            <w:vAlign w:val="center"/>
          </w:tcPr>
          <w:p>
            <w:pPr>
              <w:pStyle w:val="332"/>
              <w:rPr>
                <w:color w:val="000000" w:themeColor="text1"/>
                <w:spacing w:val="-2"/>
                <w14:textFill>
                  <w14:solidFill>
                    <w14:schemeClr w14:val="tx1"/>
                  </w14:solidFill>
                </w14:textFill>
              </w:rPr>
            </w:pPr>
            <w:r>
              <w:rPr>
                <w:color w:val="000000" w:themeColor="text1"/>
                <w:spacing w:val="-2"/>
                <w14:textFill>
                  <w14:solidFill>
                    <w14:schemeClr w14:val="tx1"/>
                  </w14:solidFill>
                </w14:textFill>
              </w:rPr>
              <w:t>下风向最大质量浓度</w:t>
            </w:r>
          </w:p>
          <w:p>
            <w:pPr>
              <w:pStyle w:val="332"/>
              <w:rPr>
                <w:color w:val="000000" w:themeColor="text1"/>
                <w14:textFill>
                  <w14:solidFill>
                    <w14:schemeClr w14:val="tx1"/>
                  </w14:solidFill>
                </w14:textFill>
              </w:rPr>
            </w:pPr>
            <w:r>
              <w:rPr>
                <w:color w:val="000000" w:themeColor="text1"/>
                <w:spacing w:val="-2"/>
                <w14:textFill>
                  <w14:solidFill>
                    <w14:schemeClr w14:val="tx1"/>
                  </w14:solidFill>
                </w14:textFill>
              </w:rPr>
              <w:t>及</w:t>
            </w:r>
            <w:r>
              <w:rPr>
                <w:color w:val="000000" w:themeColor="text1"/>
                <w:spacing w:val="-85"/>
                <w14:textFill>
                  <w14:solidFill>
                    <w14:schemeClr w14:val="tx1"/>
                  </w14:solidFill>
                </w14:textFill>
              </w:rPr>
              <w:t xml:space="preserve"> </w:t>
            </w:r>
            <w:r>
              <w:rPr>
                <w:color w:val="000000" w:themeColor="text1"/>
                <w14:textFill>
                  <w14:solidFill>
                    <w14:schemeClr w14:val="tx1"/>
                  </w14:solidFill>
                </w14:textFill>
              </w:rPr>
              <w:t>占标率/%</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1.72</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0.86</w:t>
            </w:r>
          </w:p>
        </w:tc>
        <w:tc>
          <w:tcPr>
            <w:tcW w:w="938"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0.086</w:t>
            </w:r>
          </w:p>
        </w:tc>
        <w:tc>
          <w:tcPr>
            <w:tcW w:w="937"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rFonts w:eastAsia="等线"/>
                <w:b/>
                <w:bCs/>
                <w:color w:val="000000" w:themeColor="text1"/>
                <w:sz w:val="22"/>
                <w:szCs w:val="22"/>
                <w14:textFill>
                  <w14:solidFill>
                    <w14:schemeClr w14:val="tx1"/>
                  </w14:solidFill>
                </w14:textFill>
              </w:rPr>
              <w:t>0.86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49"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D</w:t>
            </w:r>
            <w:r>
              <w:rPr>
                <w:color w:val="000000" w:themeColor="text1"/>
                <w:position w:val="-3"/>
                <w:sz w:val="14"/>
                <w:szCs w:val="14"/>
                <w14:textFill>
                  <w14:solidFill>
                    <w14:schemeClr w14:val="tx1"/>
                  </w14:solidFill>
                </w14:textFill>
              </w:rPr>
              <w:t>10%</w:t>
            </w:r>
            <w:r>
              <w:rPr>
                <w:color w:val="000000" w:themeColor="text1"/>
                <w14:textFill>
                  <w14:solidFill>
                    <w14:schemeClr w14:val="tx1"/>
                  </w14:solidFill>
                </w14:textFill>
              </w:rPr>
              <w:t>最远距离/m</w:t>
            </w:r>
          </w:p>
        </w:tc>
        <w:tc>
          <w:tcPr>
            <w:tcW w:w="1876" w:type="pct"/>
            <w:gridSpan w:val="2"/>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875" w:type="pct"/>
            <w:gridSpan w:val="2"/>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bl>
    <w:p>
      <w:pPr>
        <w:pStyle w:val="4"/>
        <w:rPr>
          <w:rFonts w:cs="Times New Roman"/>
          <w:color w:val="000000" w:themeColor="text1"/>
          <w14:textFill>
            <w14:solidFill>
              <w14:schemeClr w14:val="tx1"/>
            </w14:solidFill>
          </w14:textFill>
        </w:rPr>
      </w:pPr>
      <w:bookmarkStart w:id="559" w:name="_Toc91163920"/>
      <w:r>
        <w:rPr>
          <w:rFonts w:cs="Times New Roman"/>
          <w:color w:val="000000" w:themeColor="text1"/>
          <w14:textFill>
            <w14:solidFill>
              <w14:schemeClr w14:val="tx1"/>
            </w14:solidFill>
          </w14:textFill>
        </w:rPr>
        <w:t>5.2.3污染物排放量核算</w:t>
      </w:r>
      <w:bookmarkEnd w:id="559"/>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本项目大气污染物有组织排放量核算结果见表5.2-12，大气污染物无组织排放量核算结果见表5.2-13，大气年排放量核算见表5.2-14。</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表5.2-12 大气污染物有组织排放核算表</w:t>
      </w:r>
    </w:p>
    <w:p>
      <w:pPr>
        <w:kinsoku w:val="0"/>
        <w:overflowPunct w:val="0"/>
        <w:autoSpaceDE w:val="0"/>
        <w:autoSpaceDN w:val="0"/>
        <w:adjustRightInd w:val="0"/>
        <w:spacing w:before="6" w:line="240" w:lineRule="auto"/>
        <w:ind w:firstLine="0" w:firstLineChars="0"/>
        <w:jc w:val="left"/>
        <w:rPr>
          <w:rFonts w:cs="Times New Roman"/>
          <w:color w:val="000000" w:themeColor="text1"/>
          <w:kern w:val="0"/>
          <w:sz w:val="5"/>
          <w:szCs w:val="5"/>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453"/>
        <w:gridCol w:w="815"/>
        <w:gridCol w:w="1507"/>
        <w:gridCol w:w="1382"/>
        <w:gridCol w:w="1649"/>
        <w:gridCol w:w="1678"/>
        <w:gridCol w:w="161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4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4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排放口</w:t>
            </w:r>
            <w:r>
              <w:rPr>
                <w:color w:val="000000" w:themeColor="text1"/>
                <w:spacing w:val="-102"/>
                <w14:textFill>
                  <w14:solidFill>
                    <w14:schemeClr w14:val="tx1"/>
                  </w14:solidFill>
                </w14:textFill>
              </w:rPr>
              <w:t xml:space="preserve"> </w:t>
            </w:r>
            <w:r>
              <w:rPr>
                <w:color w:val="000000" w:themeColor="text1"/>
                <w14:textFill>
                  <w14:solidFill>
                    <w14:schemeClr w14:val="tx1"/>
                  </w14:solidFill>
                </w14:textFill>
              </w:rPr>
              <w:t>编号</w:t>
            </w:r>
          </w:p>
        </w:tc>
        <w:tc>
          <w:tcPr>
            <w:tcW w:w="82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排放口</w:t>
            </w:r>
            <w:r>
              <w:rPr>
                <w:color w:val="000000" w:themeColor="text1"/>
                <w:spacing w:val="-102"/>
                <w14:textFill>
                  <w14:solidFill>
                    <w14:schemeClr w14:val="tx1"/>
                  </w14:solidFill>
                </w14:textFill>
              </w:rPr>
              <w:t xml:space="preserve"> </w:t>
            </w:r>
            <w:r>
              <w:rPr>
                <w:color w:val="000000" w:themeColor="text1"/>
                <w14:textFill>
                  <w14:solidFill>
                    <w14:schemeClr w14:val="tx1"/>
                  </w14:solidFill>
                </w14:textFill>
              </w:rPr>
              <w:t>名称</w:t>
            </w:r>
          </w:p>
        </w:tc>
        <w:tc>
          <w:tcPr>
            <w:tcW w:w="75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90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核算排放浓度/</w:t>
            </w:r>
          </w:p>
          <w:p>
            <w:pPr>
              <w:pStyle w:val="332"/>
              <w:rPr>
                <w:color w:val="000000" w:themeColor="text1"/>
                <w14:textFill>
                  <w14:solidFill>
                    <w14:schemeClr w14:val="tx1"/>
                  </w14:solidFill>
                </w14:textFill>
              </w:rPr>
            </w:pPr>
            <w:r>
              <w:rPr>
                <w:color w:val="000000" w:themeColor="text1"/>
                <w14:textFill>
                  <w14:solidFill>
                    <w14:schemeClr w14:val="tx1"/>
                  </w14:solidFill>
                </w14:textFill>
              </w:rPr>
              <w:t>（μg/m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92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核算排放速率/</w:t>
            </w:r>
          </w:p>
          <w:p>
            <w:pPr>
              <w:pStyle w:val="332"/>
              <w:rPr>
                <w:color w:val="000000" w:themeColor="text1"/>
                <w14:textFill>
                  <w14:solidFill>
                    <w14:schemeClr w14:val="tx1"/>
                  </w14:solidFill>
                </w14:textFill>
              </w:rPr>
            </w:pPr>
            <w:r>
              <w:rPr>
                <w:color w:val="000000" w:themeColor="text1"/>
                <w14:textFill>
                  <w14:solidFill>
                    <w14:schemeClr w14:val="tx1"/>
                  </w14:solidFill>
                </w14:textFill>
              </w:rPr>
              <w:t>（kg/h）</w:t>
            </w:r>
          </w:p>
        </w:tc>
        <w:tc>
          <w:tcPr>
            <w:tcW w:w="88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核算年排放量/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000" w:type="pct"/>
            <w:gridSpan w:val="7"/>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主要排放口</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4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4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82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75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9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92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88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000"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一般排放口</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4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448"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DA001</w:t>
            </w:r>
          </w:p>
        </w:tc>
        <w:tc>
          <w:tcPr>
            <w:tcW w:w="828"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无害化处理设备废气排放口</w:t>
            </w:r>
          </w:p>
        </w:tc>
        <w:tc>
          <w:tcPr>
            <w:tcW w:w="75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906" w:type="pct"/>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3.99</w:t>
            </w:r>
          </w:p>
        </w:tc>
        <w:tc>
          <w:tcPr>
            <w:tcW w:w="922"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0.000046</w:t>
            </w:r>
          </w:p>
        </w:tc>
        <w:tc>
          <w:tcPr>
            <w:tcW w:w="888" w:type="pct"/>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0.00017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49" w:type="pct"/>
            <w:vMerge w:val="continue"/>
            <w:vAlign w:val="center"/>
          </w:tcPr>
          <w:p>
            <w:pPr>
              <w:pStyle w:val="332"/>
              <w:rPr>
                <w:color w:val="000000" w:themeColor="text1"/>
                <w14:textFill>
                  <w14:solidFill>
                    <w14:schemeClr w14:val="tx1"/>
                  </w14:solidFill>
                </w14:textFill>
              </w:rPr>
            </w:pPr>
          </w:p>
        </w:tc>
        <w:tc>
          <w:tcPr>
            <w:tcW w:w="448" w:type="pct"/>
            <w:vMerge w:val="continue"/>
            <w:vAlign w:val="center"/>
          </w:tcPr>
          <w:p>
            <w:pPr>
              <w:pStyle w:val="332"/>
              <w:rPr>
                <w:color w:val="000000" w:themeColor="text1"/>
                <w14:textFill>
                  <w14:solidFill>
                    <w14:schemeClr w14:val="tx1"/>
                  </w14:solidFill>
                </w14:textFill>
              </w:rPr>
            </w:pPr>
          </w:p>
        </w:tc>
        <w:tc>
          <w:tcPr>
            <w:tcW w:w="828" w:type="pct"/>
            <w:vMerge w:val="continue"/>
            <w:vAlign w:val="center"/>
          </w:tcPr>
          <w:p>
            <w:pPr>
              <w:pStyle w:val="332"/>
              <w:rPr>
                <w:color w:val="000000" w:themeColor="text1"/>
                <w14:textFill>
                  <w14:solidFill>
                    <w14:schemeClr w14:val="tx1"/>
                  </w14:solidFill>
                </w14:textFill>
              </w:rPr>
            </w:pPr>
          </w:p>
        </w:tc>
        <w:tc>
          <w:tcPr>
            <w:tcW w:w="75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c>
          <w:tcPr>
            <w:tcW w:w="906" w:type="pct"/>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0.033</w:t>
            </w:r>
          </w:p>
        </w:tc>
        <w:tc>
          <w:tcPr>
            <w:tcW w:w="922"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0.00000038</w:t>
            </w:r>
          </w:p>
        </w:tc>
        <w:tc>
          <w:tcPr>
            <w:tcW w:w="888" w:type="pct"/>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0.0000014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4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448"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DA002</w:t>
            </w:r>
          </w:p>
        </w:tc>
        <w:tc>
          <w:tcPr>
            <w:tcW w:w="828"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沼气发电机废气排放口</w:t>
            </w:r>
          </w:p>
        </w:tc>
        <w:tc>
          <w:tcPr>
            <w:tcW w:w="75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position w:val="-3"/>
                <w:sz w:val="14"/>
                <w:szCs w:val="14"/>
                <w14:textFill>
                  <w14:solidFill>
                    <w14:schemeClr w14:val="tx1"/>
                  </w14:solidFill>
                </w14:textFill>
              </w:rPr>
              <w:t>10</w:t>
            </w:r>
          </w:p>
        </w:tc>
        <w:tc>
          <w:tcPr>
            <w:tcW w:w="906" w:type="pct"/>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5</w:t>
            </w:r>
          </w:p>
        </w:tc>
        <w:tc>
          <w:tcPr>
            <w:tcW w:w="922"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0.0031</w:t>
            </w:r>
          </w:p>
        </w:tc>
        <w:tc>
          <w:tcPr>
            <w:tcW w:w="888" w:type="pct"/>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0.0015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49" w:type="pct"/>
            <w:vMerge w:val="continue"/>
            <w:vAlign w:val="center"/>
          </w:tcPr>
          <w:p>
            <w:pPr>
              <w:pStyle w:val="332"/>
              <w:rPr>
                <w:color w:val="000000" w:themeColor="text1"/>
                <w14:textFill>
                  <w14:solidFill>
                    <w14:schemeClr w14:val="tx1"/>
                  </w14:solidFill>
                </w14:textFill>
              </w:rPr>
            </w:pPr>
          </w:p>
        </w:tc>
        <w:tc>
          <w:tcPr>
            <w:tcW w:w="448" w:type="pct"/>
            <w:vMerge w:val="continue"/>
            <w:vAlign w:val="center"/>
          </w:tcPr>
          <w:p>
            <w:pPr>
              <w:pStyle w:val="332"/>
              <w:rPr>
                <w:color w:val="000000" w:themeColor="text1"/>
                <w14:textFill>
                  <w14:solidFill>
                    <w14:schemeClr w14:val="tx1"/>
                  </w14:solidFill>
                </w14:textFill>
              </w:rPr>
            </w:pPr>
          </w:p>
        </w:tc>
        <w:tc>
          <w:tcPr>
            <w:tcW w:w="828" w:type="pct"/>
            <w:vMerge w:val="continue"/>
            <w:vAlign w:val="center"/>
          </w:tcPr>
          <w:p>
            <w:pPr>
              <w:pStyle w:val="332"/>
              <w:rPr>
                <w:color w:val="000000" w:themeColor="text1"/>
                <w14:textFill>
                  <w14:solidFill>
                    <w14:schemeClr w14:val="tx1"/>
                  </w14:solidFill>
                </w14:textFill>
              </w:rPr>
            </w:pPr>
          </w:p>
        </w:tc>
        <w:tc>
          <w:tcPr>
            <w:tcW w:w="75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position w:val="-3"/>
                <w:sz w:val="14"/>
                <w:szCs w:val="14"/>
                <w14:textFill>
                  <w14:solidFill>
                    <w14:schemeClr w14:val="tx1"/>
                  </w14:solidFill>
                </w14:textFill>
              </w:rPr>
              <w:t>2</w:t>
            </w:r>
          </w:p>
        </w:tc>
        <w:tc>
          <w:tcPr>
            <w:tcW w:w="906" w:type="pct"/>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4.72</w:t>
            </w:r>
          </w:p>
        </w:tc>
        <w:tc>
          <w:tcPr>
            <w:tcW w:w="922"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0.0029</w:t>
            </w:r>
          </w:p>
        </w:tc>
        <w:tc>
          <w:tcPr>
            <w:tcW w:w="888" w:type="pct"/>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0.0014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49" w:type="pct"/>
            <w:vMerge w:val="continue"/>
            <w:vAlign w:val="center"/>
          </w:tcPr>
          <w:p>
            <w:pPr>
              <w:pStyle w:val="332"/>
              <w:rPr>
                <w:color w:val="000000" w:themeColor="text1"/>
                <w14:textFill>
                  <w14:solidFill>
                    <w14:schemeClr w14:val="tx1"/>
                  </w14:solidFill>
                </w14:textFill>
              </w:rPr>
            </w:pPr>
          </w:p>
        </w:tc>
        <w:tc>
          <w:tcPr>
            <w:tcW w:w="448" w:type="pct"/>
            <w:vMerge w:val="continue"/>
            <w:vAlign w:val="center"/>
          </w:tcPr>
          <w:p>
            <w:pPr>
              <w:pStyle w:val="332"/>
              <w:rPr>
                <w:color w:val="000000" w:themeColor="text1"/>
                <w14:textFill>
                  <w14:solidFill>
                    <w14:schemeClr w14:val="tx1"/>
                  </w14:solidFill>
                </w14:textFill>
              </w:rPr>
            </w:pPr>
          </w:p>
        </w:tc>
        <w:tc>
          <w:tcPr>
            <w:tcW w:w="828" w:type="pct"/>
            <w:vMerge w:val="continue"/>
            <w:vAlign w:val="center"/>
          </w:tcPr>
          <w:p>
            <w:pPr>
              <w:pStyle w:val="332"/>
              <w:rPr>
                <w:color w:val="000000" w:themeColor="text1"/>
                <w14:textFill>
                  <w14:solidFill>
                    <w14:schemeClr w14:val="tx1"/>
                  </w14:solidFill>
                </w14:textFill>
              </w:rPr>
            </w:pPr>
          </w:p>
        </w:tc>
        <w:tc>
          <w:tcPr>
            <w:tcW w:w="75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position w:val="-3"/>
                <w:sz w:val="14"/>
                <w:szCs w:val="14"/>
                <w14:textFill>
                  <w14:solidFill>
                    <w14:schemeClr w14:val="tx1"/>
                  </w14:solidFill>
                </w14:textFill>
              </w:rPr>
              <w:t>x</w:t>
            </w:r>
          </w:p>
        </w:tc>
        <w:tc>
          <w:tcPr>
            <w:tcW w:w="906" w:type="pct"/>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148</w:t>
            </w:r>
          </w:p>
        </w:tc>
        <w:tc>
          <w:tcPr>
            <w:tcW w:w="922"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0.094</w:t>
            </w:r>
          </w:p>
        </w:tc>
        <w:tc>
          <w:tcPr>
            <w:tcW w:w="888" w:type="pct"/>
            <w:vAlign w:val="center"/>
          </w:tcPr>
          <w:p>
            <w:pPr>
              <w:pStyle w:val="332"/>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0.045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25" w:type="pct"/>
            <w:gridSpan w:val="3"/>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一般排放口合计</w:t>
            </w:r>
          </w:p>
        </w:tc>
        <w:tc>
          <w:tcPr>
            <w:tcW w:w="2587"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888"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0.00017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25" w:type="pct"/>
            <w:gridSpan w:val="3"/>
            <w:vMerge w:val="continue"/>
            <w:vAlign w:val="center"/>
          </w:tcPr>
          <w:p>
            <w:pPr>
              <w:pStyle w:val="332"/>
              <w:rPr>
                <w:color w:val="000000" w:themeColor="text1"/>
                <w14:textFill>
                  <w14:solidFill>
                    <w14:schemeClr w14:val="tx1"/>
                  </w14:solidFill>
                </w14:textFill>
              </w:rPr>
            </w:pPr>
          </w:p>
        </w:tc>
        <w:tc>
          <w:tcPr>
            <w:tcW w:w="2587"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c>
          <w:tcPr>
            <w:tcW w:w="888"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0.0000014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25" w:type="pct"/>
            <w:gridSpan w:val="3"/>
            <w:vMerge w:val="continue"/>
            <w:vAlign w:val="center"/>
          </w:tcPr>
          <w:p>
            <w:pPr>
              <w:pStyle w:val="332"/>
              <w:rPr>
                <w:color w:val="000000" w:themeColor="text1"/>
                <w14:textFill>
                  <w14:solidFill>
                    <w14:schemeClr w14:val="tx1"/>
                  </w14:solidFill>
                </w14:textFill>
              </w:rPr>
            </w:pPr>
          </w:p>
        </w:tc>
        <w:tc>
          <w:tcPr>
            <w:tcW w:w="2587"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position w:val="-3"/>
                <w:sz w:val="14"/>
                <w:szCs w:val="14"/>
                <w14:textFill>
                  <w14:solidFill>
                    <w14:schemeClr w14:val="tx1"/>
                  </w14:solidFill>
                </w14:textFill>
              </w:rPr>
              <w:t>10</w:t>
            </w:r>
          </w:p>
        </w:tc>
        <w:tc>
          <w:tcPr>
            <w:tcW w:w="888"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0.0015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25" w:type="pct"/>
            <w:gridSpan w:val="3"/>
            <w:vMerge w:val="continue"/>
            <w:vAlign w:val="center"/>
          </w:tcPr>
          <w:p>
            <w:pPr>
              <w:pStyle w:val="332"/>
              <w:rPr>
                <w:color w:val="000000" w:themeColor="text1"/>
                <w14:textFill>
                  <w14:solidFill>
                    <w14:schemeClr w14:val="tx1"/>
                  </w14:solidFill>
                </w14:textFill>
              </w:rPr>
            </w:pPr>
          </w:p>
        </w:tc>
        <w:tc>
          <w:tcPr>
            <w:tcW w:w="2587"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position w:val="-3"/>
                <w:sz w:val="14"/>
                <w:szCs w:val="14"/>
                <w14:textFill>
                  <w14:solidFill>
                    <w14:schemeClr w14:val="tx1"/>
                  </w14:solidFill>
                </w14:textFill>
              </w:rPr>
              <w:t>2</w:t>
            </w:r>
          </w:p>
        </w:tc>
        <w:tc>
          <w:tcPr>
            <w:tcW w:w="888"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0.0014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25" w:type="pct"/>
            <w:gridSpan w:val="3"/>
            <w:vMerge w:val="continue"/>
            <w:vAlign w:val="center"/>
          </w:tcPr>
          <w:p>
            <w:pPr>
              <w:pStyle w:val="332"/>
              <w:rPr>
                <w:color w:val="000000" w:themeColor="text1"/>
                <w14:textFill>
                  <w14:solidFill>
                    <w14:schemeClr w14:val="tx1"/>
                  </w14:solidFill>
                </w14:textFill>
              </w:rPr>
            </w:pPr>
          </w:p>
        </w:tc>
        <w:tc>
          <w:tcPr>
            <w:tcW w:w="2587"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position w:val="-3"/>
                <w:sz w:val="14"/>
                <w:szCs w:val="14"/>
                <w14:textFill>
                  <w14:solidFill>
                    <w14:schemeClr w14:val="tx1"/>
                  </w14:solidFill>
                </w14:textFill>
              </w:rPr>
              <w:t>x</w:t>
            </w:r>
          </w:p>
        </w:tc>
        <w:tc>
          <w:tcPr>
            <w:tcW w:w="888"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0.045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5000"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全厂有组织排放总计</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25" w:type="pct"/>
            <w:gridSpan w:val="3"/>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全厂有组织排放总计</w:t>
            </w:r>
          </w:p>
        </w:tc>
        <w:tc>
          <w:tcPr>
            <w:tcW w:w="2587"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888"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0.00017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25" w:type="pct"/>
            <w:gridSpan w:val="3"/>
            <w:vMerge w:val="continue"/>
            <w:vAlign w:val="center"/>
          </w:tcPr>
          <w:p>
            <w:pPr>
              <w:pStyle w:val="332"/>
              <w:rPr>
                <w:color w:val="000000" w:themeColor="text1"/>
                <w14:textFill>
                  <w14:solidFill>
                    <w14:schemeClr w14:val="tx1"/>
                  </w14:solidFill>
                </w14:textFill>
              </w:rPr>
            </w:pPr>
          </w:p>
        </w:tc>
        <w:tc>
          <w:tcPr>
            <w:tcW w:w="2587"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c>
          <w:tcPr>
            <w:tcW w:w="888"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0.0000014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25" w:type="pct"/>
            <w:gridSpan w:val="3"/>
            <w:vMerge w:val="continue"/>
            <w:vAlign w:val="center"/>
          </w:tcPr>
          <w:p>
            <w:pPr>
              <w:pStyle w:val="332"/>
              <w:rPr>
                <w:color w:val="000000" w:themeColor="text1"/>
                <w14:textFill>
                  <w14:solidFill>
                    <w14:schemeClr w14:val="tx1"/>
                  </w14:solidFill>
                </w14:textFill>
              </w:rPr>
            </w:pPr>
          </w:p>
        </w:tc>
        <w:tc>
          <w:tcPr>
            <w:tcW w:w="2587"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position w:val="-3"/>
                <w:sz w:val="14"/>
                <w:szCs w:val="14"/>
                <w14:textFill>
                  <w14:solidFill>
                    <w14:schemeClr w14:val="tx1"/>
                  </w14:solidFill>
                </w14:textFill>
              </w:rPr>
              <w:t>10</w:t>
            </w:r>
          </w:p>
        </w:tc>
        <w:tc>
          <w:tcPr>
            <w:tcW w:w="888"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0.0015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25" w:type="pct"/>
            <w:gridSpan w:val="3"/>
            <w:vMerge w:val="continue"/>
            <w:vAlign w:val="center"/>
          </w:tcPr>
          <w:p>
            <w:pPr>
              <w:pStyle w:val="332"/>
              <w:rPr>
                <w:color w:val="000000" w:themeColor="text1"/>
                <w14:textFill>
                  <w14:solidFill>
                    <w14:schemeClr w14:val="tx1"/>
                  </w14:solidFill>
                </w14:textFill>
              </w:rPr>
            </w:pPr>
          </w:p>
        </w:tc>
        <w:tc>
          <w:tcPr>
            <w:tcW w:w="2587"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position w:val="-3"/>
                <w:sz w:val="14"/>
                <w:szCs w:val="14"/>
                <w14:textFill>
                  <w14:solidFill>
                    <w14:schemeClr w14:val="tx1"/>
                  </w14:solidFill>
                </w14:textFill>
              </w:rPr>
              <w:t>2</w:t>
            </w:r>
          </w:p>
        </w:tc>
        <w:tc>
          <w:tcPr>
            <w:tcW w:w="888"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0.0014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525" w:type="pct"/>
            <w:gridSpan w:val="3"/>
            <w:vMerge w:val="continue"/>
            <w:vAlign w:val="center"/>
          </w:tcPr>
          <w:p>
            <w:pPr>
              <w:pStyle w:val="332"/>
              <w:rPr>
                <w:color w:val="000000" w:themeColor="text1"/>
                <w14:textFill>
                  <w14:solidFill>
                    <w14:schemeClr w14:val="tx1"/>
                  </w14:solidFill>
                </w14:textFill>
              </w:rPr>
            </w:pPr>
          </w:p>
        </w:tc>
        <w:tc>
          <w:tcPr>
            <w:tcW w:w="2587"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position w:val="-3"/>
                <w:sz w:val="14"/>
                <w:szCs w:val="14"/>
                <w14:textFill>
                  <w14:solidFill>
                    <w14:schemeClr w14:val="tx1"/>
                  </w14:solidFill>
                </w14:textFill>
              </w:rPr>
              <w:t>x</w:t>
            </w:r>
          </w:p>
        </w:tc>
        <w:tc>
          <w:tcPr>
            <w:tcW w:w="888"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0.045</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表5.2-13 大气污染物无组织排放核算表</w:t>
      </w:r>
    </w:p>
    <w:p>
      <w:pPr>
        <w:kinsoku w:val="0"/>
        <w:overflowPunct w:val="0"/>
        <w:autoSpaceDE w:val="0"/>
        <w:autoSpaceDN w:val="0"/>
        <w:adjustRightInd w:val="0"/>
        <w:spacing w:before="7" w:line="240" w:lineRule="auto"/>
        <w:ind w:firstLine="0" w:firstLineChars="0"/>
        <w:jc w:val="left"/>
        <w:rPr>
          <w:rFonts w:cs="Times New Roman"/>
          <w:color w:val="000000" w:themeColor="text1"/>
          <w:kern w:val="0"/>
          <w:sz w:val="4"/>
          <w:szCs w:val="4"/>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451"/>
        <w:gridCol w:w="533"/>
        <w:gridCol w:w="572"/>
        <w:gridCol w:w="714"/>
        <w:gridCol w:w="2710"/>
        <w:gridCol w:w="1999"/>
        <w:gridCol w:w="1141"/>
        <w:gridCol w:w="981"/>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48"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293"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排放口</w:t>
            </w:r>
            <w:r>
              <w:rPr>
                <w:color w:val="000000" w:themeColor="text1"/>
                <w:spacing w:val="-102"/>
                <w14:textFill>
                  <w14:solidFill>
                    <w14:schemeClr w14:val="tx1"/>
                  </w14:solidFill>
                </w14:textFill>
              </w:rPr>
              <w:t xml:space="preserve"> </w:t>
            </w:r>
            <w:r>
              <w:rPr>
                <w:color w:val="000000" w:themeColor="text1"/>
                <w14:textFill>
                  <w14:solidFill>
                    <w14:schemeClr w14:val="tx1"/>
                  </w14:solidFill>
                </w14:textFill>
              </w:rPr>
              <w:t>编号</w:t>
            </w:r>
          </w:p>
        </w:tc>
        <w:tc>
          <w:tcPr>
            <w:tcW w:w="314"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产污环节</w:t>
            </w:r>
          </w:p>
        </w:tc>
        <w:tc>
          <w:tcPr>
            <w:tcW w:w="392"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48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主要污染防治措施</w:t>
            </w:r>
          </w:p>
        </w:tc>
        <w:tc>
          <w:tcPr>
            <w:tcW w:w="1725"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国家或地方污染物排放标准</w:t>
            </w:r>
          </w:p>
        </w:tc>
        <w:tc>
          <w:tcPr>
            <w:tcW w:w="539"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年排放量/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48"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293"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314"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392"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1489" w:type="pct"/>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109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标准名称</w:t>
            </w:r>
          </w:p>
        </w:tc>
        <w:tc>
          <w:tcPr>
            <w:tcW w:w="627"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浓度限值/</w:t>
            </w:r>
          </w:p>
          <w:p>
            <w:pPr>
              <w:pStyle w:val="332"/>
              <w:rPr>
                <w:color w:val="000000" w:themeColor="text1"/>
                <w14:textFill>
                  <w14:solidFill>
                    <w14:schemeClr w14:val="tx1"/>
                  </w14:solidFill>
                </w14:textFill>
              </w:rPr>
            </w:pPr>
            <w:r>
              <w:rPr>
                <w:color w:val="000000" w:themeColor="text1"/>
                <w:w w:val="105"/>
                <w14:textFill>
                  <w14:solidFill>
                    <w14:schemeClr w14:val="tx1"/>
                  </w14:solidFill>
                </w14:textFill>
              </w:rPr>
              <w:t>（</w:t>
            </w:r>
            <w:r>
              <w:rPr>
                <w:color w:val="000000" w:themeColor="text1"/>
                <w14:textFill>
                  <w14:solidFill>
                    <w14:schemeClr w14:val="tx1"/>
                  </w14:solidFill>
                </w14:textFill>
              </w:rPr>
              <w:t>mg/m³</w:t>
            </w:r>
            <w:r>
              <w:rPr>
                <w:color w:val="000000" w:themeColor="text1"/>
                <w:w w:val="105"/>
                <w14:textFill>
                  <w14:solidFill>
                    <w14:schemeClr w14:val="tx1"/>
                  </w14:solidFill>
                </w14:textFill>
              </w:rPr>
              <w:t>）</w:t>
            </w:r>
          </w:p>
        </w:tc>
        <w:tc>
          <w:tcPr>
            <w:tcW w:w="539" w:type="pct"/>
            <w:vMerge w:val="continue"/>
            <w:tcBorders>
              <w:bottom w:val="single" w:color="auto" w:sz="12" w:space="0"/>
            </w:tcBorders>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48" w:type="pct"/>
            <w:vMerge w:val="restar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293" w:type="pct"/>
            <w:vMerge w:val="restar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314" w:type="pct"/>
            <w:vMerge w:val="restar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spacing w:val="6"/>
                <w14:textFill>
                  <w14:solidFill>
                    <w14:schemeClr w14:val="tx1"/>
                  </w14:solidFill>
                </w14:textFill>
              </w:rPr>
              <w:t>猪舍</w:t>
            </w:r>
          </w:p>
        </w:tc>
        <w:tc>
          <w:tcPr>
            <w:tcW w:w="392"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489" w:type="pct"/>
            <w:vMerge w:val="restart"/>
            <w:tcBorders>
              <w:top w:val="single" w:color="auto" w:sz="12" w:space="0"/>
              <w:bottom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及时清理</w:t>
            </w:r>
            <w:r>
              <w:rPr>
                <w:color w:val="000000" w:themeColor="text1"/>
                <w:spacing w:val="-5"/>
                <w14:textFill>
                  <w14:solidFill>
                    <w14:schemeClr w14:val="tx1"/>
                  </w14:solidFill>
                </w14:textFill>
              </w:rPr>
              <w:t>猪舍、适当</w:t>
            </w:r>
            <w:r>
              <w:rPr>
                <w:color w:val="000000" w:themeColor="text1"/>
                <w:spacing w:val="-103"/>
                <w14:textFill>
                  <w14:solidFill>
                    <w14:schemeClr w14:val="tx1"/>
                  </w14:solidFill>
                </w14:textFill>
              </w:rPr>
              <w:t xml:space="preserve"> </w:t>
            </w:r>
            <w:r>
              <w:rPr>
                <w:color w:val="000000" w:themeColor="text1"/>
                <w:spacing w:val="-5"/>
                <w14:textFill>
                  <w14:solidFill>
                    <w14:schemeClr w14:val="tx1"/>
                  </w14:solidFill>
                </w14:textFill>
              </w:rPr>
              <w:t>的通风、饲</w:t>
            </w:r>
            <w:r>
              <w:rPr>
                <w:color w:val="000000" w:themeColor="text1"/>
                <w14:textFill>
                  <w14:solidFill>
                    <w14:schemeClr w14:val="tx1"/>
                  </w14:solidFill>
                </w14:textFill>
              </w:rPr>
              <w:t>料中添加EM；定期进行喷洒除臭剂</w:t>
            </w:r>
          </w:p>
        </w:tc>
        <w:tc>
          <w:tcPr>
            <w:tcW w:w="1098" w:type="pct"/>
            <w:vMerge w:val="restart"/>
            <w:tcBorders>
              <w:top w:val="single" w:color="auto" w:sz="12" w:space="0"/>
              <w:bottom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满足《恶臭污染物排放标</w:t>
            </w:r>
            <w:r>
              <w:rPr>
                <w:color w:val="000000" w:themeColor="text1"/>
                <w:spacing w:val="-8"/>
                <w14:textFill>
                  <w14:solidFill>
                    <w14:schemeClr w14:val="tx1"/>
                  </w14:solidFill>
                </w14:textFill>
              </w:rPr>
              <w:t>准》（GB14554-93）表</w:t>
            </w:r>
            <w:r>
              <w:rPr>
                <w:color w:val="000000" w:themeColor="text1"/>
                <w:spacing w:val="-48"/>
                <w14:textFill>
                  <w14:solidFill>
                    <w14:schemeClr w14:val="tx1"/>
                  </w14:solidFill>
                </w14:textFill>
              </w:rPr>
              <w:t xml:space="preserve"> </w:t>
            </w:r>
            <w:r>
              <w:rPr>
                <w:color w:val="000000" w:themeColor="text1"/>
                <w14:textFill>
                  <w14:solidFill>
                    <w14:schemeClr w14:val="tx1"/>
                  </w14:solidFill>
                </w14:textFill>
              </w:rPr>
              <w:t>1要求</w:t>
            </w:r>
          </w:p>
        </w:tc>
        <w:tc>
          <w:tcPr>
            <w:tcW w:w="627"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w:t>
            </w:r>
          </w:p>
        </w:tc>
        <w:tc>
          <w:tcPr>
            <w:tcW w:w="539" w:type="pct"/>
            <w:tcBorders>
              <w:top w:val="single" w:color="auto" w:sz="12"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0.060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48" w:type="pct"/>
            <w:vMerge w:val="continue"/>
            <w:tcBorders>
              <w:top w:val="single" w:color="000000" w:sz="4" w:space="0"/>
              <w:bottom w:val="single" w:color="000000" w:sz="4" w:space="0"/>
            </w:tcBorders>
            <w:vAlign w:val="center"/>
          </w:tcPr>
          <w:p>
            <w:pPr>
              <w:pStyle w:val="332"/>
              <w:rPr>
                <w:color w:val="000000" w:themeColor="text1"/>
                <w14:textFill>
                  <w14:solidFill>
                    <w14:schemeClr w14:val="tx1"/>
                  </w14:solidFill>
                </w14:textFill>
              </w:rPr>
            </w:pPr>
          </w:p>
        </w:tc>
        <w:tc>
          <w:tcPr>
            <w:tcW w:w="293" w:type="pct"/>
            <w:vMerge w:val="continue"/>
            <w:tcBorders>
              <w:top w:val="single" w:color="000000" w:sz="4" w:space="0"/>
              <w:bottom w:val="single" w:color="000000" w:sz="4" w:space="0"/>
            </w:tcBorders>
            <w:vAlign w:val="center"/>
          </w:tcPr>
          <w:p>
            <w:pPr>
              <w:pStyle w:val="332"/>
              <w:rPr>
                <w:color w:val="000000" w:themeColor="text1"/>
                <w14:textFill>
                  <w14:solidFill>
                    <w14:schemeClr w14:val="tx1"/>
                  </w14:solidFill>
                </w14:textFill>
              </w:rPr>
            </w:pPr>
          </w:p>
        </w:tc>
        <w:tc>
          <w:tcPr>
            <w:tcW w:w="314" w:type="pct"/>
            <w:vMerge w:val="continue"/>
            <w:tcBorders>
              <w:top w:val="single" w:color="000000" w:sz="4" w:space="0"/>
              <w:bottom w:val="single" w:color="000000" w:sz="4" w:space="0"/>
            </w:tcBorders>
            <w:vAlign w:val="center"/>
          </w:tcPr>
          <w:p>
            <w:pPr>
              <w:pStyle w:val="332"/>
              <w:rPr>
                <w:color w:val="000000" w:themeColor="text1"/>
                <w14:textFill>
                  <w14:solidFill>
                    <w14:schemeClr w14:val="tx1"/>
                  </w14:solidFill>
                </w14:textFill>
              </w:rPr>
            </w:pPr>
          </w:p>
        </w:tc>
        <w:tc>
          <w:tcPr>
            <w:tcW w:w="392" w:type="pct"/>
            <w:tcBorders>
              <w:top w:val="single" w:color="000000" w:sz="4"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c>
          <w:tcPr>
            <w:tcW w:w="1489" w:type="pct"/>
            <w:vMerge w:val="continue"/>
            <w:tcBorders>
              <w:top w:val="single" w:color="000000" w:sz="4" w:space="0"/>
              <w:bottom w:val="single" w:color="000000" w:sz="4" w:space="0"/>
            </w:tcBorders>
            <w:vAlign w:val="center"/>
          </w:tcPr>
          <w:p>
            <w:pPr>
              <w:pStyle w:val="332"/>
              <w:rPr>
                <w:color w:val="000000" w:themeColor="text1"/>
                <w14:textFill>
                  <w14:solidFill>
                    <w14:schemeClr w14:val="tx1"/>
                  </w14:solidFill>
                </w14:textFill>
              </w:rPr>
            </w:pPr>
          </w:p>
        </w:tc>
        <w:tc>
          <w:tcPr>
            <w:tcW w:w="1098" w:type="pct"/>
            <w:vMerge w:val="continue"/>
            <w:tcBorders>
              <w:top w:val="single" w:color="000000" w:sz="4" w:space="0"/>
              <w:bottom w:val="single" w:color="000000" w:sz="4" w:space="0"/>
            </w:tcBorders>
            <w:vAlign w:val="center"/>
          </w:tcPr>
          <w:p>
            <w:pPr>
              <w:pStyle w:val="332"/>
              <w:rPr>
                <w:color w:val="000000" w:themeColor="text1"/>
                <w14:textFill>
                  <w14:solidFill>
                    <w14:schemeClr w14:val="tx1"/>
                  </w14:solidFill>
                </w14:textFill>
              </w:rPr>
            </w:pPr>
          </w:p>
        </w:tc>
        <w:tc>
          <w:tcPr>
            <w:tcW w:w="627" w:type="pct"/>
            <w:tcBorders>
              <w:top w:val="single" w:color="000000" w:sz="4"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539" w:type="pct"/>
            <w:tcBorders>
              <w:top w:val="single" w:color="000000" w:sz="4"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0.0058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48" w:type="pct"/>
            <w:vMerge w:val="restar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293" w:type="pct"/>
            <w:vMerge w:val="restar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314" w:type="pct"/>
            <w:vMerge w:val="restar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黑膜沼气池</w:t>
            </w:r>
          </w:p>
        </w:tc>
        <w:tc>
          <w:tcPr>
            <w:tcW w:w="392" w:type="pct"/>
            <w:tcBorders>
              <w:top w:val="single" w:color="000000" w:sz="4"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489" w:type="pct"/>
            <w:vMerge w:val="restart"/>
            <w:tcBorders>
              <w:top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黑膜沼气池密闭，定期喷洒除臭剂，加强绿化</w:t>
            </w:r>
          </w:p>
        </w:tc>
        <w:tc>
          <w:tcPr>
            <w:tcW w:w="1098" w:type="pct"/>
            <w:vMerge w:val="restart"/>
            <w:tcBorders>
              <w:top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满足《恶臭污染物排放标</w:t>
            </w:r>
            <w:r>
              <w:rPr>
                <w:color w:val="000000" w:themeColor="text1"/>
                <w:spacing w:val="-8"/>
                <w14:textFill>
                  <w14:solidFill>
                    <w14:schemeClr w14:val="tx1"/>
                  </w14:solidFill>
                </w14:textFill>
              </w:rPr>
              <w:t>准》（GB14554-93）表</w:t>
            </w:r>
            <w:r>
              <w:rPr>
                <w:color w:val="000000" w:themeColor="text1"/>
                <w:spacing w:val="-48"/>
                <w14:textFill>
                  <w14:solidFill>
                    <w14:schemeClr w14:val="tx1"/>
                  </w14:solidFill>
                </w14:textFill>
              </w:rPr>
              <w:t xml:space="preserve"> </w:t>
            </w:r>
            <w:r>
              <w:rPr>
                <w:color w:val="000000" w:themeColor="text1"/>
                <w14:textFill>
                  <w14:solidFill>
                    <w14:schemeClr w14:val="tx1"/>
                  </w14:solidFill>
                </w14:textFill>
              </w:rPr>
              <w:t>1要求</w:t>
            </w:r>
          </w:p>
        </w:tc>
        <w:tc>
          <w:tcPr>
            <w:tcW w:w="627"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w:t>
            </w:r>
          </w:p>
        </w:tc>
        <w:tc>
          <w:tcPr>
            <w:tcW w:w="539"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0.031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48" w:type="pct"/>
            <w:vMerge w:val="continue"/>
            <w:tcBorders>
              <w:bottom w:val="single" w:color="000000" w:sz="4" w:space="0"/>
            </w:tcBorders>
            <w:vAlign w:val="center"/>
          </w:tcPr>
          <w:p>
            <w:pPr>
              <w:pStyle w:val="332"/>
              <w:rPr>
                <w:color w:val="000000" w:themeColor="text1"/>
                <w14:textFill>
                  <w14:solidFill>
                    <w14:schemeClr w14:val="tx1"/>
                  </w14:solidFill>
                </w14:textFill>
              </w:rPr>
            </w:pPr>
          </w:p>
        </w:tc>
        <w:tc>
          <w:tcPr>
            <w:tcW w:w="293" w:type="pct"/>
            <w:vMerge w:val="continue"/>
            <w:tcBorders>
              <w:bottom w:val="single" w:color="000000" w:sz="4" w:space="0"/>
            </w:tcBorders>
            <w:vAlign w:val="center"/>
          </w:tcPr>
          <w:p>
            <w:pPr>
              <w:pStyle w:val="332"/>
              <w:rPr>
                <w:color w:val="000000" w:themeColor="text1"/>
                <w14:textFill>
                  <w14:solidFill>
                    <w14:schemeClr w14:val="tx1"/>
                  </w14:solidFill>
                </w14:textFill>
              </w:rPr>
            </w:pPr>
          </w:p>
        </w:tc>
        <w:tc>
          <w:tcPr>
            <w:tcW w:w="314" w:type="pct"/>
            <w:vMerge w:val="continue"/>
            <w:tcBorders>
              <w:bottom w:val="single" w:color="000000" w:sz="4" w:space="0"/>
            </w:tcBorders>
            <w:vAlign w:val="center"/>
          </w:tcPr>
          <w:p>
            <w:pPr>
              <w:pStyle w:val="332"/>
              <w:rPr>
                <w:color w:val="000000" w:themeColor="text1"/>
                <w14:textFill>
                  <w14:solidFill>
                    <w14:schemeClr w14:val="tx1"/>
                  </w14:solidFill>
                </w14:textFill>
              </w:rPr>
            </w:pPr>
          </w:p>
        </w:tc>
        <w:tc>
          <w:tcPr>
            <w:tcW w:w="392" w:type="pct"/>
            <w:tcBorders>
              <w:top w:val="single" w:color="000000" w:sz="4"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c>
          <w:tcPr>
            <w:tcW w:w="1489" w:type="pct"/>
            <w:vMerge w:val="continue"/>
            <w:tcBorders>
              <w:bottom w:val="single" w:color="000000" w:sz="4" w:space="0"/>
            </w:tcBorders>
            <w:vAlign w:val="center"/>
          </w:tcPr>
          <w:p>
            <w:pPr>
              <w:pStyle w:val="332"/>
              <w:rPr>
                <w:color w:val="000000" w:themeColor="text1"/>
                <w14:textFill>
                  <w14:solidFill>
                    <w14:schemeClr w14:val="tx1"/>
                  </w14:solidFill>
                </w14:textFill>
              </w:rPr>
            </w:pPr>
          </w:p>
        </w:tc>
        <w:tc>
          <w:tcPr>
            <w:tcW w:w="1098" w:type="pct"/>
            <w:vMerge w:val="continue"/>
            <w:tcBorders>
              <w:bottom w:val="single" w:color="000000" w:sz="4" w:space="0"/>
            </w:tcBorders>
            <w:vAlign w:val="center"/>
          </w:tcPr>
          <w:p>
            <w:pPr>
              <w:pStyle w:val="332"/>
              <w:rPr>
                <w:color w:val="000000" w:themeColor="text1"/>
                <w14:textFill>
                  <w14:solidFill>
                    <w14:schemeClr w14:val="tx1"/>
                  </w14:solidFill>
                </w14:textFill>
              </w:rPr>
            </w:pPr>
          </w:p>
        </w:tc>
        <w:tc>
          <w:tcPr>
            <w:tcW w:w="627" w:type="pct"/>
            <w:tcBorders>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539" w:type="pct"/>
            <w:tcBorders>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0.000076</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48" w:type="pct"/>
            <w:vMerge w:val="restar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293" w:type="pct"/>
            <w:vMerge w:val="restar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314" w:type="pct"/>
            <w:vMerge w:val="restar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沼液存储池</w:t>
            </w:r>
          </w:p>
        </w:tc>
        <w:tc>
          <w:tcPr>
            <w:tcW w:w="392" w:type="pct"/>
            <w:tcBorders>
              <w:top w:val="single" w:color="000000" w:sz="4"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489" w:type="pct"/>
            <w:vMerge w:val="restart"/>
            <w:tcBorders>
              <w:top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沼液储存池顶部覆盖HDPE膜进行封闭，喷洒除臭剂，加强场区绿化</w:t>
            </w:r>
          </w:p>
        </w:tc>
        <w:tc>
          <w:tcPr>
            <w:tcW w:w="1098" w:type="pct"/>
            <w:vMerge w:val="restart"/>
            <w:tcBorders>
              <w:top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满足《恶臭污染物排放标</w:t>
            </w:r>
            <w:r>
              <w:rPr>
                <w:color w:val="000000" w:themeColor="text1"/>
                <w:spacing w:val="-8"/>
                <w14:textFill>
                  <w14:solidFill>
                    <w14:schemeClr w14:val="tx1"/>
                  </w14:solidFill>
                </w14:textFill>
              </w:rPr>
              <w:t>准》（GB14554-93）表</w:t>
            </w:r>
            <w:r>
              <w:rPr>
                <w:color w:val="000000" w:themeColor="text1"/>
                <w:spacing w:val="-48"/>
                <w14:textFill>
                  <w14:solidFill>
                    <w14:schemeClr w14:val="tx1"/>
                  </w14:solidFill>
                </w14:textFill>
              </w:rPr>
              <w:t xml:space="preserve"> </w:t>
            </w:r>
            <w:r>
              <w:rPr>
                <w:color w:val="000000" w:themeColor="text1"/>
                <w14:textFill>
                  <w14:solidFill>
                    <w14:schemeClr w14:val="tx1"/>
                  </w14:solidFill>
                </w14:textFill>
              </w:rPr>
              <w:t>1要求</w:t>
            </w:r>
          </w:p>
        </w:tc>
        <w:tc>
          <w:tcPr>
            <w:tcW w:w="627"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w:t>
            </w:r>
          </w:p>
        </w:tc>
        <w:tc>
          <w:tcPr>
            <w:tcW w:w="539"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0.009</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48" w:type="pct"/>
            <w:vMerge w:val="continue"/>
            <w:tcBorders>
              <w:bottom w:val="single" w:color="000000" w:sz="4" w:space="0"/>
            </w:tcBorders>
            <w:vAlign w:val="center"/>
          </w:tcPr>
          <w:p>
            <w:pPr>
              <w:pStyle w:val="332"/>
              <w:rPr>
                <w:color w:val="000000" w:themeColor="text1"/>
                <w14:textFill>
                  <w14:solidFill>
                    <w14:schemeClr w14:val="tx1"/>
                  </w14:solidFill>
                </w14:textFill>
              </w:rPr>
            </w:pPr>
          </w:p>
        </w:tc>
        <w:tc>
          <w:tcPr>
            <w:tcW w:w="293" w:type="pct"/>
            <w:vMerge w:val="continue"/>
            <w:tcBorders>
              <w:bottom w:val="single" w:color="000000" w:sz="4" w:space="0"/>
            </w:tcBorders>
            <w:vAlign w:val="center"/>
          </w:tcPr>
          <w:p>
            <w:pPr>
              <w:pStyle w:val="332"/>
              <w:rPr>
                <w:color w:val="000000" w:themeColor="text1"/>
                <w14:textFill>
                  <w14:solidFill>
                    <w14:schemeClr w14:val="tx1"/>
                  </w14:solidFill>
                </w14:textFill>
              </w:rPr>
            </w:pPr>
          </w:p>
        </w:tc>
        <w:tc>
          <w:tcPr>
            <w:tcW w:w="314" w:type="pct"/>
            <w:vMerge w:val="continue"/>
            <w:tcBorders>
              <w:bottom w:val="single" w:color="000000" w:sz="4" w:space="0"/>
            </w:tcBorders>
            <w:vAlign w:val="center"/>
          </w:tcPr>
          <w:p>
            <w:pPr>
              <w:pStyle w:val="332"/>
              <w:rPr>
                <w:color w:val="000000" w:themeColor="text1"/>
                <w14:textFill>
                  <w14:solidFill>
                    <w14:schemeClr w14:val="tx1"/>
                  </w14:solidFill>
                </w14:textFill>
              </w:rPr>
            </w:pPr>
          </w:p>
        </w:tc>
        <w:tc>
          <w:tcPr>
            <w:tcW w:w="392" w:type="pct"/>
            <w:tcBorders>
              <w:top w:val="single" w:color="000000" w:sz="4"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c>
          <w:tcPr>
            <w:tcW w:w="1489" w:type="pct"/>
            <w:vMerge w:val="continue"/>
            <w:tcBorders>
              <w:bottom w:val="single" w:color="000000" w:sz="4" w:space="0"/>
            </w:tcBorders>
            <w:vAlign w:val="center"/>
          </w:tcPr>
          <w:p>
            <w:pPr>
              <w:pStyle w:val="332"/>
              <w:rPr>
                <w:color w:val="000000" w:themeColor="text1"/>
                <w14:textFill>
                  <w14:solidFill>
                    <w14:schemeClr w14:val="tx1"/>
                  </w14:solidFill>
                </w14:textFill>
              </w:rPr>
            </w:pPr>
          </w:p>
        </w:tc>
        <w:tc>
          <w:tcPr>
            <w:tcW w:w="1098" w:type="pct"/>
            <w:vMerge w:val="continue"/>
            <w:tcBorders>
              <w:bottom w:val="single" w:color="000000" w:sz="4" w:space="0"/>
            </w:tcBorders>
            <w:vAlign w:val="center"/>
          </w:tcPr>
          <w:p>
            <w:pPr>
              <w:pStyle w:val="332"/>
              <w:rPr>
                <w:color w:val="000000" w:themeColor="text1"/>
                <w14:textFill>
                  <w14:solidFill>
                    <w14:schemeClr w14:val="tx1"/>
                  </w14:solidFill>
                </w14:textFill>
              </w:rPr>
            </w:pPr>
          </w:p>
        </w:tc>
        <w:tc>
          <w:tcPr>
            <w:tcW w:w="627" w:type="pct"/>
            <w:tcBorders>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539" w:type="pct"/>
            <w:tcBorders>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48" w:type="pct"/>
            <w:vMerge w:val="restar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293" w:type="pct"/>
            <w:vMerge w:val="restar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314" w:type="pct"/>
            <w:vMerge w:val="restar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固粪处理区</w:t>
            </w:r>
          </w:p>
        </w:tc>
        <w:tc>
          <w:tcPr>
            <w:tcW w:w="392" w:type="pct"/>
            <w:tcBorders>
              <w:top w:val="single" w:color="000000" w:sz="4"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489" w:type="pct"/>
            <w:vMerge w:val="restart"/>
            <w:tcBorders>
              <w:top w:val="single" w:color="000000" w:sz="4" w:space="0"/>
            </w:tcBorders>
            <w:vAlign w:val="center"/>
          </w:tcPr>
          <w:p>
            <w:pPr>
              <w:pStyle w:val="332"/>
              <w:jc w:val="both"/>
              <w:rPr>
                <w:color w:val="000000" w:themeColor="text1"/>
                <w14:textFill>
                  <w14:solidFill>
                    <w14:schemeClr w14:val="tx1"/>
                  </w14:solidFill>
                </w14:textFill>
              </w:rPr>
            </w:pPr>
            <w:r>
              <w:rPr>
                <w:color w:val="000000" w:themeColor="text1"/>
                <w:lang w:bidi="en-US"/>
                <w14:textFill>
                  <w14:solidFill>
                    <w14:schemeClr w14:val="tx1"/>
                  </w14:solidFill>
                </w14:textFill>
              </w:rPr>
              <w:t>设置为封闭阳光房，</w:t>
            </w:r>
            <w:r>
              <w:rPr>
                <w:color w:val="000000" w:themeColor="text1"/>
                <w14:textFill>
                  <w14:solidFill>
                    <w14:schemeClr w14:val="tx1"/>
                  </w14:solidFill>
                </w14:textFill>
              </w:rPr>
              <w:t>加强通风，</w:t>
            </w:r>
            <w:r>
              <w:rPr>
                <w:color w:val="000000" w:themeColor="text1"/>
                <w:lang w:bidi="en-US"/>
                <w14:textFill>
                  <w14:solidFill>
                    <w14:schemeClr w14:val="tx1"/>
                  </w14:solidFill>
                </w14:textFill>
              </w:rPr>
              <w:t>出风口</w:t>
            </w:r>
            <w:r>
              <w:rPr>
                <w:color w:val="000000" w:themeColor="text1"/>
                <w14:textFill>
                  <w14:solidFill>
                    <w14:schemeClr w14:val="tx1"/>
                  </w14:solidFill>
                </w14:textFill>
              </w:rPr>
              <w:t>处设置喷淋除臭网，</w:t>
            </w:r>
            <w:r>
              <w:rPr>
                <w:color w:val="000000" w:themeColor="text1"/>
                <w:lang w:bidi="en-US"/>
                <w14:textFill>
                  <w14:solidFill>
                    <w14:schemeClr w14:val="tx1"/>
                  </w14:solidFill>
                </w14:textFill>
              </w:rPr>
              <w:t>喷洒除臭剂，</w:t>
            </w:r>
            <w:r>
              <w:rPr>
                <w:color w:val="000000" w:themeColor="text1"/>
                <w:spacing w:val="-3"/>
                <w14:textFill>
                  <w14:solidFill>
                    <w14:schemeClr w14:val="tx1"/>
                  </w14:solidFill>
                </w14:textFill>
              </w:rPr>
              <w:t>加强绿化</w:t>
            </w:r>
          </w:p>
        </w:tc>
        <w:tc>
          <w:tcPr>
            <w:tcW w:w="1098" w:type="pct"/>
            <w:vMerge w:val="restart"/>
            <w:tcBorders>
              <w:top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满足《恶臭污染物排放标</w:t>
            </w:r>
            <w:r>
              <w:rPr>
                <w:color w:val="000000" w:themeColor="text1"/>
                <w:spacing w:val="-8"/>
                <w14:textFill>
                  <w14:solidFill>
                    <w14:schemeClr w14:val="tx1"/>
                  </w14:solidFill>
                </w14:textFill>
              </w:rPr>
              <w:t>准》（GB14554-93）表</w:t>
            </w:r>
            <w:r>
              <w:rPr>
                <w:color w:val="000000" w:themeColor="text1"/>
                <w:spacing w:val="-48"/>
                <w14:textFill>
                  <w14:solidFill>
                    <w14:schemeClr w14:val="tx1"/>
                  </w14:solidFill>
                </w14:textFill>
              </w:rPr>
              <w:t xml:space="preserve"> </w:t>
            </w:r>
            <w:r>
              <w:rPr>
                <w:color w:val="000000" w:themeColor="text1"/>
                <w14:textFill>
                  <w14:solidFill>
                    <w14:schemeClr w14:val="tx1"/>
                  </w14:solidFill>
                </w14:textFill>
              </w:rPr>
              <w:t>1要求</w:t>
            </w:r>
          </w:p>
        </w:tc>
        <w:tc>
          <w:tcPr>
            <w:tcW w:w="627"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w:t>
            </w:r>
          </w:p>
        </w:tc>
        <w:tc>
          <w:tcPr>
            <w:tcW w:w="539" w:type="pct"/>
            <w:tcBorders>
              <w:top w:val="single" w:color="000000" w:sz="4" w:space="0"/>
            </w:tcBorders>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48" w:type="pct"/>
            <w:vMerge w:val="continue"/>
            <w:vAlign w:val="center"/>
          </w:tcPr>
          <w:p>
            <w:pPr>
              <w:pStyle w:val="332"/>
              <w:rPr>
                <w:color w:val="000000" w:themeColor="text1"/>
                <w14:textFill>
                  <w14:solidFill>
                    <w14:schemeClr w14:val="tx1"/>
                  </w14:solidFill>
                </w14:textFill>
              </w:rPr>
            </w:pPr>
          </w:p>
        </w:tc>
        <w:tc>
          <w:tcPr>
            <w:tcW w:w="293" w:type="pct"/>
            <w:vMerge w:val="continue"/>
            <w:vAlign w:val="center"/>
          </w:tcPr>
          <w:p>
            <w:pPr>
              <w:pStyle w:val="332"/>
              <w:rPr>
                <w:color w:val="000000" w:themeColor="text1"/>
                <w14:textFill>
                  <w14:solidFill>
                    <w14:schemeClr w14:val="tx1"/>
                  </w14:solidFill>
                </w14:textFill>
              </w:rPr>
            </w:pPr>
          </w:p>
        </w:tc>
        <w:tc>
          <w:tcPr>
            <w:tcW w:w="314" w:type="pct"/>
            <w:vMerge w:val="continue"/>
            <w:vAlign w:val="center"/>
          </w:tcPr>
          <w:p>
            <w:pPr>
              <w:pStyle w:val="332"/>
              <w:rPr>
                <w:color w:val="000000" w:themeColor="text1"/>
                <w14:textFill>
                  <w14:solidFill>
                    <w14:schemeClr w14:val="tx1"/>
                  </w14:solidFill>
                </w14:textFill>
              </w:rPr>
            </w:pPr>
          </w:p>
        </w:tc>
        <w:tc>
          <w:tcPr>
            <w:tcW w:w="392" w:type="pct"/>
            <w:tcBorders>
              <w:top w:val="single" w:color="000000" w:sz="4"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c>
          <w:tcPr>
            <w:tcW w:w="1489" w:type="pct"/>
            <w:vMerge w:val="continue"/>
            <w:vAlign w:val="center"/>
          </w:tcPr>
          <w:p>
            <w:pPr>
              <w:pStyle w:val="332"/>
              <w:rPr>
                <w:color w:val="000000" w:themeColor="text1"/>
                <w14:textFill>
                  <w14:solidFill>
                    <w14:schemeClr w14:val="tx1"/>
                  </w14:solidFill>
                </w14:textFill>
              </w:rPr>
            </w:pPr>
          </w:p>
        </w:tc>
        <w:tc>
          <w:tcPr>
            <w:tcW w:w="1098" w:type="pct"/>
            <w:vMerge w:val="continue"/>
            <w:vAlign w:val="center"/>
          </w:tcPr>
          <w:p>
            <w:pPr>
              <w:pStyle w:val="332"/>
              <w:rPr>
                <w:color w:val="000000" w:themeColor="text1"/>
                <w14:textFill>
                  <w14:solidFill>
                    <w14:schemeClr w14:val="tx1"/>
                  </w14:solidFill>
                </w14:textFill>
              </w:rPr>
            </w:pPr>
          </w:p>
        </w:tc>
        <w:tc>
          <w:tcPr>
            <w:tcW w:w="62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539"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55" w:type="pct"/>
            <w:gridSpan w:val="3"/>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392" w:type="pct"/>
            <w:tcBorders>
              <w:top w:val="single" w:color="000000" w:sz="4" w:space="0"/>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09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2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539" w:type="pct"/>
            <w:vAlign w:val="center"/>
          </w:tcPr>
          <w:p>
            <w:pPr>
              <w:pStyle w:val="332"/>
              <w:rPr>
                <w:color w:val="000000" w:themeColor="text1"/>
                <w:kern w:val="0"/>
                <w14:textFill>
                  <w14:solidFill>
                    <w14:schemeClr w14:val="tx1"/>
                  </w14:solidFill>
                </w14:textFill>
              </w:rPr>
            </w:pPr>
            <w:r>
              <w:rPr>
                <w:color w:val="000000" w:themeColor="text1"/>
                <w14:textFill>
                  <w14:solidFill>
                    <w14:schemeClr w14:val="tx1"/>
                  </w14:solidFill>
                </w14:textFill>
              </w:rPr>
              <w:t>0.1070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55" w:type="pct"/>
            <w:gridSpan w:val="3"/>
            <w:vMerge w:val="continue"/>
            <w:tcBorders>
              <w:bottom w:val="single" w:color="auto" w:sz="12" w:space="0"/>
            </w:tcBorders>
            <w:vAlign w:val="center"/>
          </w:tcPr>
          <w:p>
            <w:pPr>
              <w:pStyle w:val="332"/>
              <w:rPr>
                <w:color w:val="000000" w:themeColor="text1"/>
                <w14:textFill>
                  <w14:solidFill>
                    <w14:schemeClr w14:val="tx1"/>
                  </w14:solidFill>
                </w14:textFill>
              </w:rPr>
            </w:pPr>
          </w:p>
        </w:tc>
        <w:tc>
          <w:tcPr>
            <w:tcW w:w="392" w:type="pct"/>
            <w:tcBorders>
              <w:top w:val="single" w:color="000000"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c>
          <w:tcPr>
            <w:tcW w:w="1489"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098"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27"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539"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0.0072</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表5.2-14 项目大气污染物年排放量核算表</w:t>
      </w:r>
    </w:p>
    <w:p>
      <w:pPr>
        <w:kinsoku w:val="0"/>
        <w:overflowPunct w:val="0"/>
        <w:autoSpaceDE w:val="0"/>
        <w:autoSpaceDN w:val="0"/>
        <w:adjustRightInd w:val="0"/>
        <w:spacing w:line="240" w:lineRule="auto"/>
        <w:ind w:firstLine="0" w:firstLineChars="0"/>
        <w:jc w:val="left"/>
        <w:rPr>
          <w:rFonts w:cs="Times New Roman"/>
          <w:color w:val="000000" w:themeColor="text1"/>
          <w:kern w:val="0"/>
          <w:sz w:val="6"/>
          <w:szCs w:val="6"/>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3032"/>
        <w:gridCol w:w="3032"/>
        <w:gridCol w:w="303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66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66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年排放量（t/a）</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166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668" w:type="pct"/>
            <w:tcBorders>
              <w:top w:val="single" w:color="auto" w:sz="12"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0.10717</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16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c>
          <w:tcPr>
            <w:tcW w:w="1668"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0.00718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16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position w:val="-3"/>
                <w:sz w:val="14"/>
                <w:szCs w:val="14"/>
                <w14:textFill>
                  <w14:solidFill>
                    <w14:schemeClr w14:val="tx1"/>
                  </w14:solidFill>
                </w14:textFill>
              </w:rPr>
              <w:t>10</w:t>
            </w:r>
          </w:p>
        </w:tc>
        <w:tc>
          <w:tcPr>
            <w:tcW w:w="1668"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0.0015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16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position w:val="-3"/>
                <w:sz w:val="14"/>
                <w:szCs w:val="14"/>
                <w14:textFill>
                  <w14:solidFill>
                    <w14:schemeClr w14:val="tx1"/>
                  </w14:solidFill>
                </w14:textFill>
              </w:rPr>
              <w:t>2</w:t>
            </w:r>
          </w:p>
        </w:tc>
        <w:tc>
          <w:tcPr>
            <w:tcW w:w="1668"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0.0014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166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position w:val="-3"/>
                <w:sz w:val="14"/>
                <w:szCs w:val="14"/>
                <w14:textFill>
                  <w14:solidFill>
                    <w14:schemeClr w14:val="tx1"/>
                  </w14:solidFill>
                </w14:textFill>
              </w:rPr>
              <w:t>x</w:t>
            </w:r>
          </w:p>
        </w:tc>
        <w:tc>
          <w:tcPr>
            <w:tcW w:w="1668" w:type="pct"/>
            <w:vAlign w:val="center"/>
          </w:tcPr>
          <w:p>
            <w:pPr>
              <w:pStyle w:val="332"/>
              <w:rPr>
                <w:color w:val="000000" w:themeColor="text1"/>
                <w:highlight w:val="yellow"/>
                <w14:textFill>
                  <w14:solidFill>
                    <w14:schemeClr w14:val="tx1"/>
                  </w14:solidFill>
                </w14:textFill>
              </w:rPr>
            </w:pPr>
            <w:r>
              <w:rPr>
                <w:color w:val="000000" w:themeColor="text1"/>
                <w:szCs w:val="21"/>
                <w14:textFill>
                  <w14:solidFill>
                    <w14:schemeClr w14:val="tx1"/>
                  </w14:solidFill>
                </w14:textFill>
              </w:rPr>
              <w:t>0.045</w:t>
            </w:r>
          </w:p>
        </w:tc>
      </w:tr>
    </w:tbl>
    <w:p>
      <w:pPr>
        <w:pStyle w:val="4"/>
        <w:rPr>
          <w:rFonts w:cs="Times New Roman"/>
          <w:color w:val="000000" w:themeColor="text1"/>
          <w14:textFill>
            <w14:solidFill>
              <w14:schemeClr w14:val="tx1"/>
            </w14:solidFill>
          </w14:textFill>
        </w:rPr>
      </w:pPr>
      <w:bookmarkStart w:id="560" w:name="_Toc91163921"/>
      <w:r>
        <w:rPr>
          <w:rFonts w:cs="Times New Roman"/>
          <w:color w:val="000000" w:themeColor="text1"/>
          <w14:textFill>
            <w14:solidFill>
              <w14:schemeClr w14:val="tx1"/>
            </w14:solidFill>
          </w14:textFill>
        </w:rPr>
        <w:t>5.2.4环境空气影响评价结论</w:t>
      </w:r>
      <w:bookmarkEnd w:id="560"/>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1、项目选址及总图布置的合理性和可行性</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w:t>
      </w:r>
      <w:r>
        <w:rPr>
          <w:rFonts w:cs="Times New Roman"/>
          <w:bCs/>
          <w:color w:val="000000" w:themeColor="text1"/>
          <w:kern w:val="24"/>
          <w:szCs w:val="20"/>
          <w14:textFill>
            <w14:solidFill>
              <w14:schemeClr w14:val="tx1"/>
            </w14:solidFill>
          </w14:textFill>
        </w:rPr>
        <w:t>占地面积53019.51m</w:t>
      </w:r>
      <w:r>
        <w:rPr>
          <w:rFonts w:cs="Times New Roman"/>
          <w:bCs/>
          <w:color w:val="000000" w:themeColor="text1"/>
          <w:kern w:val="24"/>
          <w:szCs w:val="20"/>
          <w:vertAlign w:val="superscript"/>
          <w14:textFill>
            <w14:solidFill>
              <w14:schemeClr w14:val="tx1"/>
            </w14:solidFill>
          </w14:textFill>
        </w:rPr>
        <w:t>2</w:t>
      </w:r>
      <w:r>
        <w:rPr>
          <w:rFonts w:cs="Times New Roman"/>
          <w:bCs/>
          <w:color w:val="000000" w:themeColor="text1"/>
          <w:kern w:val="24"/>
          <w:szCs w:val="20"/>
          <w14:textFill>
            <w14:solidFill>
              <w14:schemeClr w14:val="tx1"/>
            </w14:solidFill>
          </w14:textFill>
        </w:rPr>
        <w:t>，约79.53亩</w:t>
      </w:r>
      <w:r>
        <w:rPr>
          <w:rFonts w:cs="Times New Roman"/>
          <w:color w:val="000000" w:themeColor="text1"/>
          <w14:textFill>
            <w14:solidFill>
              <w14:schemeClr w14:val="tx1"/>
            </w14:solidFill>
          </w14:textFill>
        </w:rPr>
        <w:t>，满足场界与禁建区域边界最小距离不得小于500 m的要求。本项目主要污染物为场区恶臭，周围村庄距离场区均在500 m以上，场区恶臭对村庄影响很小。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本项目选址及总图布置从大气环境角度可行。</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2、污染源排放强度与排放方式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根据估算结果，本项目场界下风向PM</w:t>
      </w:r>
      <w:r>
        <w:rPr>
          <w:rFonts w:cs="Times New Roman"/>
          <w:color w:val="000000" w:themeColor="text1"/>
          <w:vertAlign w:val="subscript"/>
          <w14:textFill>
            <w14:solidFill>
              <w14:schemeClr w14:val="tx1"/>
            </w14:solidFill>
          </w14:textFill>
        </w:rPr>
        <w:t>10</w:t>
      </w:r>
      <w:r>
        <w:rPr>
          <w:rFonts w:cs="Times New Roman"/>
          <w:color w:val="000000" w:themeColor="text1"/>
          <w14:textFill>
            <w14:solidFill>
              <w14:schemeClr w14:val="tx1"/>
            </w14:solidFill>
          </w14:textFill>
        </w:rPr>
        <w:t>、SO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、NOx、NH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S最大落地浓度分别为</w:t>
      </w:r>
      <w:r>
        <w:rPr>
          <w:rFonts w:cs="Times New Roman"/>
          <w:color w:val="000000" w:themeColor="text1"/>
          <w:szCs w:val="24"/>
          <w14:textFill>
            <w14:solidFill>
              <w14:schemeClr w14:val="tx1"/>
            </w14:solidFill>
          </w14:textFill>
        </w:rPr>
        <w:t>0.27 ug/m</w:t>
      </w:r>
      <w:r>
        <w:rPr>
          <w:rFonts w:cs="Times New Roman"/>
          <w:color w:val="000000" w:themeColor="text1"/>
          <w:szCs w:val="24"/>
          <w:vertAlign w:val="superscript"/>
          <w14:textFill>
            <w14:solidFill>
              <w14:schemeClr w14:val="tx1"/>
            </w14:solidFill>
          </w14:textFill>
        </w:rPr>
        <w:t>3</w:t>
      </w:r>
      <w:r>
        <w:rPr>
          <w:rFonts w:cs="Times New Roman"/>
          <w:color w:val="000000" w:themeColor="text1"/>
          <w:szCs w:val="24"/>
          <w14:textFill>
            <w14:solidFill>
              <w14:schemeClr w14:val="tx1"/>
            </w14:solidFill>
          </w14:textFill>
        </w:rPr>
        <w:t>、0.25 ug/m</w:t>
      </w:r>
      <w:r>
        <w:rPr>
          <w:rFonts w:cs="Times New Roman"/>
          <w:color w:val="000000" w:themeColor="text1"/>
          <w:szCs w:val="24"/>
          <w:vertAlign w:val="superscript"/>
          <w14:textFill>
            <w14:solidFill>
              <w14:schemeClr w14:val="tx1"/>
            </w14:solidFill>
          </w14:textFill>
        </w:rPr>
        <w:t>3</w:t>
      </w:r>
      <w:r>
        <w:rPr>
          <w:rFonts w:cs="Times New Roman"/>
          <w:color w:val="000000" w:themeColor="text1"/>
          <w:szCs w:val="24"/>
          <w14:textFill>
            <w14:solidFill>
              <w14:schemeClr w14:val="tx1"/>
            </w14:solidFill>
          </w14:textFill>
        </w:rPr>
        <w:t>、8.08</w:t>
      </w:r>
      <w:r>
        <w:rPr>
          <w:rFonts w:cs="Times New Roman"/>
          <w:color w:val="000000" w:themeColor="text1"/>
          <w14:textFill>
            <w14:solidFill>
              <w14:schemeClr w14:val="tx1"/>
            </w14:solidFill>
          </w14:textFill>
        </w:rPr>
        <w:t xml:space="preserve"> ug/m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、5.04 ug/m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、6.28 ug/m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，沼气发电机燃烧废气下风向最大落地浓度出现距离为58 m，养殖区恶臭下风向最大落地浓度出现距离为130 m处，黑膜沼气池下风向最大落地浓度出现距离为30 m处，沼液储存池下风向最大落地浓度出现距离为69 m处，固粪处理区下风向最大落地浓度出现距离为23 m处。屯留区主导风向为西-西北风，项目下风向最近的村庄为东庄村，距离本项目厂区边界为0.9 km，本项目下风向浓度小于环境质量浓度的10%，对下风向村庄影响很小。</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3、大气污染控制措施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场区通过低氮饲喂，减少粪便中氨氮的排放、减轻恶臭；加强猪舍内通风，每栋猪舍外部设置过滤吸附除臭装置；同时定期用植物除臭剂喷洒猪舍、固粪处理区等除臭，猪粪处理采用干清粪工艺；固粪处理区设置为全封闭状态，四周设置采光瓦材质的围挡措施，上方设置阳光防雨顶棚，减少臭气对周围环境的影响；评价要求场区加强绿化措施；养殖区、黑膜沼气池、沼液储存池、固粪处理区四周种植绿化带，与场区之间设隔离带和挡风墙。</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本项目食堂燃用洁净沼气，污染物排放量小，食堂油烟经净化装置处理后达标排放。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本项目大气环境影响评价自查表见表5.2-15。</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表5.2-15 本项目大气环境影响评价自查表</w:t>
      </w:r>
    </w:p>
    <w:tbl>
      <w:tblPr>
        <w:tblStyle w:val="53"/>
        <w:tblW w:w="55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1"/>
        <w:gridCol w:w="2039"/>
        <w:gridCol w:w="1352"/>
        <w:gridCol w:w="68"/>
        <w:gridCol w:w="317"/>
        <w:gridCol w:w="231"/>
        <w:gridCol w:w="391"/>
        <w:gridCol w:w="385"/>
        <w:gridCol w:w="278"/>
        <w:gridCol w:w="346"/>
        <w:gridCol w:w="113"/>
        <w:gridCol w:w="301"/>
        <w:gridCol w:w="437"/>
        <w:gridCol w:w="148"/>
        <w:gridCol w:w="575"/>
        <w:gridCol w:w="200"/>
        <w:gridCol w:w="113"/>
        <w:gridCol w:w="111"/>
        <w:gridCol w:w="365"/>
        <w:gridCol w:w="262"/>
        <w:gridCol w:w="134"/>
        <w:gridCol w:w="248"/>
        <w:gridCol w:w="10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11" w:type="pct"/>
            <w:gridSpan w:val="2"/>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工作内容</w:t>
            </w:r>
          </w:p>
        </w:tc>
        <w:tc>
          <w:tcPr>
            <w:tcW w:w="3589" w:type="pct"/>
            <w:gridSpan w:val="21"/>
            <w:tcBorders>
              <w:top w:val="single" w:color="auto" w:sz="12" w:space="0"/>
              <w:bottom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restar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评价等级与范围</w:t>
            </w:r>
          </w:p>
        </w:tc>
        <w:tc>
          <w:tcPr>
            <w:tcW w:w="989" w:type="pct"/>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评价等级</w:t>
            </w:r>
          </w:p>
        </w:tc>
        <w:tc>
          <w:tcPr>
            <w:tcW w:w="1332" w:type="pct"/>
            <w:gridSpan w:val="6"/>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一级□</w:t>
            </w:r>
          </w:p>
        </w:tc>
        <w:tc>
          <w:tcPr>
            <w:tcW w:w="1219" w:type="pct"/>
            <w:gridSpan w:val="9"/>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二级</w:t>
            </w:r>
            <w:r>
              <w:rPr>
                <w:color w:val="000000" w:themeColor="text1"/>
                <w14:textFill>
                  <w14:solidFill>
                    <w14:schemeClr w14:val="tx1"/>
                  </w14:solidFill>
                </w14:textFill>
              </w:rPr>
              <w:sym w:font="Wingdings 2" w:char="0052"/>
            </w:r>
          </w:p>
        </w:tc>
        <w:tc>
          <w:tcPr>
            <w:tcW w:w="1039" w:type="pct"/>
            <w:gridSpan w:val="6"/>
            <w:tcBorders>
              <w:top w:val="single" w:color="auto" w:sz="12" w:space="0"/>
            </w:tcBorders>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评价范围</w:t>
            </w:r>
          </w:p>
        </w:tc>
        <w:tc>
          <w:tcPr>
            <w:tcW w:w="1332" w:type="pct"/>
            <w:gridSpan w:val="6"/>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边长=50km□</w:t>
            </w:r>
          </w:p>
        </w:tc>
        <w:tc>
          <w:tcPr>
            <w:tcW w:w="1219" w:type="pct"/>
            <w:gridSpan w:val="9"/>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边长5~50km□</w:t>
            </w:r>
          </w:p>
        </w:tc>
        <w:tc>
          <w:tcPr>
            <w:tcW w:w="1039" w:type="pct"/>
            <w:gridSpan w:val="6"/>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边长=5 km</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restar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评价因子</w:t>
            </w: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xml:space="preserve"> +NOx排放量</w:t>
            </w:r>
          </w:p>
        </w:tc>
        <w:tc>
          <w:tcPr>
            <w:tcW w:w="1332" w:type="pct"/>
            <w:gridSpan w:val="6"/>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≥2000t/a□</w:t>
            </w:r>
          </w:p>
        </w:tc>
        <w:tc>
          <w:tcPr>
            <w:tcW w:w="1219" w:type="pct"/>
            <w:gridSpan w:val="9"/>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500 ~ 2000t/a□</w:t>
            </w:r>
          </w:p>
        </w:tc>
        <w:tc>
          <w:tcPr>
            <w:tcW w:w="1039" w:type="pct"/>
            <w:gridSpan w:val="6"/>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＜500 t/a</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评价因子</w:t>
            </w:r>
          </w:p>
        </w:tc>
        <w:tc>
          <w:tcPr>
            <w:tcW w:w="2399" w:type="pct"/>
            <w:gridSpan w:val="13"/>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基本污染物(</w:t>
            </w:r>
            <w:r>
              <w:rPr>
                <w:bCs/>
                <w:color w:val="000000" w:themeColor="text1"/>
                <w14:textFill>
                  <w14:solidFill>
                    <w14:schemeClr w14:val="tx1"/>
                  </w14:solidFill>
                </w14:textFill>
              </w:rPr>
              <w:t>PM</w:t>
            </w:r>
            <w:r>
              <w:rPr>
                <w:bCs/>
                <w:color w:val="000000" w:themeColor="text1"/>
                <w:vertAlign w:val="subscript"/>
                <w14:textFill>
                  <w14:solidFill>
                    <w14:schemeClr w14:val="tx1"/>
                  </w14:solidFill>
                </w14:textFill>
              </w:rPr>
              <w:t>2.5</w:t>
            </w:r>
            <w:r>
              <w:rPr>
                <w:bCs/>
                <w:color w:val="000000" w:themeColor="text1"/>
                <w14:textFill>
                  <w14:solidFill>
                    <w14:schemeClr w14:val="tx1"/>
                  </w14:solidFill>
                </w14:textFill>
              </w:rPr>
              <w:t>、PM</w:t>
            </w:r>
            <w:r>
              <w:rPr>
                <w:bCs/>
                <w:color w:val="000000" w:themeColor="text1"/>
                <w:vertAlign w:val="subscript"/>
                <w14:textFill>
                  <w14:solidFill>
                    <w14:schemeClr w14:val="tx1"/>
                  </w14:solidFill>
                </w14:textFill>
              </w:rPr>
              <w:t>10</w:t>
            </w:r>
            <w:r>
              <w:rPr>
                <w:bCs/>
                <w:color w:val="000000" w:themeColor="text1"/>
                <w14:textFill>
                  <w14:solidFill>
                    <w14:schemeClr w14:val="tx1"/>
                  </w14:solidFill>
                </w14:textFill>
              </w:rPr>
              <w:t>、SO</w:t>
            </w:r>
            <w:r>
              <w:rPr>
                <w:bCs/>
                <w:color w:val="000000" w:themeColor="text1"/>
                <w:vertAlign w:val="subscript"/>
                <w14:textFill>
                  <w14:solidFill>
                    <w14:schemeClr w14:val="tx1"/>
                  </w14:solidFill>
                </w14:textFill>
              </w:rPr>
              <w:t>2</w:t>
            </w:r>
            <w:r>
              <w:rPr>
                <w:bCs/>
                <w:color w:val="000000" w:themeColor="text1"/>
                <w14:textFill>
                  <w14:solidFill>
                    <w14:schemeClr w14:val="tx1"/>
                  </w14:solidFill>
                </w14:textFill>
              </w:rPr>
              <w:t>、NO</w:t>
            </w:r>
            <w:r>
              <w:rPr>
                <w:bCs/>
                <w:color w:val="000000" w:themeColor="text1"/>
                <w:vertAlign w:val="subscript"/>
                <w14:textFill>
                  <w14:solidFill>
                    <w14:schemeClr w14:val="tx1"/>
                  </w14:solidFill>
                </w14:textFill>
              </w:rPr>
              <w:t>2</w:t>
            </w:r>
            <w:r>
              <w:rPr>
                <w:bCs/>
                <w:color w:val="000000" w:themeColor="text1"/>
                <w14:textFill>
                  <w14:solidFill>
                    <w14:schemeClr w14:val="tx1"/>
                  </w14:solidFill>
                </w14:textFill>
              </w:rPr>
              <w:t>、CO、O</w:t>
            </w:r>
            <w:r>
              <w:rPr>
                <w:bCs/>
                <w:color w:val="000000" w:themeColor="text1"/>
                <w:vertAlign w:val="subscript"/>
                <w14:textFill>
                  <w14:solidFill>
                    <w14:schemeClr w14:val="tx1"/>
                  </w14:solidFill>
                </w14:textFill>
              </w:rPr>
              <w:t>3</w:t>
            </w:r>
            <w:r>
              <w:rPr>
                <w:color w:val="000000" w:themeColor="text1"/>
                <w14:textFill>
                  <w14:solidFill>
                    <w14:schemeClr w14:val="tx1"/>
                  </w14:solidFill>
                </w14:textFill>
              </w:rPr>
              <w:t>)</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其他污染物(氨、硫化氢)</w:t>
            </w:r>
          </w:p>
        </w:tc>
        <w:tc>
          <w:tcPr>
            <w:tcW w:w="1190" w:type="pct"/>
            <w:gridSpan w:val="8"/>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包括二次PM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w:t>
            </w:r>
          </w:p>
          <w:p>
            <w:pPr>
              <w:pStyle w:val="332"/>
              <w:rPr>
                <w:color w:val="000000" w:themeColor="text1"/>
                <w14:textFill>
                  <w14:solidFill>
                    <w14:schemeClr w14:val="tx1"/>
                  </w14:solidFill>
                </w14:textFill>
              </w:rPr>
            </w:pPr>
            <w:r>
              <w:rPr>
                <w:color w:val="000000" w:themeColor="text1"/>
                <w14:textFill>
                  <w14:solidFill>
                    <w14:schemeClr w14:val="tx1"/>
                  </w14:solidFill>
                </w14:textFill>
              </w:rPr>
              <w:t>不包括二次PM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评价标准</w:t>
            </w: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评价标准</w:t>
            </w:r>
          </w:p>
        </w:tc>
        <w:tc>
          <w:tcPr>
            <w:tcW w:w="955" w:type="pct"/>
            <w:gridSpan w:val="4"/>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国家标准</w:t>
            </w:r>
            <w:r>
              <w:rPr>
                <w:color w:val="000000" w:themeColor="text1"/>
                <w14:textFill>
                  <w14:solidFill>
                    <w14:schemeClr w14:val="tx1"/>
                  </w14:solidFill>
                </w14:textFill>
              </w:rPr>
              <w:sym w:font="Wingdings 2" w:char="0052"/>
            </w:r>
          </w:p>
        </w:tc>
        <w:tc>
          <w:tcPr>
            <w:tcW w:w="1093" w:type="pct"/>
            <w:gridSpan w:val="7"/>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地方标准□</w:t>
            </w:r>
          </w:p>
        </w:tc>
        <w:tc>
          <w:tcPr>
            <w:tcW w:w="861" w:type="pct"/>
            <w:gridSpan w:val="7"/>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附录D </w:t>
            </w:r>
            <w:r>
              <w:rPr>
                <w:color w:val="000000" w:themeColor="text1"/>
                <w14:textFill>
                  <w14:solidFill>
                    <w14:schemeClr w14:val="tx1"/>
                  </w14:solidFill>
                </w14:textFill>
              </w:rPr>
              <w:sym w:font="Wingdings 2" w:char="0052"/>
            </w:r>
          </w:p>
        </w:tc>
        <w:tc>
          <w:tcPr>
            <w:tcW w:w="681" w:type="pct"/>
            <w:gridSpan w:val="3"/>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其他标准□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restar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现状评价</w:t>
            </w: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环境功能区</w:t>
            </w:r>
          </w:p>
        </w:tc>
        <w:tc>
          <w:tcPr>
            <w:tcW w:w="1332" w:type="pct"/>
            <w:gridSpan w:val="6"/>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一类区□</w:t>
            </w:r>
          </w:p>
        </w:tc>
        <w:tc>
          <w:tcPr>
            <w:tcW w:w="1219" w:type="pct"/>
            <w:gridSpan w:val="9"/>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二类区</w:t>
            </w:r>
            <w:r>
              <w:rPr>
                <w:color w:val="000000" w:themeColor="text1"/>
                <w14:textFill>
                  <w14:solidFill>
                    <w14:schemeClr w14:val="tx1"/>
                  </w14:solidFill>
                </w14:textFill>
              </w:rPr>
              <w:sym w:font="Wingdings 2" w:char="0052"/>
            </w:r>
          </w:p>
        </w:tc>
        <w:tc>
          <w:tcPr>
            <w:tcW w:w="1039" w:type="pct"/>
            <w:gridSpan w:val="6"/>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一类区和二类区□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基准年</w:t>
            </w:r>
          </w:p>
        </w:tc>
        <w:tc>
          <w:tcPr>
            <w:tcW w:w="3589" w:type="pct"/>
            <w:gridSpan w:val="21"/>
            <w:shd w:val="clear" w:color="auto" w:fill="auto"/>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（2020）年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环境空气质量现状调查数据来源</w:t>
            </w:r>
          </w:p>
        </w:tc>
        <w:tc>
          <w:tcPr>
            <w:tcW w:w="1332" w:type="pct"/>
            <w:gridSpan w:val="6"/>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长期例行监测数据□</w:t>
            </w:r>
          </w:p>
        </w:tc>
        <w:tc>
          <w:tcPr>
            <w:tcW w:w="1219" w:type="pct"/>
            <w:gridSpan w:val="9"/>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主管部门发布的数据</w:t>
            </w:r>
            <w:r>
              <w:rPr>
                <w:color w:val="000000" w:themeColor="text1"/>
                <w14:textFill>
                  <w14:solidFill>
                    <w14:schemeClr w14:val="tx1"/>
                  </w14:solidFill>
                </w14:textFill>
              </w:rPr>
              <w:sym w:font="Wingdings 2" w:char="0052"/>
            </w:r>
          </w:p>
        </w:tc>
        <w:tc>
          <w:tcPr>
            <w:tcW w:w="1039" w:type="pct"/>
            <w:gridSpan w:val="6"/>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现状补充监测</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现状评价</w:t>
            </w:r>
          </w:p>
        </w:tc>
        <w:tc>
          <w:tcPr>
            <w:tcW w:w="1836" w:type="pct"/>
            <w:gridSpan w:val="10"/>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达标区□</w:t>
            </w:r>
          </w:p>
        </w:tc>
        <w:tc>
          <w:tcPr>
            <w:tcW w:w="1753" w:type="pct"/>
            <w:gridSpan w:val="11"/>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不达标区</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污染源调查</w:t>
            </w: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调查内容</w:t>
            </w:r>
          </w:p>
        </w:tc>
        <w:tc>
          <w:tcPr>
            <w:tcW w:w="1332" w:type="pct"/>
            <w:gridSpan w:val="6"/>
            <w:shd w:val="clear" w:color="auto" w:fill="auto"/>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本项目正常排放源</w:t>
            </w:r>
            <w:r>
              <w:rPr>
                <w:color w:val="000000" w:themeColor="text1"/>
                <w14:textFill>
                  <w14:solidFill>
                    <w14:schemeClr w14:val="tx1"/>
                  </w14:solidFill>
                </w14:textFill>
              </w:rPr>
              <w:sym w:font="Wingdings 2" w:char="0052"/>
            </w:r>
          </w:p>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本项目非正常排放源□</w:t>
            </w:r>
          </w:p>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现有污染源□</w:t>
            </w:r>
          </w:p>
        </w:tc>
        <w:tc>
          <w:tcPr>
            <w:tcW w:w="504" w:type="pct"/>
            <w:gridSpan w:val="4"/>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拟替代的污染源□</w:t>
            </w:r>
          </w:p>
        </w:tc>
        <w:tc>
          <w:tcPr>
            <w:tcW w:w="1073" w:type="pct"/>
            <w:gridSpan w:val="8"/>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其他在建、拟建项目污染源□</w:t>
            </w:r>
          </w:p>
        </w:tc>
        <w:tc>
          <w:tcPr>
            <w:tcW w:w="681" w:type="pct"/>
            <w:gridSpan w:val="3"/>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restar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大气环境影响预测与评价</w:t>
            </w: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预测模型</w:t>
            </w:r>
          </w:p>
        </w:tc>
        <w:tc>
          <w:tcPr>
            <w:tcW w:w="656" w:type="pct"/>
            <w:shd w:val="clear" w:color="auto" w:fill="auto"/>
            <w:vAlign w:val="center"/>
          </w:tcPr>
          <w:p>
            <w:pPr>
              <w:pStyle w:val="332"/>
              <w:rPr>
                <w:color w:val="000000" w:themeColor="text1"/>
                <w14:textFill>
                  <w14:solidFill>
                    <w14:schemeClr w14:val="tx1"/>
                  </w14:solidFill>
                </w14:textFill>
              </w:rPr>
            </w:pPr>
            <w:r>
              <w:rPr>
                <w:color w:val="000000" w:themeColor="text1"/>
                <w:spacing w:val="-18"/>
                <w14:textFill>
                  <w14:solidFill>
                    <w14:schemeClr w14:val="tx1"/>
                  </w14:solidFill>
                </w14:textFill>
              </w:rPr>
              <w:t>AERMOD</w:t>
            </w:r>
            <w:r>
              <w:rPr>
                <w:color w:val="000000" w:themeColor="text1"/>
                <w14:textFill>
                  <w14:solidFill>
                    <w14:schemeClr w14:val="tx1"/>
                  </w14:solidFill>
                </w14:textFill>
              </w:rPr>
              <w:t xml:space="preserve"> □</w:t>
            </w:r>
          </w:p>
        </w:tc>
        <w:tc>
          <w:tcPr>
            <w:tcW w:w="489" w:type="pct"/>
            <w:gridSpan w:val="4"/>
            <w:shd w:val="clear" w:color="auto" w:fill="auto"/>
            <w:vAlign w:val="center"/>
          </w:tcPr>
          <w:p>
            <w:pPr>
              <w:pStyle w:val="332"/>
              <w:rPr>
                <w:color w:val="000000" w:themeColor="text1"/>
                <w14:textFill>
                  <w14:solidFill>
                    <w14:schemeClr w14:val="tx1"/>
                  </w14:solidFill>
                </w14:textFill>
              </w:rPr>
            </w:pPr>
            <w:r>
              <w:rPr>
                <w:color w:val="000000" w:themeColor="text1"/>
                <w:spacing w:val="-20"/>
                <w14:textFill>
                  <w14:solidFill>
                    <w14:schemeClr w14:val="tx1"/>
                  </w14:solidFill>
                </w14:textFill>
              </w:rPr>
              <w:t xml:space="preserve">ADMS </w:t>
            </w:r>
            <w:r>
              <w:rPr>
                <w:color w:val="000000" w:themeColor="text1"/>
                <w14:textFill>
                  <w14:solidFill>
                    <w14:schemeClr w14:val="tx1"/>
                  </w14:solidFill>
                </w14:textFill>
              </w:rPr>
              <w:t>□</w:t>
            </w:r>
          </w:p>
        </w:tc>
        <w:tc>
          <w:tcPr>
            <w:tcW w:w="490" w:type="pct"/>
            <w:gridSpan w:val="3"/>
            <w:shd w:val="clear" w:color="auto" w:fill="auto"/>
            <w:vAlign w:val="center"/>
          </w:tcPr>
          <w:p>
            <w:pPr>
              <w:pStyle w:val="332"/>
              <w:rPr>
                <w:color w:val="000000" w:themeColor="text1"/>
                <w14:textFill>
                  <w14:solidFill>
                    <w14:schemeClr w14:val="tx1"/>
                  </w14:solidFill>
                </w14:textFill>
              </w:rPr>
            </w:pPr>
            <w:r>
              <w:rPr>
                <w:color w:val="000000" w:themeColor="text1"/>
                <w:spacing w:val="-20"/>
                <w14:textFill>
                  <w14:solidFill>
                    <w14:schemeClr w14:val="tx1"/>
                  </w14:solidFill>
                </w14:textFill>
              </w:rPr>
              <w:t>AUSTAL2000</w:t>
            </w:r>
            <w:r>
              <w:rPr>
                <w:color w:val="000000" w:themeColor="text1"/>
                <w14:textFill>
                  <w14:solidFill>
                    <w14:schemeClr w14:val="tx1"/>
                  </w14:solidFill>
                </w14:textFill>
              </w:rPr>
              <w:t xml:space="preserve"> □</w:t>
            </w:r>
          </w:p>
        </w:tc>
        <w:tc>
          <w:tcPr>
            <w:tcW w:w="485" w:type="pct"/>
            <w:gridSpan w:val="4"/>
            <w:shd w:val="clear" w:color="auto" w:fill="auto"/>
            <w:vAlign w:val="center"/>
          </w:tcPr>
          <w:p>
            <w:pPr>
              <w:pStyle w:val="332"/>
              <w:rPr>
                <w:color w:val="000000" w:themeColor="text1"/>
                <w14:textFill>
                  <w14:solidFill>
                    <w14:schemeClr w14:val="tx1"/>
                  </w14:solidFill>
                </w14:textFill>
              </w:rPr>
            </w:pPr>
            <w:r>
              <w:rPr>
                <w:color w:val="000000" w:themeColor="text1"/>
                <w:spacing w:val="-16"/>
                <w14:textFill>
                  <w14:solidFill>
                    <w14:schemeClr w14:val="tx1"/>
                  </w14:solidFill>
                </w14:textFill>
              </w:rPr>
              <w:t>EDMS/AEDT</w:t>
            </w:r>
            <w:r>
              <w:rPr>
                <w:color w:val="000000" w:themeColor="text1"/>
                <w14:textFill>
                  <w14:solidFill>
                    <w14:schemeClr w14:val="tx1"/>
                  </w14:solidFill>
                </w14:textFill>
              </w:rPr>
              <w:t xml:space="preserve"> □</w:t>
            </w:r>
          </w:p>
        </w:tc>
        <w:tc>
          <w:tcPr>
            <w:tcW w:w="485" w:type="pct"/>
            <w:gridSpan w:val="4"/>
            <w:shd w:val="clear" w:color="auto" w:fill="auto"/>
            <w:vAlign w:val="center"/>
          </w:tcPr>
          <w:p>
            <w:pPr>
              <w:pStyle w:val="332"/>
              <w:rPr>
                <w:color w:val="000000" w:themeColor="text1"/>
                <w14:textFill>
                  <w14:solidFill>
                    <w14:schemeClr w14:val="tx1"/>
                  </w14:solidFill>
                </w14:textFill>
              </w:rPr>
            </w:pPr>
            <w:r>
              <w:rPr>
                <w:color w:val="000000" w:themeColor="text1"/>
                <w:spacing w:val="-14"/>
                <w14:textFill>
                  <w14:solidFill>
                    <w14:schemeClr w14:val="tx1"/>
                  </w14:solidFill>
                </w14:textFill>
              </w:rPr>
              <w:t xml:space="preserve">CALPUFF </w:t>
            </w:r>
            <w:r>
              <w:rPr>
                <w:color w:val="000000" w:themeColor="text1"/>
                <w14:textFill>
                  <w14:solidFill>
                    <w14:schemeClr w14:val="tx1"/>
                  </w14:solidFill>
                </w14:textFill>
              </w:rPr>
              <w:t>□</w:t>
            </w:r>
          </w:p>
        </w:tc>
        <w:tc>
          <w:tcPr>
            <w:tcW w:w="489" w:type="pct"/>
            <w:gridSpan w:val="4"/>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网格模型□</w:t>
            </w:r>
          </w:p>
        </w:tc>
        <w:tc>
          <w:tcPr>
            <w:tcW w:w="495"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预测范围</w:t>
            </w:r>
          </w:p>
        </w:tc>
        <w:tc>
          <w:tcPr>
            <w:tcW w:w="1332" w:type="pct"/>
            <w:gridSpan w:val="6"/>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边长≥50km□</w:t>
            </w:r>
          </w:p>
        </w:tc>
        <w:tc>
          <w:tcPr>
            <w:tcW w:w="1164" w:type="pct"/>
            <w:gridSpan w:val="8"/>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边长5~50km □</w:t>
            </w:r>
          </w:p>
        </w:tc>
        <w:tc>
          <w:tcPr>
            <w:tcW w:w="1094" w:type="pct"/>
            <w:gridSpan w:val="7"/>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边长= 5 km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预测因子</w:t>
            </w:r>
          </w:p>
        </w:tc>
        <w:tc>
          <w:tcPr>
            <w:tcW w:w="1836" w:type="pct"/>
            <w:gridSpan w:val="10"/>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预测因子(无)</w:t>
            </w:r>
          </w:p>
        </w:tc>
        <w:tc>
          <w:tcPr>
            <w:tcW w:w="1753" w:type="pct"/>
            <w:gridSpan w:val="11"/>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包括二次PM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 xml:space="preserve"> □</w:t>
            </w:r>
          </w:p>
          <w:p>
            <w:pPr>
              <w:pStyle w:val="332"/>
              <w:rPr>
                <w:color w:val="000000" w:themeColor="text1"/>
                <w14:textFill>
                  <w14:solidFill>
                    <w14:schemeClr w14:val="tx1"/>
                  </w14:solidFill>
                </w14:textFill>
              </w:rPr>
            </w:pPr>
            <w:r>
              <w:rPr>
                <w:color w:val="000000" w:themeColor="text1"/>
                <w14:textFill>
                  <w14:solidFill>
                    <w14:schemeClr w14:val="tx1"/>
                  </w14:solidFill>
                </w14:textFill>
              </w:rPr>
              <w:t>不包括二次PM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正常排放短期浓度贡献值</w:t>
            </w:r>
          </w:p>
        </w:tc>
        <w:tc>
          <w:tcPr>
            <w:tcW w:w="1836" w:type="pct"/>
            <w:gridSpan w:val="10"/>
            <w:shd w:val="clear" w:color="auto" w:fill="auto"/>
            <w:vAlign w:val="center"/>
          </w:tcPr>
          <w:p>
            <w:pPr>
              <w:pStyle w:val="332"/>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𝐶</w:t>
            </w:r>
            <w:r>
              <w:rPr>
                <w:color w:val="000000" w:themeColor="text1"/>
                <w:vertAlign w:val="subscript"/>
                <w14:textFill>
                  <w14:solidFill>
                    <w14:schemeClr w14:val="tx1"/>
                  </w14:solidFill>
                </w14:textFill>
              </w:rPr>
              <w:t>本项目</w:t>
            </w:r>
            <w:r>
              <w:rPr>
                <w:color w:val="000000" w:themeColor="text1"/>
                <w14:textFill>
                  <w14:solidFill>
                    <w14:schemeClr w14:val="tx1"/>
                  </w14:solidFill>
                </w14:textFill>
              </w:rPr>
              <w:t>最大占标率≤100%□</w:t>
            </w:r>
          </w:p>
        </w:tc>
        <w:tc>
          <w:tcPr>
            <w:tcW w:w="1753" w:type="pct"/>
            <w:gridSpan w:val="11"/>
            <w:shd w:val="clear" w:color="auto" w:fill="auto"/>
            <w:vAlign w:val="center"/>
          </w:tcPr>
          <w:p>
            <w:pPr>
              <w:pStyle w:val="332"/>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𝐶</w:t>
            </w:r>
            <w:r>
              <w:rPr>
                <w:color w:val="000000" w:themeColor="text1"/>
                <w:vertAlign w:val="subscript"/>
                <w14:textFill>
                  <w14:solidFill>
                    <w14:schemeClr w14:val="tx1"/>
                  </w14:solidFill>
                </w14:textFill>
              </w:rPr>
              <w:t>本项目</w:t>
            </w:r>
            <w:r>
              <w:rPr>
                <w:color w:val="000000" w:themeColor="text1"/>
                <w14:textFill>
                  <w14:solidFill>
                    <w14:schemeClr w14:val="tx1"/>
                  </w14:solidFill>
                </w14:textFill>
              </w:rPr>
              <w:t>最大占标率＞100%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vMerge w:val="restar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正常排放年均浓度贡献值</w:t>
            </w:r>
          </w:p>
        </w:tc>
        <w:tc>
          <w:tcPr>
            <w:tcW w:w="689" w:type="pct"/>
            <w:gridSpan w:val="2"/>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一类区</w:t>
            </w:r>
          </w:p>
        </w:tc>
        <w:tc>
          <w:tcPr>
            <w:tcW w:w="1147" w:type="pct"/>
            <w:gridSpan w:val="8"/>
            <w:shd w:val="clear" w:color="auto" w:fill="auto"/>
            <w:vAlign w:val="center"/>
          </w:tcPr>
          <w:p>
            <w:pPr>
              <w:pStyle w:val="332"/>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𝐶</w:t>
            </w:r>
            <w:r>
              <w:rPr>
                <w:color w:val="000000" w:themeColor="text1"/>
                <w:vertAlign w:val="subscript"/>
                <w14:textFill>
                  <w14:solidFill>
                    <w14:schemeClr w14:val="tx1"/>
                  </w14:solidFill>
                </w14:textFill>
              </w:rPr>
              <w:t>本项目</w:t>
            </w:r>
            <w:r>
              <w:rPr>
                <w:color w:val="000000" w:themeColor="text1"/>
                <w14:textFill>
                  <w14:solidFill>
                    <w14:schemeClr w14:val="tx1"/>
                  </w14:solidFill>
                </w14:textFill>
              </w:rPr>
              <w:t>最大占标率≤10%□</w:t>
            </w:r>
          </w:p>
        </w:tc>
        <w:tc>
          <w:tcPr>
            <w:tcW w:w="1753" w:type="pct"/>
            <w:gridSpan w:val="11"/>
            <w:shd w:val="clear" w:color="auto" w:fill="auto"/>
            <w:vAlign w:val="center"/>
          </w:tcPr>
          <w:p>
            <w:pPr>
              <w:pStyle w:val="332"/>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𝐶</w:t>
            </w:r>
            <w:r>
              <w:rPr>
                <w:color w:val="000000" w:themeColor="text1"/>
                <w:vertAlign w:val="subscript"/>
                <w14:textFill>
                  <w14:solidFill>
                    <w14:schemeClr w14:val="tx1"/>
                  </w14:solidFill>
                </w14:textFill>
              </w:rPr>
              <w:t>本项目</w:t>
            </w:r>
            <w:r>
              <w:rPr>
                <w:color w:val="000000" w:themeColor="text1"/>
                <w14:textFill>
                  <w14:solidFill>
                    <w14:schemeClr w14:val="tx1"/>
                  </w14:solidFill>
                </w14:textFill>
              </w:rPr>
              <w:t>最大标率＞10%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vMerge w:val="continue"/>
            <w:shd w:val="clear" w:color="auto" w:fill="auto"/>
            <w:vAlign w:val="center"/>
          </w:tcPr>
          <w:p>
            <w:pPr>
              <w:pStyle w:val="332"/>
              <w:rPr>
                <w:color w:val="000000" w:themeColor="text1"/>
                <w14:textFill>
                  <w14:solidFill>
                    <w14:schemeClr w14:val="tx1"/>
                  </w14:solidFill>
                </w14:textFill>
              </w:rPr>
            </w:pPr>
          </w:p>
        </w:tc>
        <w:tc>
          <w:tcPr>
            <w:tcW w:w="689" w:type="pct"/>
            <w:gridSpan w:val="2"/>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二类区</w:t>
            </w:r>
          </w:p>
        </w:tc>
        <w:tc>
          <w:tcPr>
            <w:tcW w:w="1147" w:type="pct"/>
            <w:gridSpan w:val="8"/>
            <w:shd w:val="clear" w:color="auto" w:fill="auto"/>
            <w:vAlign w:val="center"/>
          </w:tcPr>
          <w:p>
            <w:pPr>
              <w:pStyle w:val="332"/>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𝐶</w:t>
            </w:r>
            <w:r>
              <w:rPr>
                <w:color w:val="000000" w:themeColor="text1"/>
                <w:vertAlign w:val="subscript"/>
                <w14:textFill>
                  <w14:solidFill>
                    <w14:schemeClr w14:val="tx1"/>
                  </w14:solidFill>
                </w14:textFill>
              </w:rPr>
              <w:t>本项目</w:t>
            </w:r>
            <w:r>
              <w:rPr>
                <w:color w:val="000000" w:themeColor="text1"/>
                <w14:textFill>
                  <w14:solidFill>
                    <w14:schemeClr w14:val="tx1"/>
                  </w14:solidFill>
                </w14:textFill>
              </w:rPr>
              <w:t>最大占标率≤30%□</w:t>
            </w:r>
          </w:p>
        </w:tc>
        <w:tc>
          <w:tcPr>
            <w:tcW w:w="1753" w:type="pct"/>
            <w:gridSpan w:val="11"/>
            <w:shd w:val="clear" w:color="auto" w:fill="auto"/>
            <w:vAlign w:val="center"/>
          </w:tcPr>
          <w:p>
            <w:pPr>
              <w:pStyle w:val="332"/>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𝐶</w:t>
            </w:r>
            <w:r>
              <w:rPr>
                <w:color w:val="000000" w:themeColor="text1"/>
                <w:vertAlign w:val="subscript"/>
                <w14:textFill>
                  <w14:solidFill>
                    <w14:schemeClr w14:val="tx1"/>
                  </w14:solidFill>
                </w14:textFill>
              </w:rPr>
              <w:t>本项目</w:t>
            </w:r>
            <w:r>
              <w:rPr>
                <w:color w:val="000000" w:themeColor="text1"/>
                <w14:textFill>
                  <w14:solidFill>
                    <w14:schemeClr w14:val="tx1"/>
                  </w14:solidFill>
                </w14:textFill>
              </w:rPr>
              <w:t>最大标率＞30%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非正常排放1h浓度贡献值</w:t>
            </w:r>
          </w:p>
        </w:tc>
        <w:tc>
          <w:tcPr>
            <w:tcW w:w="1332" w:type="pct"/>
            <w:gridSpan w:val="6"/>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非正常持续时长（）h</w:t>
            </w:r>
          </w:p>
        </w:tc>
        <w:tc>
          <w:tcPr>
            <w:tcW w:w="1164" w:type="pct"/>
            <w:gridSpan w:val="8"/>
            <w:shd w:val="clear" w:color="auto" w:fill="auto"/>
            <w:vAlign w:val="center"/>
          </w:tcPr>
          <w:p>
            <w:pPr>
              <w:pStyle w:val="332"/>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𝐶</w:t>
            </w:r>
            <w:r>
              <w:rPr>
                <w:color w:val="000000" w:themeColor="text1"/>
                <w:vertAlign w:val="subscript"/>
                <w14:textFill>
                  <w14:solidFill>
                    <w14:schemeClr w14:val="tx1"/>
                  </w14:solidFill>
                </w14:textFill>
              </w:rPr>
              <w:t>非正常</w:t>
            </w:r>
            <w:r>
              <w:rPr>
                <w:color w:val="000000" w:themeColor="text1"/>
                <w14:textFill>
                  <w14:solidFill>
                    <w14:schemeClr w14:val="tx1"/>
                  </w14:solidFill>
                </w14:textFill>
              </w:rPr>
              <w:t>占标率≤100%□</w:t>
            </w:r>
          </w:p>
        </w:tc>
        <w:tc>
          <w:tcPr>
            <w:tcW w:w="1094" w:type="pct"/>
            <w:gridSpan w:val="7"/>
            <w:shd w:val="clear" w:color="auto" w:fill="auto"/>
            <w:vAlign w:val="center"/>
          </w:tcPr>
          <w:p>
            <w:pPr>
              <w:pStyle w:val="332"/>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𝐶</w:t>
            </w:r>
            <w:r>
              <w:rPr>
                <w:color w:val="000000" w:themeColor="text1"/>
                <w:vertAlign w:val="subscript"/>
                <w14:textFill>
                  <w14:solidFill>
                    <w14:schemeClr w14:val="tx1"/>
                  </w14:solidFill>
                </w14:textFill>
              </w:rPr>
              <w:t>非正常</w:t>
            </w:r>
            <w:r>
              <w:rPr>
                <w:color w:val="000000" w:themeColor="text1"/>
                <w14:textFill>
                  <w14:solidFill>
                    <w14:schemeClr w14:val="tx1"/>
                  </w14:solidFill>
                </w14:textFill>
              </w:rPr>
              <w:t>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保证率日平均浓度和年平均浓度叠加值</w:t>
            </w:r>
          </w:p>
        </w:tc>
        <w:tc>
          <w:tcPr>
            <w:tcW w:w="1836" w:type="pct"/>
            <w:gridSpan w:val="10"/>
            <w:shd w:val="clear" w:color="auto" w:fill="auto"/>
            <w:vAlign w:val="center"/>
          </w:tcPr>
          <w:p>
            <w:pPr>
              <w:pStyle w:val="332"/>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𝐶</w:t>
            </w:r>
            <w:r>
              <w:rPr>
                <w:color w:val="000000" w:themeColor="text1"/>
                <w:vertAlign w:val="subscript"/>
                <w14:textFill>
                  <w14:solidFill>
                    <w14:schemeClr w14:val="tx1"/>
                  </w14:solidFill>
                </w14:textFill>
              </w:rPr>
              <w:t>叠加</w:t>
            </w:r>
            <w:r>
              <w:rPr>
                <w:color w:val="000000" w:themeColor="text1"/>
                <w14:textFill>
                  <w14:solidFill>
                    <w14:schemeClr w14:val="tx1"/>
                  </w14:solidFill>
                </w14:textFill>
              </w:rPr>
              <w:t>达标□</w:t>
            </w:r>
          </w:p>
        </w:tc>
        <w:tc>
          <w:tcPr>
            <w:tcW w:w="1753" w:type="pct"/>
            <w:gridSpan w:val="11"/>
            <w:shd w:val="clear" w:color="auto" w:fill="auto"/>
            <w:vAlign w:val="center"/>
          </w:tcPr>
          <w:p>
            <w:pPr>
              <w:pStyle w:val="332"/>
              <w:rPr>
                <w:color w:val="000000" w:themeColor="text1"/>
                <w14:textFill>
                  <w14:solidFill>
                    <w14:schemeClr w14:val="tx1"/>
                  </w14:solidFill>
                </w14:textFill>
              </w:rPr>
            </w:pPr>
            <w:r>
              <w:rPr>
                <w:rFonts w:ascii="Cambria Math" w:hAnsi="Cambria Math" w:cs="Cambria Math"/>
                <w:color w:val="000000" w:themeColor="text1"/>
                <w14:textFill>
                  <w14:solidFill>
                    <w14:schemeClr w14:val="tx1"/>
                  </w14:solidFill>
                </w14:textFill>
              </w:rPr>
              <w:t>𝐶</w:t>
            </w:r>
            <w:r>
              <w:rPr>
                <w:color w:val="000000" w:themeColor="text1"/>
                <w:vertAlign w:val="subscript"/>
                <w14:textFill>
                  <w14:solidFill>
                    <w14:schemeClr w14:val="tx1"/>
                  </w14:solidFill>
                </w14:textFill>
              </w:rPr>
              <w:t>叠加</w:t>
            </w:r>
            <w:r>
              <w:rPr>
                <w:color w:val="000000" w:themeColor="text1"/>
                <w14:textFill>
                  <w14:solidFill>
                    <w14:schemeClr w14:val="tx1"/>
                  </w14:solidFill>
                </w14:textFill>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区域环境质量的整体变化情况</w:t>
            </w:r>
          </w:p>
        </w:tc>
        <w:tc>
          <w:tcPr>
            <w:tcW w:w="1836" w:type="pct"/>
            <w:gridSpan w:val="10"/>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k ≤-20% □</w:t>
            </w:r>
          </w:p>
        </w:tc>
        <w:tc>
          <w:tcPr>
            <w:tcW w:w="1753" w:type="pct"/>
            <w:gridSpan w:val="11"/>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k ＞-20%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restar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环境监测计划</w:t>
            </w: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污染源监测</w:t>
            </w:r>
          </w:p>
        </w:tc>
        <w:tc>
          <w:tcPr>
            <w:tcW w:w="1467" w:type="pct"/>
            <w:gridSpan w:val="7"/>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监测因子：（氨、硫化氢）</w:t>
            </w:r>
          </w:p>
        </w:tc>
        <w:tc>
          <w:tcPr>
            <w:tcW w:w="1507" w:type="pct"/>
            <w:gridSpan w:val="12"/>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有组织废气监测</w:t>
            </w:r>
            <w:r>
              <w:rPr>
                <w:color w:val="000000" w:themeColor="text1"/>
                <w14:textFill>
                  <w14:solidFill>
                    <w14:schemeClr w14:val="tx1"/>
                  </w14:solidFill>
                </w14:textFill>
              </w:rPr>
              <w:sym w:font="Wingdings 2" w:char="0052"/>
            </w:r>
          </w:p>
          <w:p>
            <w:pPr>
              <w:pStyle w:val="332"/>
              <w:rPr>
                <w:color w:val="000000" w:themeColor="text1"/>
                <w14:textFill>
                  <w14:solidFill>
                    <w14:schemeClr w14:val="tx1"/>
                  </w14:solidFill>
                </w14:textFill>
              </w:rPr>
            </w:pPr>
            <w:r>
              <w:rPr>
                <w:color w:val="000000" w:themeColor="text1"/>
                <w14:textFill>
                  <w14:solidFill>
                    <w14:schemeClr w14:val="tx1"/>
                  </w14:solidFill>
                </w14:textFill>
              </w:rPr>
              <w:t>无组织废气监测</w:t>
            </w:r>
            <w:r>
              <w:rPr>
                <w:color w:val="000000" w:themeColor="text1"/>
                <w14:textFill>
                  <w14:solidFill>
                    <w14:schemeClr w14:val="tx1"/>
                  </w14:solidFill>
                </w14:textFill>
              </w:rPr>
              <w:sym w:font="Wingdings 2" w:char="0052"/>
            </w:r>
          </w:p>
        </w:tc>
        <w:tc>
          <w:tcPr>
            <w:tcW w:w="615" w:type="pct"/>
            <w:gridSpan w:val="2"/>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环境质量监测</w:t>
            </w:r>
          </w:p>
        </w:tc>
        <w:tc>
          <w:tcPr>
            <w:tcW w:w="1467" w:type="pct"/>
            <w:gridSpan w:val="7"/>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监测因子：（无）</w:t>
            </w:r>
          </w:p>
        </w:tc>
        <w:tc>
          <w:tcPr>
            <w:tcW w:w="1507" w:type="pct"/>
            <w:gridSpan w:val="12"/>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监测点位数（无）</w:t>
            </w:r>
          </w:p>
        </w:tc>
        <w:tc>
          <w:tcPr>
            <w:tcW w:w="615" w:type="pct"/>
            <w:gridSpan w:val="2"/>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restar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评价结论</w:t>
            </w: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环境影响</w:t>
            </w:r>
          </w:p>
        </w:tc>
        <w:tc>
          <w:tcPr>
            <w:tcW w:w="3589" w:type="pct"/>
            <w:gridSpan w:val="21"/>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可以接受</w:t>
            </w:r>
            <w:r>
              <w:rPr>
                <w:color w:val="000000" w:themeColor="text1"/>
                <w14:textFill>
                  <w14:solidFill>
                    <w14:schemeClr w14:val="tx1"/>
                  </w14:solidFill>
                </w14:textFill>
              </w:rPr>
              <w:sym w:font="Wingdings 2" w:char="0052"/>
            </w:r>
            <w:r>
              <w:rPr>
                <w:color w:val="000000" w:themeColor="text1"/>
                <w14:textFill>
                  <w14:solidFill>
                    <w14:schemeClr w14:val="tx1"/>
                  </w14:solidFill>
                </w14:textFill>
              </w:rPr>
              <w:t xml:space="preserve">         不可以接受□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大气环境防护距离</w:t>
            </w:r>
          </w:p>
        </w:tc>
        <w:tc>
          <w:tcPr>
            <w:tcW w:w="3589" w:type="pct"/>
            <w:gridSpan w:val="21"/>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距（）厂界最远（）m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shd w:val="clear" w:color="auto" w:fill="auto"/>
            <w:vAlign w:val="center"/>
          </w:tcPr>
          <w:p>
            <w:pPr>
              <w:pStyle w:val="332"/>
              <w:rPr>
                <w:color w:val="000000" w:themeColor="text1"/>
                <w14:textFill>
                  <w14:solidFill>
                    <w14:schemeClr w14:val="tx1"/>
                  </w14:solidFill>
                </w14:textFill>
              </w:rPr>
            </w:pPr>
          </w:p>
        </w:tc>
        <w:tc>
          <w:tcPr>
            <w:tcW w:w="989" w:type="pct"/>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污染源年排放量</w:t>
            </w:r>
          </w:p>
        </w:tc>
        <w:tc>
          <w:tcPr>
            <w:tcW w:w="843" w:type="pct"/>
            <w:gridSpan w:val="3"/>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：0.0014</w:t>
            </w:r>
          </w:p>
        </w:tc>
        <w:tc>
          <w:tcPr>
            <w:tcW w:w="847" w:type="pct"/>
            <w:gridSpan w:val="6"/>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NOx：0.045</w:t>
            </w:r>
          </w:p>
        </w:tc>
        <w:tc>
          <w:tcPr>
            <w:tcW w:w="1092" w:type="pct"/>
            <w:gridSpan w:val="8"/>
            <w:shd w:val="clear" w:color="auto" w:fill="auto"/>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颗粒物：0.0015t/a</w:t>
            </w:r>
          </w:p>
        </w:tc>
        <w:tc>
          <w:tcPr>
            <w:tcW w:w="807" w:type="pct"/>
            <w:gridSpan w:val="4"/>
            <w:shd w:val="clear" w:color="auto" w:fill="auto"/>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VOC：(     )t/a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23"/>
            <w:shd w:val="clear" w:color="auto" w:fill="auto"/>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注：“□”为勾选项，填“√”；“（）” 为内容填写项</w:t>
            </w:r>
          </w:p>
        </w:tc>
      </w:tr>
    </w:tbl>
    <w:p>
      <w:pPr>
        <w:pStyle w:val="3"/>
        <w:spacing w:before="120" w:after="120"/>
        <w:rPr>
          <w:rFonts w:cs="Times New Roman"/>
          <w:color w:val="000000" w:themeColor="text1"/>
          <w14:textFill>
            <w14:solidFill>
              <w14:schemeClr w14:val="tx1"/>
            </w14:solidFill>
          </w14:textFill>
        </w:rPr>
      </w:pPr>
      <w:bookmarkStart w:id="561" w:name="_Toc91163922"/>
      <w:r>
        <w:rPr>
          <w:rFonts w:cs="Times New Roman"/>
          <w:color w:val="000000" w:themeColor="text1"/>
          <w14:textFill>
            <w14:solidFill>
              <w14:schemeClr w14:val="tx1"/>
            </w14:solidFill>
          </w14:textFill>
        </w:rPr>
        <w:t>5.3  运营期地表水环境影响评价</w:t>
      </w:r>
      <w:bookmarkEnd w:id="561"/>
    </w:p>
    <w:p>
      <w:pPr>
        <w:pStyle w:val="4"/>
        <w:rPr>
          <w:rFonts w:cs="Times New Roman"/>
          <w:color w:val="000000" w:themeColor="text1"/>
          <w14:textFill>
            <w14:solidFill>
              <w14:schemeClr w14:val="tx1"/>
            </w14:solidFill>
          </w14:textFill>
        </w:rPr>
      </w:pPr>
      <w:bookmarkStart w:id="562" w:name="_Toc91163923"/>
      <w:r>
        <w:rPr>
          <w:rFonts w:cs="Times New Roman"/>
          <w:color w:val="000000" w:themeColor="text1"/>
          <w14:textFill>
            <w14:solidFill>
              <w14:schemeClr w14:val="tx1"/>
            </w14:solidFill>
          </w14:textFill>
        </w:rPr>
        <w:t>5.3.1 评价等级判定</w:t>
      </w:r>
      <w:bookmarkEnd w:id="562"/>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根据《环境影响评价技术导则 地表水环境》（HJ/T2.3-2018）导则判定，本项目属于水污染影响型建设项目，项目食堂废水经隔油处理后与其他废水一起进入治污区处理，处理工艺为“预处理+厌氧发酵”工艺，处理后的沼液用于周围农田施肥。项目经此工艺处理后废水综合利用，不外排。评价等级定为三级B，本次评价主要分析废水不外排的保证性。</w:t>
      </w:r>
    </w:p>
    <w:p>
      <w:pPr>
        <w:pStyle w:val="4"/>
        <w:rPr>
          <w:rFonts w:cs="Times New Roman"/>
          <w:color w:val="000000" w:themeColor="text1"/>
          <w14:textFill>
            <w14:solidFill>
              <w14:schemeClr w14:val="tx1"/>
            </w14:solidFill>
          </w14:textFill>
        </w:rPr>
      </w:pPr>
      <w:bookmarkStart w:id="563" w:name="_Toc91163924"/>
      <w:r>
        <w:rPr>
          <w:rFonts w:cs="Times New Roman"/>
          <w:color w:val="000000" w:themeColor="text1"/>
          <w14:textFill>
            <w14:solidFill>
              <w14:schemeClr w14:val="tx1"/>
            </w14:solidFill>
          </w14:textFill>
        </w:rPr>
        <w:t>5.3.2 废水不外排保证性</w:t>
      </w:r>
      <w:bookmarkEnd w:id="563"/>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1、废水产生量</w:t>
      </w:r>
    </w:p>
    <w:p>
      <w:pPr>
        <w:ind w:firstLine="480"/>
        <w:rPr>
          <w:rFonts w:cs="Times New Roman"/>
          <w:color w:val="000000" w:themeColor="text1"/>
          <w:lang w:bidi="en-US"/>
          <w14:textFill>
            <w14:solidFill>
              <w14:schemeClr w14:val="tx1"/>
            </w14:solidFill>
          </w14:textFill>
        </w:rPr>
      </w:pPr>
      <w:r>
        <w:rPr>
          <w:rFonts w:cs="Times New Roman"/>
          <w:color w:val="000000" w:themeColor="text1"/>
          <w14:textFill>
            <w14:solidFill>
              <w14:schemeClr w14:val="tx1"/>
            </w14:solidFill>
          </w14:textFill>
        </w:rPr>
        <w:t>本项目产生的污水主要为职工生活污水、养殖废水（猪尿、冲洗废水）、</w:t>
      </w:r>
      <w:r>
        <w:rPr>
          <w:rFonts w:cs="Times New Roman"/>
          <w:color w:val="000000" w:themeColor="text1"/>
          <w:lang w:bidi="en-US"/>
          <w14:textFill>
            <w14:solidFill>
              <w14:schemeClr w14:val="tx1"/>
            </w14:solidFill>
          </w14:textFill>
        </w:rPr>
        <w:t>无害化设备冷凝水、堆肥发酵场滤液；</w:t>
      </w:r>
      <w:r>
        <w:rPr>
          <w:rFonts w:cs="Times New Roman"/>
          <w:color w:val="000000" w:themeColor="text1"/>
          <w14:textFill>
            <w14:solidFill>
              <w14:schemeClr w14:val="tx1"/>
            </w14:solidFill>
          </w14:textFill>
        </w:rPr>
        <w:t>根据工程分析3.2.1.3小结，</w:t>
      </w:r>
      <w:r>
        <w:rPr>
          <w:rFonts w:cs="Times New Roman"/>
          <w:color w:val="000000" w:themeColor="text1"/>
          <w:lang w:bidi="en-US"/>
          <w14:textFill>
            <w14:solidFill>
              <w14:schemeClr w14:val="tx1"/>
            </w14:solidFill>
          </w14:textFill>
        </w:rPr>
        <w:t>项目建成后废水产生量约为42.98 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/d（夏季）、30.88 m</w:t>
      </w:r>
      <w:r>
        <w:rPr>
          <w:rFonts w:cs="Times New Roman"/>
          <w:color w:val="000000" w:themeColor="text1"/>
          <w:vertAlign w:val="superscript"/>
          <w:lang w:bidi="en-US"/>
          <w14:textFill>
            <w14:solidFill>
              <w14:schemeClr w14:val="tx1"/>
            </w14:solidFill>
          </w14:textFill>
        </w:rPr>
        <w:t>3</w:t>
      </w:r>
      <w:r>
        <w:rPr>
          <w:rFonts w:cs="Times New Roman"/>
          <w:color w:val="000000" w:themeColor="text1"/>
          <w:lang w:bidi="en-US"/>
          <w14:textFill>
            <w14:solidFill>
              <w14:schemeClr w14:val="tx1"/>
            </w14:solidFill>
          </w14:textFill>
        </w:rPr>
        <w:t>/d（其他季节），共计</w:t>
      </w:r>
      <w:r>
        <w:rPr>
          <w:rFonts w:cs="Times New Roman"/>
          <w:color w:val="000000" w:themeColor="text1"/>
          <w14:textFill>
            <w14:solidFill>
              <w14:schemeClr w14:val="tx1"/>
            </w14:solidFill>
          </w14:textFill>
        </w:rPr>
        <w:t xml:space="preserve">12719.9 </w:t>
      </w:r>
      <w:r>
        <w:rPr>
          <w:rFonts w:cs="Times New Roman"/>
          <w:color w:val="000000" w:themeColor="text1"/>
          <w:lang w:bidi="en-US"/>
          <w14:textFill>
            <w14:solidFill>
              <w14:schemeClr w14:val="tx1"/>
            </w14:solidFill>
          </w14:textFill>
        </w:rPr>
        <w:t>t/a。</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2、初期雨水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初期雨水经雨水管网收集后进入</w:t>
      </w:r>
      <w:r>
        <w:rPr>
          <w:rFonts w:cs="Times New Roman"/>
          <w:color w:val="000000" w:themeColor="text1"/>
          <w:szCs w:val="24"/>
          <w14:textFill>
            <w14:solidFill>
              <w14:schemeClr w14:val="tx1"/>
            </w14:solidFill>
          </w14:textFill>
        </w:rPr>
        <w:t>自建污水处理设施进行处理，</w:t>
      </w:r>
      <w:r>
        <w:rPr>
          <w:rFonts w:cs="Times New Roman"/>
          <w:color w:val="000000" w:themeColor="text1"/>
          <w14:textFill>
            <w14:solidFill>
              <w14:schemeClr w14:val="tx1"/>
            </w14:solidFill>
          </w14:textFill>
        </w:rPr>
        <w:t>后期雨水经地势差排出场外。</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对于初期雨水量，按下式计算：</w:t>
      </w:r>
    </w:p>
    <w:p>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Q=Ф×q×F</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其中：Q—初期雨水流量（L/s）</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SKIPIF 1 &lt; 0     </w:instrText>
      </w:r>
      <w:r>
        <w:rPr>
          <w:rFonts w:cs="Times New Roman"/>
          <w:color w:val="000000" w:themeColor="text1"/>
          <w14:textFill>
            <w14:solidFill>
              <w14:schemeClr w14:val="tx1"/>
            </w14:solidFill>
          </w14:textFill>
        </w:rPr>
        <w:fldChar w:fldCharType="separate"/>
      </w:r>
      <w:r>
        <w:rPr>
          <w:rFonts w:cs="Times New Roman"/>
          <w:color w:val="000000" w:themeColor="text1"/>
          <w14:textFill>
            <w14:solidFill>
              <w14:schemeClr w14:val="tx1"/>
            </w14:solidFill>
          </w14:textFill>
        </w:rPr>
        <w:t>Ф</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—径流系数，取0.9；</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q—设计暴雨强度（L/s·公顷）；</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F—汇水面积（0.9 hm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暴雨强度q采用长治暴雨强度公式：</w:t>
      </w:r>
    </w:p>
    <w:p>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q=</m:t>
          </m:r>
          <m:f>
            <m:fPr>
              <m:ctrlPr>
                <w:rPr>
                  <w:rFonts w:ascii="Cambria Math" w:hAnsi="Cambria Math" w:cs="Times New Roman"/>
                  <w:bCs/>
                  <w:color w:val="000000" w:themeColor="text1"/>
                  <w14:textFill>
                    <w14:solidFill>
                      <w14:schemeClr w14:val="tx1"/>
                    </w14:solidFill>
                  </w14:textFill>
                </w:rPr>
              </m:ctrlPr>
            </m:fPr>
            <m:num>
              <m:r>
                <m:rPr>
                  <m:sty m:val="p"/>
                </m:rPr>
                <w:rPr>
                  <w:rFonts w:ascii="Cambria Math" w:hAnsi="Cambria Math" w:cs="Times New Roman"/>
                  <w:color w:val="000000" w:themeColor="text1"/>
                  <w14:textFill>
                    <w14:solidFill>
                      <w14:schemeClr w14:val="tx1"/>
                    </w14:solidFill>
                  </w14:textFill>
                </w:rPr>
                <m:t>3340(1+1.43lgT)</m:t>
              </m:r>
              <m:ctrlPr>
                <w:rPr>
                  <w:rFonts w:ascii="Cambria Math" w:hAnsi="Cambria Math" w:cs="Times New Roman"/>
                  <w:bCs/>
                  <w:color w:val="000000" w:themeColor="text1"/>
                  <w14:textFill>
                    <w14:solidFill>
                      <w14:schemeClr w14:val="tx1"/>
                    </w14:solidFill>
                  </w14:textFill>
                </w:rPr>
              </m:ctrlPr>
            </m:num>
            <m:den>
              <m:sSup>
                <m:sSupPr>
                  <m:ctrlPr>
                    <w:rPr>
                      <w:rFonts w:ascii="Cambria Math" w:hAnsi="Cambria Math" w:cs="Times New Roman"/>
                      <w:bCs/>
                      <w:color w:val="000000" w:themeColor="text1"/>
                      <w14:textFill>
                        <w14:solidFill>
                          <w14:schemeClr w14:val="tx1"/>
                        </w14:solidFill>
                      </w14:textFill>
                    </w:rPr>
                  </m:ctrlPr>
                </m:sSupPr>
                <m:e>
                  <m:r>
                    <m:rPr>
                      <m:sty m:val="p"/>
                    </m:rPr>
                    <w:rPr>
                      <w:rFonts w:ascii="Cambria Math" w:hAnsi="Cambria Math" w:cs="Times New Roman"/>
                      <w:color w:val="000000" w:themeColor="text1"/>
                      <w14:textFill>
                        <w14:solidFill>
                          <w14:schemeClr w14:val="tx1"/>
                        </w14:solidFill>
                      </w14:textFill>
                    </w:rPr>
                    <m:t>(t+15.8)</m:t>
                  </m:r>
                  <m:ctrlPr>
                    <w:rPr>
                      <w:rFonts w:ascii="Cambria Math" w:hAnsi="Cambria Math" w:cs="Times New Roman"/>
                      <w:bCs/>
                      <w:color w:val="000000" w:themeColor="text1"/>
                      <w14:textFill>
                        <w14:solidFill>
                          <w14:schemeClr w14:val="tx1"/>
                        </w14:solidFill>
                      </w14:textFill>
                    </w:rPr>
                  </m:ctrlPr>
                </m:e>
                <m:sup>
                  <m:r>
                    <m:rPr>
                      <m:sty m:val="p"/>
                    </m:rPr>
                    <w:rPr>
                      <w:rFonts w:ascii="Cambria Math" w:hAnsi="Cambria Math" w:cs="Times New Roman"/>
                      <w:color w:val="000000" w:themeColor="text1"/>
                      <w14:textFill>
                        <w14:solidFill>
                          <w14:schemeClr w14:val="tx1"/>
                        </w14:solidFill>
                      </w14:textFill>
                    </w:rPr>
                    <m:t>0.93</m:t>
                  </m:r>
                  <m:ctrlPr>
                    <w:rPr>
                      <w:rFonts w:ascii="Cambria Math" w:hAnsi="Cambria Math" w:cs="Times New Roman"/>
                      <w:bCs/>
                      <w:color w:val="000000" w:themeColor="text1"/>
                      <w14:textFill>
                        <w14:solidFill>
                          <w14:schemeClr w14:val="tx1"/>
                        </w14:solidFill>
                      </w14:textFill>
                    </w:rPr>
                  </m:ctrlPr>
                </m:sup>
              </m:sSup>
              <m:ctrlPr>
                <w:rPr>
                  <w:rFonts w:ascii="Cambria Math" w:hAnsi="Cambria Math" w:cs="Times New Roman"/>
                  <w:bCs/>
                  <w:color w:val="000000" w:themeColor="text1"/>
                  <w14:textFill>
                    <w14:solidFill>
                      <w14:schemeClr w14:val="tx1"/>
                    </w14:solidFill>
                  </w14:textFill>
                </w:rPr>
              </m:ctrlPr>
            </m:den>
          </m:f>
        </m:oMath>
      </m:oMathPara>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式中：T—设计重现期，取2年；</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t—降雨历时（取15 min）。</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经计算，暴雨强度q=</w:t>
      </w:r>
      <w:r>
        <w:rPr>
          <w:rFonts w:cs="Times New Roman"/>
          <w:bCs/>
          <w:color w:val="000000" w:themeColor="text1"/>
          <w14:textFill>
            <w14:solidFill>
              <w14:schemeClr w14:val="tx1"/>
            </w14:solidFill>
          </w14:textFill>
        </w:rPr>
        <w:t>158.7</w:t>
      </w:r>
      <w:r>
        <w:rPr>
          <w:rFonts w:cs="Times New Roman"/>
          <w:color w:val="000000" w:themeColor="text1"/>
          <w14:textFill>
            <w14:solidFill>
              <w14:schemeClr w14:val="tx1"/>
            </w14:solidFill>
          </w14:textFill>
        </w:rPr>
        <w:t xml:space="preserve"> L/s·公顷，初期雨水量Q=128.6 L/s，本项目厂区每次需要收集的前15 min初期雨水水量为115.7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。环评要求在初期雨水经雨水管线收集后进入自建污水处理设施，后期雨水经地势差排出场外。</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3、废水处理措施及去向</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食堂含油废水经隔油池处理后与生活污水、养殖区废水经废水收集系统收集后，进入粪污处理区处理，废水处理采用“预处理+厌氧处理+沼液暂存+沼液返田”工艺，处理后沼液储存于沼液塘中，回用于场区周围农田施肥，沼渣及猪粪便运至有机肥粪棚堆肥处理。项目经此工艺处理后废水综合利用，不外排。</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本项目废水类别、污染物及污染治理设施信息见表5.3-1。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表5.3-1</w:t>
      </w:r>
      <w:r>
        <w:rPr>
          <w:rFonts w:cs="Times New Roman"/>
          <w:bCs/>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废水类别、污染物及污染治理设施信息表</w:t>
      </w:r>
    </w:p>
    <w:p>
      <w:pPr>
        <w:kinsoku w:val="0"/>
        <w:overflowPunct w:val="0"/>
        <w:autoSpaceDE w:val="0"/>
        <w:autoSpaceDN w:val="0"/>
        <w:adjustRightInd w:val="0"/>
        <w:spacing w:before="10" w:line="240" w:lineRule="auto"/>
        <w:ind w:firstLine="0" w:firstLineChars="0"/>
        <w:jc w:val="left"/>
        <w:rPr>
          <w:rFonts w:cs="Times New Roman"/>
          <w:color w:val="000000" w:themeColor="text1"/>
          <w:kern w:val="0"/>
          <w:sz w:val="7"/>
          <w:szCs w:val="7"/>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548"/>
        <w:gridCol w:w="1179"/>
        <w:gridCol w:w="877"/>
        <w:gridCol w:w="650"/>
        <w:gridCol w:w="695"/>
        <w:gridCol w:w="896"/>
        <w:gridCol w:w="934"/>
        <w:gridCol w:w="906"/>
        <w:gridCol w:w="701"/>
        <w:gridCol w:w="892"/>
        <w:gridCol w:w="823"/>
      </w:tblGrid>
      <w:tr>
        <w:tblPrEx>
          <w:tblCellMar>
            <w:top w:w="0" w:type="dxa"/>
            <w:left w:w="0" w:type="dxa"/>
            <w:bottom w:w="0" w:type="dxa"/>
            <w:right w:w="0" w:type="dxa"/>
          </w:tblCellMar>
        </w:tblPrEx>
        <w:trPr>
          <w:trHeight w:val="397" w:hRule="atLeast"/>
        </w:trPr>
        <w:tc>
          <w:tcPr>
            <w:tcW w:w="301" w:type="pct"/>
            <w:vMerge w:val="restart"/>
            <w:tcBorders>
              <w:top w:val="single" w:color="auto" w:sz="12"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序号</w:t>
            </w:r>
          </w:p>
        </w:tc>
        <w:tc>
          <w:tcPr>
            <w:tcW w:w="648" w:type="pct"/>
            <w:vMerge w:val="restart"/>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废水类别</w:t>
            </w:r>
          </w:p>
        </w:tc>
        <w:tc>
          <w:tcPr>
            <w:tcW w:w="482" w:type="pct"/>
            <w:vMerge w:val="restart"/>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污染物种类</w:t>
            </w:r>
          </w:p>
        </w:tc>
        <w:tc>
          <w:tcPr>
            <w:tcW w:w="357" w:type="pct"/>
            <w:vMerge w:val="restart"/>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排放去向</w:t>
            </w:r>
          </w:p>
        </w:tc>
        <w:tc>
          <w:tcPr>
            <w:tcW w:w="382" w:type="pct"/>
            <w:vMerge w:val="restart"/>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排放规律</w:t>
            </w:r>
          </w:p>
        </w:tc>
        <w:tc>
          <w:tcPr>
            <w:tcW w:w="1503" w:type="pct"/>
            <w:gridSpan w:val="3"/>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污染治理设施</w:t>
            </w:r>
          </w:p>
        </w:tc>
        <w:tc>
          <w:tcPr>
            <w:tcW w:w="385" w:type="pct"/>
            <w:vMerge w:val="restart"/>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排放口编号</w:t>
            </w:r>
          </w:p>
        </w:tc>
        <w:tc>
          <w:tcPr>
            <w:tcW w:w="490" w:type="pct"/>
            <w:vMerge w:val="restart"/>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排放口设置是否符合要求</w:t>
            </w:r>
          </w:p>
        </w:tc>
        <w:tc>
          <w:tcPr>
            <w:tcW w:w="452" w:type="pct"/>
            <w:vMerge w:val="restart"/>
            <w:tcBorders>
              <w:top w:val="single" w:color="auto" w:sz="12"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排放口类型</w:t>
            </w:r>
          </w:p>
        </w:tc>
      </w:tr>
      <w:tr>
        <w:tblPrEx>
          <w:tblCellMar>
            <w:top w:w="0" w:type="dxa"/>
            <w:left w:w="0" w:type="dxa"/>
            <w:bottom w:w="0" w:type="dxa"/>
            <w:right w:w="0" w:type="dxa"/>
          </w:tblCellMar>
        </w:tblPrEx>
        <w:trPr>
          <w:trHeight w:val="397" w:hRule="atLeast"/>
        </w:trPr>
        <w:tc>
          <w:tcPr>
            <w:tcW w:w="301" w:type="pct"/>
            <w:vMerge w:val="continue"/>
            <w:tcBorders>
              <w:top w:val="single" w:color="000000" w:sz="10" w:space="0"/>
              <w:left w:val="single" w:color="auto"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p>
        </w:tc>
        <w:tc>
          <w:tcPr>
            <w:tcW w:w="648" w:type="pct"/>
            <w:vMerge w:val="continue"/>
            <w:tcBorders>
              <w:top w:val="single" w:color="000000" w:sz="10"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p>
        </w:tc>
        <w:tc>
          <w:tcPr>
            <w:tcW w:w="482" w:type="pct"/>
            <w:vMerge w:val="continue"/>
            <w:tcBorders>
              <w:top w:val="single" w:color="000000" w:sz="10"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p>
        </w:tc>
        <w:tc>
          <w:tcPr>
            <w:tcW w:w="357" w:type="pct"/>
            <w:vMerge w:val="continue"/>
            <w:tcBorders>
              <w:top w:val="single" w:color="000000" w:sz="10"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p>
        </w:tc>
        <w:tc>
          <w:tcPr>
            <w:tcW w:w="382" w:type="pct"/>
            <w:vMerge w:val="continue"/>
            <w:tcBorders>
              <w:top w:val="single" w:color="000000" w:sz="10"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p>
        </w:tc>
        <w:tc>
          <w:tcPr>
            <w:tcW w:w="492" w:type="pct"/>
            <w:tcBorders>
              <w:top w:val="single" w:color="000000" w:sz="4"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污染治理设施编号</w:t>
            </w:r>
          </w:p>
        </w:tc>
        <w:tc>
          <w:tcPr>
            <w:tcW w:w="513" w:type="pct"/>
            <w:tcBorders>
              <w:top w:val="single" w:color="000000" w:sz="4"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污染治理设施名称</w:t>
            </w:r>
          </w:p>
        </w:tc>
        <w:tc>
          <w:tcPr>
            <w:tcW w:w="498" w:type="pct"/>
            <w:tcBorders>
              <w:top w:val="single" w:color="000000" w:sz="4"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污染治理设施工艺</w:t>
            </w:r>
          </w:p>
        </w:tc>
        <w:tc>
          <w:tcPr>
            <w:tcW w:w="385" w:type="pct"/>
            <w:vMerge w:val="continue"/>
            <w:tcBorders>
              <w:top w:val="single" w:color="000000" w:sz="10"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p>
        </w:tc>
        <w:tc>
          <w:tcPr>
            <w:tcW w:w="490" w:type="pct"/>
            <w:vMerge w:val="continue"/>
            <w:tcBorders>
              <w:top w:val="single" w:color="000000" w:sz="10"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p>
        </w:tc>
        <w:tc>
          <w:tcPr>
            <w:tcW w:w="452" w:type="pct"/>
            <w:vMerge w:val="continue"/>
            <w:tcBorders>
              <w:top w:val="single" w:color="000000" w:sz="10" w:space="0"/>
              <w:left w:val="single" w:color="000000" w:sz="6"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1" w:type="pct"/>
            <w:tcBorders>
              <w:top w:val="single" w:color="auto" w:sz="12" w:space="0"/>
              <w:left w:val="single" w:color="auto"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w w:val="99"/>
                <w:szCs w:val="21"/>
                <w14:textFill>
                  <w14:solidFill>
                    <w14:schemeClr w14:val="tx1"/>
                  </w14:solidFill>
                </w14:textFill>
              </w:rPr>
              <w:t>1</w:t>
            </w:r>
          </w:p>
        </w:tc>
        <w:tc>
          <w:tcPr>
            <w:tcW w:w="648"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养殖废水、生活污水、冷凝水、渗滤液</w:t>
            </w:r>
          </w:p>
        </w:tc>
        <w:tc>
          <w:tcPr>
            <w:tcW w:w="482"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COD、</w:t>
            </w:r>
            <w:r>
              <w:rPr>
                <w:color w:val="000000" w:themeColor="text1"/>
                <w:position w:val="2"/>
                <w:szCs w:val="21"/>
                <w14:textFill>
                  <w14:solidFill>
                    <w14:schemeClr w14:val="tx1"/>
                  </w14:solidFill>
                </w14:textFill>
              </w:rPr>
              <w:t>BOD</w:t>
            </w:r>
            <w:r>
              <w:rPr>
                <w:color w:val="000000" w:themeColor="text1"/>
                <w:sz w:val="13"/>
                <w:szCs w:val="13"/>
                <w14:textFill>
                  <w14:solidFill>
                    <w14:schemeClr w14:val="tx1"/>
                  </w14:solidFill>
                </w14:textFill>
              </w:rPr>
              <w:t>5</w:t>
            </w:r>
            <w:r>
              <w:rPr>
                <w:color w:val="000000" w:themeColor="text1"/>
                <w:position w:val="2"/>
                <w:szCs w:val="21"/>
                <w14:textFill>
                  <w14:solidFill>
                    <w14:schemeClr w14:val="tx1"/>
                  </w14:solidFill>
                </w14:textFill>
              </w:rPr>
              <w:t>、</w:t>
            </w:r>
            <w:r>
              <w:rPr>
                <w:color w:val="000000" w:themeColor="text1"/>
                <w:szCs w:val="21"/>
                <w14:textFill>
                  <w14:solidFill>
                    <w14:schemeClr w14:val="tx1"/>
                  </w14:solidFill>
                </w14:textFill>
              </w:rPr>
              <w:t>SS、</w:t>
            </w:r>
            <w:r>
              <w:rPr>
                <w:color w:val="000000" w:themeColor="text1"/>
                <w:position w:val="2"/>
                <w:szCs w:val="21"/>
                <w14:textFill>
                  <w14:solidFill>
                    <w14:schemeClr w14:val="tx1"/>
                  </w14:solidFill>
                </w14:textFill>
              </w:rPr>
              <w:t>NH</w:t>
            </w:r>
            <w:r>
              <w:rPr>
                <w:color w:val="000000" w:themeColor="text1"/>
                <w:sz w:val="13"/>
                <w:szCs w:val="13"/>
                <w14:textFill>
                  <w14:solidFill>
                    <w14:schemeClr w14:val="tx1"/>
                  </w14:solidFill>
                </w14:textFill>
              </w:rPr>
              <w:t>3</w:t>
            </w:r>
            <w:r>
              <w:rPr>
                <w:color w:val="000000" w:themeColor="text1"/>
                <w:position w:val="2"/>
                <w:szCs w:val="21"/>
                <w14:textFill>
                  <w14:solidFill>
                    <w14:schemeClr w14:val="tx1"/>
                  </w14:solidFill>
                </w14:textFill>
              </w:rPr>
              <w:t>-N</w:t>
            </w:r>
          </w:p>
        </w:tc>
        <w:tc>
          <w:tcPr>
            <w:tcW w:w="357"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不外排</w:t>
            </w:r>
          </w:p>
        </w:tc>
        <w:tc>
          <w:tcPr>
            <w:tcW w:w="382"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w w:val="99"/>
                <w:szCs w:val="21"/>
                <w14:textFill>
                  <w14:solidFill>
                    <w14:schemeClr w14:val="tx1"/>
                  </w14:solidFill>
                </w14:textFill>
              </w:rPr>
              <w:t>/</w:t>
            </w:r>
          </w:p>
        </w:tc>
        <w:tc>
          <w:tcPr>
            <w:tcW w:w="492"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TW001</w:t>
            </w:r>
          </w:p>
        </w:tc>
        <w:tc>
          <w:tcPr>
            <w:tcW w:w="513"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预处理+厌氧发酵</w:t>
            </w:r>
          </w:p>
        </w:tc>
        <w:tc>
          <w:tcPr>
            <w:tcW w:w="498"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预处理+厌氧发酵</w:t>
            </w:r>
          </w:p>
        </w:tc>
        <w:tc>
          <w:tcPr>
            <w:tcW w:w="385"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w w:val="99"/>
                <w:szCs w:val="21"/>
                <w14:textFill>
                  <w14:solidFill>
                    <w14:schemeClr w14:val="tx1"/>
                  </w14:solidFill>
                </w14:textFill>
              </w:rPr>
              <w:t>/</w:t>
            </w:r>
          </w:p>
        </w:tc>
        <w:tc>
          <w:tcPr>
            <w:tcW w:w="490"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w w:val="99"/>
                <w:szCs w:val="21"/>
                <w14:textFill>
                  <w14:solidFill>
                    <w14:schemeClr w14:val="tx1"/>
                  </w14:solidFill>
                </w14:textFill>
              </w:rPr>
              <w:t>/</w:t>
            </w:r>
          </w:p>
        </w:tc>
        <w:tc>
          <w:tcPr>
            <w:tcW w:w="452" w:type="pct"/>
            <w:tcBorders>
              <w:top w:val="single" w:color="auto" w:sz="12" w:space="0"/>
              <w:left w:val="single" w:color="000000" w:sz="6"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w w:val="99"/>
                <w:szCs w:val="21"/>
                <w14:textFill>
                  <w14:solidFill>
                    <w14:schemeClr w14:val="tx1"/>
                  </w14:solidFill>
                </w14:textFill>
              </w:rPr>
              <w:t>/</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因此，只要确保项目单位治污区各构筑物正常运行，粪污储存设施周围均设置围堰，并且将项目养殖过程中产生的猪尿、猪舍冲洗废水、</w:t>
      </w:r>
      <w:r>
        <w:rPr>
          <w:rFonts w:cs="Times New Roman"/>
          <w:color w:val="000000" w:themeColor="text1"/>
          <w:lang w:bidi="en-US"/>
          <w14:textFill>
            <w14:solidFill>
              <w14:schemeClr w14:val="tx1"/>
            </w14:solidFill>
          </w14:textFill>
        </w:rPr>
        <w:t>无害化设备冷凝水、堆肥发酵场滤液</w:t>
      </w:r>
      <w:r>
        <w:rPr>
          <w:rFonts w:cs="Times New Roman"/>
          <w:color w:val="000000" w:themeColor="text1"/>
          <w14:textFill>
            <w14:solidFill>
              <w14:schemeClr w14:val="tx1"/>
            </w14:solidFill>
          </w14:textFill>
        </w:rPr>
        <w:t>和食堂废水、生活污水经厌氧发酵处理后综合利用，本项目养殖及生活废水将不会对当地地表水环境产生大的影响。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4、事故池的设置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若废水处理设施发生故障，应将废水切换至事故应急池。待废水处理设施抢修完毕后，再将应急池内养殖废水逐步纳入污水处理站。且事故池最少应能贮存2天废水量。本项目运营后最大废水产生量为150.98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/d，故废水事故池容积应不小于320m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，考虑约有剩余，项目需设置360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的事故池，可满足要求。同时，本次环评要求事故池上方加盖，防雨淋且防渗、防漏；事故池高度应高于周围地平，并在四周设截水沟，防止径流雨水渗入。</w:t>
      </w:r>
    </w:p>
    <w:p>
      <w:pPr>
        <w:pStyle w:val="4"/>
        <w:tabs>
          <w:tab w:val="left" w:pos="6660"/>
        </w:tabs>
        <w:rPr>
          <w:rFonts w:cs="Times New Roman"/>
          <w:color w:val="000000" w:themeColor="text1"/>
          <w14:textFill>
            <w14:solidFill>
              <w14:schemeClr w14:val="tx1"/>
            </w14:solidFill>
          </w14:textFill>
        </w:rPr>
      </w:pPr>
      <w:bookmarkStart w:id="564" w:name="_Toc91163925"/>
      <w:r>
        <w:rPr>
          <w:rFonts w:cs="Times New Roman"/>
          <w:color w:val="000000" w:themeColor="text1"/>
          <w14:textFill>
            <w14:solidFill>
              <w14:schemeClr w14:val="tx1"/>
            </w14:solidFill>
          </w14:textFill>
        </w:rPr>
        <w:t>5.3.3 评价结论</w:t>
      </w:r>
      <w:bookmarkEnd w:id="564"/>
      <w:r>
        <w:rPr>
          <w:rFonts w:cs="Times New Roman"/>
          <w:color w:val="000000" w:themeColor="text1"/>
          <w14:textFill>
            <w14:solidFill>
              <w14:schemeClr w14:val="tx1"/>
            </w14:solidFill>
          </w14:textFill>
        </w:rPr>
        <w:tab/>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本项目产生的污水主要为职工生活污水、养殖废水（猪尿、冲洗废水）、</w:t>
      </w:r>
      <w:r>
        <w:rPr>
          <w:rFonts w:cs="Times New Roman"/>
          <w:color w:val="000000" w:themeColor="text1"/>
          <w:lang w:bidi="en-US"/>
          <w14:textFill>
            <w14:solidFill>
              <w14:schemeClr w14:val="tx1"/>
            </w14:solidFill>
          </w14:textFill>
        </w:rPr>
        <w:t>无害化设备冷凝水、堆肥发酵场滤液</w:t>
      </w:r>
      <w:r>
        <w:rPr>
          <w:rFonts w:cs="Times New Roman"/>
          <w:color w:val="000000" w:themeColor="text1"/>
          <w14:textFill>
            <w14:solidFill>
              <w14:schemeClr w14:val="tx1"/>
            </w14:solidFill>
          </w14:textFill>
        </w:rPr>
        <w:t>；食堂含油废水经隔油池处理后与生活污水、养殖区废水经废水收集系统收集后，进入粪污处理区处理，处理后沼液储存沼液塘中，回用于场区周围农田施肥，沼渣及猪粪便运至有机肥粪棚堆肥处理，不外排。评价要求各保障措施高效有效，加强粪污处理区的日常运行管理和维护，认真做好日常监测，发现问题及时解决；发生泄漏及溢流时，可及时发现并进行控制，不会对地表水造成影响，项目地表水环境影响可接受。</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本项目地表水环境影响评价自查表见表5.3-2。</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表5.3-2 地表水环境影响评价自查表</w:t>
      </w:r>
    </w:p>
    <w:tbl>
      <w:tblPr>
        <w:tblStyle w:val="53"/>
        <w:tblW w:w="517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7"/>
        <w:gridCol w:w="1460"/>
        <w:gridCol w:w="1561"/>
        <w:gridCol w:w="377"/>
        <w:gridCol w:w="329"/>
        <w:gridCol w:w="558"/>
        <w:gridCol w:w="441"/>
        <w:gridCol w:w="846"/>
        <w:gridCol w:w="506"/>
        <w:gridCol w:w="160"/>
        <w:gridCol w:w="266"/>
        <w:gridCol w:w="810"/>
        <w:gridCol w:w="93"/>
        <w:gridCol w:w="545"/>
        <w:gridCol w:w="11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03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工作内容</w:t>
            </w:r>
          </w:p>
        </w:tc>
        <w:tc>
          <w:tcPr>
            <w:tcW w:w="3968" w:type="pct"/>
            <w:gridSpan w:val="1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restart"/>
            <w:textDirection w:val="tbRlV"/>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影响识别</w:t>
            </w: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影响类型</w:t>
            </w:r>
          </w:p>
        </w:tc>
        <w:tc>
          <w:tcPr>
            <w:tcW w:w="3968" w:type="pct"/>
            <w:gridSpan w:val="13"/>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 xml:space="preserve">水污染影响型 </w:t>
            </w:r>
            <w:r>
              <w:rPr>
                <w:color w:val="000000" w:themeColor="text1"/>
                <w14:textFill>
                  <w14:solidFill>
                    <w14:schemeClr w14:val="tx1"/>
                  </w14:solidFill>
                </w14:textFill>
              </w:rPr>
              <w:sym w:font="Wingdings 2" w:char="0052"/>
            </w:r>
            <w:r>
              <w:rPr>
                <w:color w:val="000000" w:themeColor="text1"/>
                <w14:textFill>
                  <w14:solidFill>
                    <w14:schemeClr w14:val="tx1"/>
                  </w14:solidFill>
                </w14:textFill>
              </w:rPr>
              <w:t>；水文要素影响型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水环境保护目标</w:t>
            </w:r>
          </w:p>
        </w:tc>
        <w:tc>
          <w:tcPr>
            <w:tcW w:w="3968" w:type="pct"/>
            <w:gridSpan w:val="13"/>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饮用水水源保护区□；饮用水取水口□；涉水的自然保护区□；涉水的风景名胜区□；重要湿地□；重点保护与珍稀水生生物的栖息地□；重要水生生物的自然产卵场及索饵场、越冬场和洄游通道□；天然渔场等渔业水体□；水产种质资源保护区□；其他</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影响途径</w:t>
            </w:r>
          </w:p>
        </w:tc>
        <w:tc>
          <w:tcPr>
            <w:tcW w:w="2144"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水污染影响型</w:t>
            </w:r>
          </w:p>
        </w:tc>
        <w:tc>
          <w:tcPr>
            <w:tcW w:w="1824"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continue"/>
            <w:vAlign w:val="center"/>
          </w:tcPr>
          <w:p>
            <w:pPr>
              <w:pStyle w:val="332"/>
              <w:rPr>
                <w:color w:val="000000" w:themeColor="text1"/>
                <w14:textFill>
                  <w14:solidFill>
                    <w14:schemeClr w14:val="tx1"/>
                  </w14:solidFill>
                </w14:textFill>
              </w:rPr>
            </w:pPr>
          </w:p>
        </w:tc>
        <w:tc>
          <w:tcPr>
            <w:tcW w:w="2144"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直接排放 □；间接排放 □；其他 </w:t>
            </w:r>
            <w:r>
              <w:rPr>
                <w:color w:val="000000" w:themeColor="text1"/>
                <w14:textFill>
                  <w14:solidFill>
                    <w14:schemeClr w14:val="tx1"/>
                  </w14:solidFill>
                </w14:textFill>
              </w:rPr>
              <w:sym w:font="Wingdings 2" w:char="0052"/>
            </w:r>
          </w:p>
        </w:tc>
        <w:tc>
          <w:tcPr>
            <w:tcW w:w="1824"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水温 □；径流 □；水域面积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影响因子</w:t>
            </w:r>
          </w:p>
        </w:tc>
        <w:tc>
          <w:tcPr>
            <w:tcW w:w="2144" w:type="pct"/>
            <w:gridSpan w:val="6"/>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持久性污染物</w:t>
            </w:r>
            <w:r>
              <w:rPr>
                <w:color w:val="000000" w:themeColor="text1"/>
                <w14:textFill>
                  <w14:solidFill>
                    <w14:schemeClr w14:val="tx1"/>
                  </w14:solidFill>
                </w14:textFill>
              </w:rPr>
              <w:sym w:font="Wingdings 2" w:char="00A3"/>
            </w:r>
            <w:r>
              <w:rPr>
                <w:color w:val="000000" w:themeColor="text1"/>
                <w14:textFill>
                  <w14:solidFill>
                    <w14:schemeClr w14:val="tx1"/>
                  </w14:solidFill>
                </w14:textFill>
              </w:rPr>
              <w:t>；有毒有害污染物□；非持久性污染物</w:t>
            </w:r>
            <w:r>
              <w:rPr>
                <w:color w:val="000000" w:themeColor="text1"/>
                <w14:textFill>
                  <w14:solidFill>
                    <w14:schemeClr w14:val="tx1"/>
                  </w14:solidFill>
                </w14:textFill>
              </w:rPr>
              <w:sym w:font="Wingdings 2" w:char="00A3"/>
            </w:r>
            <w:r>
              <w:rPr>
                <w:color w:val="000000" w:themeColor="text1"/>
                <w14:textFill>
                  <w14:solidFill>
                    <w14:schemeClr w14:val="tx1"/>
                  </w14:solidFill>
                </w14:textFill>
              </w:rPr>
              <w:t>；pH值</w:t>
            </w:r>
            <w:r>
              <w:rPr>
                <w:color w:val="000000" w:themeColor="text1"/>
                <w14:textFill>
                  <w14:solidFill>
                    <w14:schemeClr w14:val="tx1"/>
                  </w14:solidFill>
                </w14:textFill>
              </w:rPr>
              <w:sym w:font="Wingdings 2" w:char="00A3"/>
            </w:r>
            <w:r>
              <w:rPr>
                <w:color w:val="000000" w:themeColor="text1"/>
                <w14:textFill>
                  <w14:solidFill>
                    <w14:schemeClr w14:val="tx1"/>
                  </w14:solidFill>
                </w14:textFill>
              </w:rPr>
              <w:t xml:space="preserve">；热污染□；富营养化 □；其他 </w:t>
            </w:r>
            <w:r>
              <w:rPr>
                <w:color w:val="000000" w:themeColor="text1"/>
                <w14:textFill>
                  <w14:solidFill>
                    <w14:schemeClr w14:val="tx1"/>
                  </w14:solidFill>
                </w14:textFill>
              </w:rPr>
              <w:sym w:font="Wingdings 2" w:char="00A3"/>
            </w:r>
          </w:p>
        </w:tc>
        <w:tc>
          <w:tcPr>
            <w:tcW w:w="1824" w:type="pct"/>
            <w:gridSpan w:val="7"/>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水温 □；水位（水深） □；流速 □；流量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32" w:type="pct"/>
            <w:gridSpan w:val="2"/>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评价等级</w:t>
            </w:r>
          </w:p>
        </w:tc>
        <w:tc>
          <w:tcPr>
            <w:tcW w:w="2144"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水污染影响型</w:t>
            </w:r>
          </w:p>
        </w:tc>
        <w:tc>
          <w:tcPr>
            <w:tcW w:w="1824"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32" w:type="pct"/>
            <w:gridSpan w:val="2"/>
            <w:vMerge w:val="continue"/>
            <w:vAlign w:val="center"/>
          </w:tcPr>
          <w:p>
            <w:pPr>
              <w:pStyle w:val="332"/>
              <w:rPr>
                <w:color w:val="000000" w:themeColor="text1"/>
                <w14:textFill>
                  <w14:solidFill>
                    <w14:schemeClr w14:val="tx1"/>
                  </w14:solidFill>
                </w14:textFill>
              </w:rPr>
            </w:pPr>
          </w:p>
        </w:tc>
        <w:tc>
          <w:tcPr>
            <w:tcW w:w="2144" w:type="pct"/>
            <w:gridSpan w:val="6"/>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一级 □；二级 □；三级A□；三级B</w:t>
            </w:r>
            <w:r>
              <w:rPr>
                <w:color w:val="000000" w:themeColor="text1"/>
                <w14:textFill>
                  <w14:solidFill>
                    <w14:schemeClr w14:val="tx1"/>
                  </w14:solidFill>
                </w14:textFill>
              </w:rPr>
              <w:sym w:font="Wingdings 2" w:char="0052"/>
            </w:r>
          </w:p>
        </w:tc>
        <w:tc>
          <w:tcPr>
            <w:tcW w:w="1824"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一级 □；二级 □；三级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restart"/>
            <w:textDirection w:val="tbRlV"/>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现状调查</w:t>
            </w:r>
          </w:p>
        </w:tc>
        <w:tc>
          <w:tcPr>
            <w:tcW w:w="761"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区域污染源</w:t>
            </w:r>
          </w:p>
        </w:tc>
        <w:tc>
          <w:tcPr>
            <w:tcW w:w="2144"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调查项目</w:t>
            </w:r>
          </w:p>
        </w:tc>
        <w:tc>
          <w:tcPr>
            <w:tcW w:w="1824"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continue"/>
            <w:vAlign w:val="center"/>
          </w:tcPr>
          <w:p>
            <w:pPr>
              <w:pStyle w:val="332"/>
              <w:rPr>
                <w:color w:val="000000" w:themeColor="text1"/>
                <w14:textFill>
                  <w14:solidFill>
                    <w14:schemeClr w14:val="tx1"/>
                  </w14:solidFill>
                </w14:textFill>
              </w:rPr>
            </w:pPr>
          </w:p>
        </w:tc>
        <w:tc>
          <w:tcPr>
            <w:tcW w:w="1182" w:type="pct"/>
            <w:gridSpan w:val="3"/>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已建□；在建□；拟建□；其他 □</w:t>
            </w:r>
          </w:p>
        </w:tc>
        <w:tc>
          <w:tcPr>
            <w:tcW w:w="962"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拟替代的污染源□</w:t>
            </w:r>
          </w:p>
        </w:tc>
        <w:tc>
          <w:tcPr>
            <w:tcW w:w="1824" w:type="pct"/>
            <w:gridSpan w:val="7"/>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排污许可证□；环评□；环保验收□；既有实测□；现场监测□；入河排放口数据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受影响水体水环境质量</w:t>
            </w:r>
          </w:p>
        </w:tc>
        <w:tc>
          <w:tcPr>
            <w:tcW w:w="2144"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调查时期</w:t>
            </w:r>
          </w:p>
        </w:tc>
        <w:tc>
          <w:tcPr>
            <w:tcW w:w="1824"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continue"/>
            <w:vAlign w:val="center"/>
          </w:tcPr>
          <w:p>
            <w:pPr>
              <w:pStyle w:val="332"/>
              <w:rPr>
                <w:color w:val="000000" w:themeColor="text1"/>
                <w14:textFill>
                  <w14:solidFill>
                    <w14:schemeClr w14:val="tx1"/>
                  </w14:solidFill>
                </w14:textFill>
              </w:rPr>
            </w:pPr>
          </w:p>
        </w:tc>
        <w:tc>
          <w:tcPr>
            <w:tcW w:w="2144" w:type="pct"/>
            <w:gridSpan w:val="6"/>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丰水期□；平水期□；枯水期□；冰封期□</w:t>
            </w:r>
            <w:r>
              <w:rPr>
                <w:color w:val="000000" w:themeColor="text1"/>
                <w14:textFill>
                  <w14:solidFill>
                    <w14:schemeClr w14:val="tx1"/>
                  </w14:solidFill>
                </w14:textFill>
              </w:rPr>
              <w:br w:type="textWrapping"/>
            </w:r>
            <w:r>
              <w:rPr>
                <w:color w:val="000000" w:themeColor="text1"/>
                <w14:textFill>
                  <w14:solidFill>
                    <w14:schemeClr w14:val="tx1"/>
                  </w14:solidFill>
                </w14:textFill>
              </w:rPr>
              <w:t>春季 □；夏季 □；秋季 □；冬季 □</w:t>
            </w:r>
          </w:p>
        </w:tc>
        <w:tc>
          <w:tcPr>
            <w:tcW w:w="1824" w:type="pct"/>
            <w:gridSpan w:val="7"/>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生态环境保护主管部门 □；</w:t>
            </w:r>
          </w:p>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补充监测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区域水资源开发利用状况</w:t>
            </w:r>
          </w:p>
        </w:tc>
        <w:tc>
          <w:tcPr>
            <w:tcW w:w="3968" w:type="pct"/>
            <w:gridSpan w:val="1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未开发 □；开发量40%以下 □；开发量40%以上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水文情势调查</w:t>
            </w:r>
          </w:p>
        </w:tc>
        <w:tc>
          <w:tcPr>
            <w:tcW w:w="2144"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调查时期</w:t>
            </w:r>
          </w:p>
        </w:tc>
        <w:tc>
          <w:tcPr>
            <w:tcW w:w="1824"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continue"/>
            <w:vAlign w:val="center"/>
          </w:tcPr>
          <w:p>
            <w:pPr>
              <w:pStyle w:val="332"/>
              <w:rPr>
                <w:color w:val="000000" w:themeColor="text1"/>
                <w14:textFill>
                  <w14:solidFill>
                    <w14:schemeClr w14:val="tx1"/>
                  </w14:solidFill>
                </w14:textFill>
              </w:rPr>
            </w:pPr>
          </w:p>
        </w:tc>
        <w:tc>
          <w:tcPr>
            <w:tcW w:w="2144" w:type="pct"/>
            <w:gridSpan w:val="6"/>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丰水期□；平水期□；枯水期□；冰封期□</w:t>
            </w:r>
            <w:r>
              <w:rPr>
                <w:color w:val="000000" w:themeColor="text1"/>
                <w14:textFill>
                  <w14:solidFill>
                    <w14:schemeClr w14:val="tx1"/>
                  </w14:solidFill>
                </w14:textFill>
              </w:rPr>
              <w:br w:type="textWrapping"/>
            </w:r>
            <w:r>
              <w:rPr>
                <w:color w:val="000000" w:themeColor="text1"/>
                <w14:textFill>
                  <w14:solidFill>
                    <w14:schemeClr w14:val="tx1"/>
                  </w14:solidFill>
                </w14:textFill>
              </w:rPr>
              <w:t>春季 □；夏季 □；秋季 □；冬季 □</w:t>
            </w:r>
          </w:p>
        </w:tc>
        <w:tc>
          <w:tcPr>
            <w:tcW w:w="1824" w:type="pct"/>
            <w:gridSpan w:val="7"/>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水行政主管部门□；补充监测□；其他□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补充监测</w:t>
            </w:r>
          </w:p>
        </w:tc>
        <w:tc>
          <w:tcPr>
            <w:tcW w:w="2144"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监测时期</w:t>
            </w:r>
          </w:p>
        </w:tc>
        <w:tc>
          <w:tcPr>
            <w:tcW w:w="909" w:type="pct"/>
            <w:gridSpan w:val="4"/>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监测因子</w:t>
            </w:r>
          </w:p>
        </w:tc>
        <w:tc>
          <w:tcPr>
            <w:tcW w:w="915" w:type="pct"/>
            <w:gridSpan w:val="3"/>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监测断面或点位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continue"/>
            <w:vAlign w:val="center"/>
          </w:tcPr>
          <w:p>
            <w:pPr>
              <w:pStyle w:val="332"/>
              <w:rPr>
                <w:color w:val="000000" w:themeColor="text1"/>
                <w14:textFill>
                  <w14:solidFill>
                    <w14:schemeClr w14:val="tx1"/>
                  </w14:solidFill>
                </w14:textFill>
              </w:rPr>
            </w:pPr>
          </w:p>
        </w:tc>
        <w:tc>
          <w:tcPr>
            <w:tcW w:w="2144" w:type="pct"/>
            <w:gridSpan w:val="6"/>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丰水期□；平水期□；枯水期□；冰封期□</w:t>
            </w:r>
            <w:r>
              <w:rPr>
                <w:color w:val="000000" w:themeColor="text1"/>
                <w14:textFill>
                  <w14:solidFill>
                    <w14:schemeClr w14:val="tx1"/>
                  </w14:solidFill>
                </w14:textFill>
              </w:rPr>
              <w:br w:type="textWrapping"/>
            </w:r>
            <w:r>
              <w:rPr>
                <w:color w:val="000000" w:themeColor="text1"/>
                <w14:textFill>
                  <w14:solidFill>
                    <w14:schemeClr w14:val="tx1"/>
                  </w14:solidFill>
                </w14:textFill>
              </w:rPr>
              <w:t>春季 □；夏季 □；秋季 □；冬季 □</w:t>
            </w:r>
          </w:p>
        </w:tc>
        <w:tc>
          <w:tcPr>
            <w:tcW w:w="909" w:type="pct"/>
            <w:gridSpan w:val="4"/>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w:t>
            </w:r>
          </w:p>
        </w:tc>
        <w:tc>
          <w:tcPr>
            <w:tcW w:w="915" w:type="pct"/>
            <w:gridSpan w:val="3"/>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监测断面或点位个数（   ）个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restart"/>
            <w:textDirection w:val="tbRlV"/>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现状评价</w:t>
            </w: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评价范围</w:t>
            </w:r>
          </w:p>
        </w:tc>
        <w:tc>
          <w:tcPr>
            <w:tcW w:w="3968" w:type="pct"/>
            <w:gridSpan w:val="13"/>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河流：长度（   ）km；湖库、河口及近岸海域：面积（   ）km</w:t>
            </w:r>
            <w:r>
              <w:rPr>
                <w:color w:val="000000" w:themeColor="text1"/>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评价因子</w:t>
            </w:r>
          </w:p>
        </w:tc>
        <w:tc>
          <w:tcPr>
            <w:tcW w:w="3968" w:type="pct"/>
            <w:gridSpan w:val="1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评价标准</w:t>
            </w:r>
          </w:p>
        </w:tc>
        <w:tc>
          <w:tcPr>
            <w:tcW w:w="3968" w:type="pct"/>
            <w:gridSpan w:val="13"/>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 xml:space="preserve">河流、湖库、河口：Ⅰ类 □；Ⅱ类 </w:t>
            </w:r>
            <w:r>
              <w:rPr>
                <w:color w:val="000000" w:themeColor="text1"/>
                <w14:textFill>
                  <w14:solidFill>
                    <w14:schemeClr w14:val="tx1"/>
                  </w14:solidFill>
                </w14:textFill>
              </w:rPr>
              <w:sym w:font="Wingdings 2" w:char="0052"/>
            </w:r>
            <w:r>
              <w:rPr>
                <w:color w:val="000000" w:themeColor="text1"/>
                <w14:textFill>
                  <w14:solidFill>
                    <w14:schemeClr w14:val="tx1"/>
                  </w14:solidFill>
                </w14:textFill>
              </w:rPr>
              <w:t>；Ⅲ类 □；Ⅳ类 □；Ⅴ类 □</w:t>
            </w:r>
          </w:p>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近岸海域：第一类 □；第二类 □；第三类 □；第四类 □</w:t>
            </w:r>
          </w:p>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规划年评价标准（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评价时期</w:t>
            </w:r>
          </w:p>
        </w:tc>
        <w:tc>
          <w:tcPr>
            <w:tcW w:w="3968" w:type="pct"/>
            <w:gridSpan w:val="13"/>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丰水期 □；平水期 □；枯水期 □；冰封期 □</w:t>
            </w:r>
            <w:r>
              <w:rPr>
                <w:color w:val="000000" w:themeColor="text1"/>
                <w14:textFill>
                  <w14:solidFill>
                    <w14:schemeClr w14:val="tx1"/>
                  </w14:solidFill>
                </w14:textFill>
              </w:rPr>
              <w:br w:type="textWrapping"/>
            </w:r>
            <w:r>
              <w:rPr>
                <w:color w:val="000000" w:themeColor="text1"/>
                <w14:textFill>
                  <w14:solidFill>
                    <w14:schemeClr w14:val="tx1"/>
                  </w14:solidFill>
                </w14:textFill>
              </w:rPr>
              <w:t>春季 □；夏季 □；秋季 □；冬季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评价结论</w:t>
            </w:r>
          </w:p>
        </w:tc>
        <w:tc>
          <w:tcPr>
            <w:tcW w:w="3386" w:type="pct"/>
            <w:gridSpan w:val="12"/>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水环境功能区或水功能区、近岸海域环境功能区水质达标状况 ：达标 □；不达标 □</w:t>
            </w:r>
            <w:r>
              <w:rPr>
                <w:color w:val="000000" w:themeColor="text1"/>
                <w14:textFill>
                  <w14:solidFill>
                    <w14:schemeClr w14:val="tx1"/>
                  </w14:solidFill>
                </w14:textFill>
              </w:rPr>
              <w:br w:type="textWrapping"/>
            </w:r>
            <w:r>
              <w:rPr>
                <w:color w:val="000000" w:themeColor="text1"/>
                <w14:textFill>
                  <w14:solidFill>
                    <w14:schemeClr w14:val="tx1"/>
                  </w14:solidFill>
                </w14:textFill>
              </w:rPr>
              <w:t>水环境控制单元或断面水质达标状况 ：达标 □；不达标□</w:t>
            </w:r>
            <w:r>
              <w:rPr>
                <w:color w:val="000000" w:themeColor="text1"/>
                <w14:textFill>
                  <w14:solidFill>
                    <w14:schemeClr w14:val="tx1"/>
                  </w14:solidFill>
                </w14:textFill>
              </w:rPr>
              <w:br w:type="textWrapping"/>
            </w:r>
            <w:r>
              <w:rPr>
                <w:color w:val="000000" w:themeColor="text1"/>
                <w14:textFill>
                  <w14:solidFill>
                    <w14:schemeClr w14:val="tx1"/>
                  </w14:solidFill>
                </w14:textFill>
              </w:rPr>
              <w:t>水环境保护目标质量状况 ：达标 □；不达标 □</w:t>
            </w:r>
            <w:r>
              <w:rPr>
                <w:color w:val="000000" w:themeColor="text1"/>
                <w14:textFill>
                  <w14:solidFill>
                    <w14:schemeClr w14:val="tx1"/>
                  </w14:solidFill>
                </w14:textFill>
              </w:rPr>
              <w:br w:type="textWrapping"/>
            </w:r>
            <w:r>
              <w:rPr>
                <w:color w:val="000000" w:themeColor="text1"/>
                <w14:textFill>
                  <w14:solidFill>
                    <w14:schemeClr w14:val="tx1"/>
                  </w14:solidFill>
                </w14:textFill>
              </w:rPr>
              <w:t>对照断面、控制断面等代表性断面的水质状况 ：达标 □；不达标 □</w:t>
            </w:r>
          </w:p>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底泥污染评价 □</w:t>
            </w:r>
            <w:r>
              <w:rPr>
                <w:color w:val="000000" w:themeColor="text1"/>
                <w14:textFill>
                  <w14:solidFill>
                    <w14:schemeClr w14:val="tx1"/>
                  </w14:solidFill>
                </w14:textFill>
              </w:rPr>
              <w:br w:type="textWrapping"/>
            </w:r>
            <w:r>
              <w:rPr>
                <w:color w:val="000000" w:themeColor="text1"/>
                <w14:textFill>
                  <w14:solidFill>
                    <w14:schemeClr w14:val="tx1"/>
                  </w14:solidFill>
                </w14:textFill>
              </w:rPr>
              <w:t>水资源与开发利用程度及其水文情势评价 □</w:t>
            </w:r>
            <w:r>
              <w:rPr>
                <w:color w:val="000000" w:themeColor="text1"/>
                <w14:textFill>
                  <w14:solidFill>
                    <w14:schemeClr w14:val="tx1"/>
                  </w14:solidFill>
                </w14:textFill>
              </w:rPr>
              <w:br w:type="textWrapping"/>
            </w:r>
            <w:r>
              <w:rPr>
                <w:color w:val="000000" w:themeColor="text1"/>
                <w14:textFill>
                  <w14:solidFill>
                    <w14:schemeClr w14:val="tx1"/>
                  </w14:solidFill>
                </w14:textFill>
              </w:rPr>
              <w:t>水环境质量回顾评价 □</w:t>
            </w:r>
            <w:r>
              <w:rPr>
                <w:color w:val="000000" w:themeColor="text1"/>
                <w14:textFill>
                  <w14:solidFill>
                    <w14:schemeClr w14:val="tx1"/>
                  </w14:solidFill>
                </w14:textFill>
              </w:rPr>
              <w:br w:type="textWrapping"/>
            </w:r>
            <w:r>
              <w:rPr>
                <w:color w:val="000000" w:themeColor="text1"/>
                <w14:textFill>
                  <w14:solidFill>
                    <w14:schemeClr w14:val="tx1"/>
                  </w14:solidFill>
                </w14:textFill>
              </w:rPr>
              <w:t>流域（区域）水资源（包括水能资源）与开发利用总体状况、生态流量管理要求与现状满足程度、建设项目占用水域空间的水流状况与河湖演变状况 □</w:t>
            </w:r>
          </w:p>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依托污水处理设施稳定达标排放评价 □</w:t>
            </w:r>
          </w:p>
        </w:tc>
        <w:tc>
          <w:tcPr>
            <w:tcW w:w="582"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达标区 □</w:t>
            </w:r>
          </w:p>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不达标区□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restart"/>
            <w:textDirection w:val="tbRlV"/>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影响预测</w:t>
            </w: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预测范围</w:t>
            </w:r>
          </w:p>
        </w:tc>
        <w:tc>
          <w:tcPr>
            <w:tcW w:w="3968" w:type="pct"/>
            <w:gridSpan w:val="13"/>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河流：长度（   ）km；湖库、河口及近岸海域：面积（   ）km</w:t>
            </w:r>
            <w:r>
              <w:rPr>
                <w:color w:val="000000" w:themeColor="text1"/>
                <w:vertAlign w:val="superscript"/>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预测因子</w:t>
            </w:r>
          </w:p>
        </w:tc>
        <w:tc>
          <w:tcPr>
            <w:tcW w:w="3968" w:type="pct"/>
            <w:gridSpan w:val="13"/>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预测时期</w:t>
            </w:r>
          </w:p>
        </w:tc>
        <w:tc>
          <w:tcPr>
            <w:tcW w:w="3968" w:type="pct"/>
            <w:gridSpan w:val="13"/>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丰水期 □；平水期 □；枯水期 □；冰封期 □</w:t>
            </w:r>
            <w:r>
              <w:rPr>
                <w:color w:val="000000" w:themeColor="text1"/>
                <w14:textFill>
                  <w14:solidFill>
                    <w14:schemeClr w14:val="tx1"/>
                  </w14:solidFill>
                </w14:textFill>
              </w:rPr>
              <w:br w:type="textWrapping"/>
            </w:r>
            <w:r>
              <w:rPr>
                <w:color w:val="000000" w:themeColor="text1"/>
                <w14:textFill>
                  <w14:solidFill>
                    <w14:schemeClr w14:val="tx1"/>
                  </w14:solidFill>
                </w14:textFill>
              </w:rPr>
              <w:t>春季 □；夏季 □；秋季 □；冬季 □</w:t>
            </w:r>
            <w:r>
              <w:rPr>
                <w:color w:val="000000" w:themeColor="text1"/>
                <w14:textFill>
                  <w14:solidFill>
                    <w14:schemeClr w14:val="tx1"/>
                  </w14:solidFill>
                </w14:textFill>
              </w:rPr>
              <w:br w:type="textWrapping"/>
            </w:r>
            <w:r>
              <w:rPr>
                <w:color w:val="000000" w:themeColor="text1"/>
                <w14:textFill>
                  <w14:solidFill>
                    <w14:schemeClr w14:val="tx1"/>
                  </w14:solidFill>
                </w14:textFill>
              </w:rPr>
              <w:t>设计水文条件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预测情景</w:t>
            </w:r>
          </w:p>
        </w:tc>
        <w:tc>
          <w:tcPr>
            <w:tcW w:w="3968" w:type="pct"/>
            <w:gridSpan w:val="13"/>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建设期 □；生产运行期 □；服务期满后 □</w:t>
            </w:r>
            <w:r>
              <w:rPr>
                <w:color w:val="000000" w:themeColor="text1"/>
                <w14:textFill>
                  <w14:solidFill>
                    <w14:schemeClr w14:val="tx1"/>
                  </w14:solidFill>
                </w14:textFill>
              </w:rPr>
              <w:br w:type="textWrapping"/>
            </w:r>
            <w:r>
              <w:rPr>
                <w:color w:val="000000" w:themeColor="text1"/>
                <w14:textFill>
                  <w14:solidFill>
                    <w14:schemeClr w14:val="tx1"/>
                  </w14:solidFill>
                </w14:textFill>
              </w:rPr>
              <w:t>正常工况 □；非正常工况 □</w:t>
            </w:r>
            <w:r>
              <w:rPr>
                <w:color w:val="000000" w:themeColor="text1"/>
                <w14:textFill>
                  <w14:solidFill>
                    <w14:schemeClr w14:val="tx1"/>
                  </w14:solidFill>
                </w14:textFill>
              </w:rPr>
              <w:br w:type="textWrapping"/>
            </w:r>
            <w:r>
              <w:rPr>
                <w:color w:val="000000" w:themeColor="text1"/>
                <w14:textFill>
                  <w14:solidFill>
                    <w14:schemeClr w14:val="tx1"/>
                  </w14:solidFill>
                </w14:textFill>
              </w:rPr>
              <w:t>污染控制和减缓措施方案 □</w:t>
            </w:r>
            <w:r>
              <w:rPr>
                <w:color w:val="000000" w:themeColor="text1"/>
                <w14:textFill>
                  <w14:solidFill>
                    <w14:schemeClr w14:val="tx1"/>
                  </w14:solidFill>
                </w14:textFill>
              </w:rPr>
              <w:br w:type="textWrapping"/>
            </w:r>
            <w:r>
              <w:rPr>
                <w:color w:val="000000" w:themeColor="text1"/>
                <w14:textFill>
                  <w14:solidFill>
                    <w14:schemeClr w14:val="tx1"/>
                  </w14:solidFill>
                </w14:textFill>
              </w:rPr>
              <w:t>区（流）域环境质量改善目标要求情景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预测方法</w:t>
            </w:r>
          </w:p>
        </w:tc>
        <w:tc>
          <w:tcPr>
            <w:tcW w:w="3968" w:type="pct"/>
            <w:gridSpan w:val="13"/>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数值解 □：解析解 □；其他 □</w:t>
            </w:r>
          </w:p>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导则推荐模式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restart"/>
            <w:textDirection w:val="tbRlV"/>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影响评价</w:t>
            </w: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水污染控制和水环境影响减缓措施有效性评价</w:t>
            </w:r>
          </w:p>
        </w:tc>
        <w:tc>
          <w:tcPr>
            <w:tcW w:w="3968" w:type="pct"/>
            <w:gridSpan w:val="13"/>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区（流）域水环境质量改善目标 □；替代削减源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水环境影响评价</w:t>
            </w:r>
          </w:p>
        </w:tc>
        <w:tc>
          <w:tcPr>
            <w:tcW w:w="3968" w:type="pct"/>
            <w:gridSpan w:val="13"/>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排放口混合区外满足水环境管理要求 □</w:t>
            </w:r>
            <w:r>
              <w:rPr>
                <w:color w:val="000000" w:themeColor="text1"/>
                <w14:textFill>
                  <w14:solidFill>
                    <w14:schemeClr w14:val="tx1"/>
                  </w14:solidFill>
                </w14:textFill>
              </w:rPr>
              <w:br w:type="textWrapping"/>
            </w:r>
            <w:r>
              <w:rPr>
                <w:color w:val="000000" w:themeColor="text1"/>
                <w14:textFill>
                  <w14:solidFill>
                    <w14:schemeClr w14:val="tx1"/>
                  </w14:solidFill>
                </w14:textFill>
              </w:rPr>
              <w:t>水环境功能区或水功能区、近岸海域环境功能区水质达标 □</w:t>
            </w:r>
            <w:r>
              <w:rPr>
                <w:color w:val="000000" w:themeColor="text1"/>
                <w14:textFill>
                  <w14:solidFill>
                    <w14:schemeClr w14:val="tx1"/>
                  </w14:solidFill>
                </w14:textFill>
              </w:rPr>
              <w:br w:type="textWrapping"/>
            </w:r>
            <w:r>
              <w:rPr>
                <w:color w:val="000000" w:themeColor="text1"/>
                <w14:textFill>
                  <w14:solidFill>
                    <w14:schemeClr w14:val="tx1"/>
                  </w14:solidFill>
                </w14:textFill>
              </w:rPr>
              <w:t>满足水环境保护目标水域水环境质量要求 □</w:t>
            </w:r>
            <w:r>
              <w:rPr>
                <w:color w:val="000000" w:themeColor="text1"/>
                <w14:textFill>
                  <w14:solidFill>
                    <w14:schemeClr w14:val="tx1"/>
                  </w14:solidFill>
                </w14:textFill>
              </w:rPr>
              <w:br w:type="textWrapping"/>
            </w:r>
            <w:r>
              <w:rPr>
                <w:color w:val="000000" w:themeColor="text1"/>
                <w14:textFill>
                  <w14:solidFill>
                    <w14:schemeClr w14:val="tx1"/>
                  </w14:solidFill>
                </w14:textFill>
              </w:rPr>
              <w:t>水环境控制单元或断面水质达标 □</w:t>
            </w:r>
            <w:r>
              <w:rPr>
                <w:color w:val="000000" w:themeColor="text1"/>
                <w14:textFill>
                  <w14:solidFill>
                    <w14:schemeClr w14:val="tx1"/>
                  </w14:solidFill>
                </w14:textFill>
              </w:rPr>
              <w:br w:type="textWrapping"/>
            </w:r>
            <w:r>
              <w:rPr>
                <w:color w:val="000000" w:themeColor="text1"/>
                <w14:textFill>
                  <w14:solidFill>
                    <w14:schemeClr w14:val="tx1"/>
                  </w14:solidFill>
                </w14:textFill>
              </w:rPr>
              <w:t>满足重点水污染物排放总量控制指标要求，重点行业建设项目， 主要污染物排放满足等量或减量替代要求 □</w:t>
            </w:r>
          </w:p>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满足区（流）域水环境质量改善目标要求 □</w:t>
            </w:r>
            <w:r>
              <w:rPr>
                <w:color w:val="000000" w:themeColor="text1"/>
                <w14:textFill>
                  <w14:solidFill>
                    <w14:schemeClr w14:val="tx1"/>
                  </w14:solidFill>
                </w14:textFill>
              </w:rPr>
              <w:br w:type="textWrapping"/>
            </w:r>
            <w:r>
              <w:rPr>
                <w:color w:val="000000" w:themeColor="text1"/>
                <w14:textFill>
                  <w14:solidFill>
                    <w14:schemeClr w14:val="tx1"/>
                  </w14:solidFill>
                </w14:textFill>
              </w:rPr>
              <w:t>水文要素影响型建设项目同时应包括水文情势变化评价、主要水文特征值影响评价、生态流量符合性评价 □</w:t>
            </w:r>
            <w:r>
              <w:rPr>
                <w:color w:val="000000" w:themeColor="text1"/>
                <w14:textFill>
                  <w14:solidFill>
                    <w14:schemeClr w14:val="tx1"/>
                  </w14:solidFill>
                </w14:textFill>
              </w:rPr>
              <w:br w:type="textWrapping"/>
            </w:r>
            <w:r>
              <w:rPr>
                <w:color w:val="000000" w:themeColor="text1"/>
                <w14:textFill>
                  <w14:solidFill>
                    <w14:schemeClr w14:val="tx1"/>
                  </w14:solidFill>
                </w14:textFill>
              </w:rPr>
              <w:t>对于新设或调整入河（湖库、近岸海域）排放口的建设项目，应包括排放口设置的环境合理性评价 □</w:t>
            </w:r>
            <w:r>
              <w:rPr>
                <w:color w:val="000000" w:themeColor="text1"/>
                <w14:textFill>
                  <w14:solidFill>
                    <w14:schemeClr w14:val="tx1"/>
                  </w14:solidFill>
                </w14:textFill>
              </w:rPr>
              <w:br w:type="textWrapping"/>
            </w:r>
            <w:r>
              <w:rPr>
                <w:color w:val="000000" w:themeColor="text1"/>
                <w14:textFill>
                  <w14:solidFill>
                    <w14:schemeClr w14:val="tx1"/>
                  </w14:solidFill>
                </w14:textFill>
              </w:rPr>
              <w:t>满足生态保护红线、水环境质量底线、资源利用上线和环境准入清单管理要求□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污染源排放量核算</w:t>
            </w:r>
          </w:p>
        </w:tc>
        <w:tc>
          <w:tcPr>
            <w:tcW w:w="1473" w:type="pct"/>
            <w:gridSpan w:val="4"/>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污染物名称</w:t>
            </w:r>
          </w:p>
        </w:tc>
        <w:tc>
          <w:tcPr>
            <w:tcW w:w="1158"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排放量/（t/a）</w:t>
            </w:r>
          </w:p>
        </w:tc>
        <w:tc>
          <w:tcPr>
            <w:tcW w:w="1337" w:type="pct"/>
            <w:gridSpan w:val="4"/>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排放浓度/（mg/L）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continue"/>
            <w:vAlign w:val="center"/>
          </w:tcPr>
          <w:p>
            <w:pPr>
              <w:pStyle w:val="332"/>
              <w:rPr>
                <w:color w:val="000000" w:themeColor="text1"/>
                <w14:textFill>
                  <w14:solidFill>
                    <w14:schemeClr w14:val="tx1"/>
                  </w14:solidFill>
                </w14:textFill>
              </w:rPr>
            </w:pPr>
          </w:p>
        </w:tc>
        <w:tc>
          <w:tcPr>
            <w:tcW w:w="1473" w:type="pct"/>
            <w:gridSpan w:val="4"/>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w:t>
            </w:r>
          </w:p>
        </w:tc>
        <w:tc>
          <w:tcPr>
            <w:tcW w:w="1158"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w:t>
            </w:r>
          </w:p>
        </w:tc>
        <w:tc>
          <w:tcPr>
            <w:tcW w:w="1337" w:type="pct"/>
            <w:gridSpan w:val="4"/>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替代源排放情况</w:t>
            </w:r>
          </w:p>
        </w:tc>
        <w:tc>
          <w:tcPr>
            <w:tcW w:w="1010"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污染源名称</w:t>
            </w:r>
          </w:p>
        </w:tc>
        <w:tc>
          <w:tcPr>
            <w:tcW w:w="693"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排污许可证编号</w:t>
            </w:r>
          </w:p>
        </w:tc>
        <w:tc>
          <w:tcPr>
            <w:tcW w:w="705"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污染物名称</w:t>
            </w:r>
          </w:p>
        </w:tc>
        <w:tc>
          <w:tcPr>
            <w:tcW w:w="694" w:type="pct"/>
            <w:gridSpan w:val="4"/>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排放量/（t/a）</w:t>
            </w:r>
          </w:p>
        </w:tc>
        <w:tc>
          <w:tcPr>
            <w:tcW w:w="86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排放浓度/（mg/L）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continue"/>
            <w:vAlign w:val="center"/>
          </w:tcPr>
          <w:p>
            <w:pPr>
              <w:pStyle w:val="332"/>
              <w:rPr>
                <w:color w:val="000000" w:themeColor="text1"/>
                <w14:textFill>
                  <w14:solidFill>
                    <w14:schemeClr w14:val="tx1"/>
                  </w14:solidFill>
                </w14:textFill>
              </w:rPr>
            </w:pPr>
          </w:p>
        </w:tc>
        <w:tc>
          <w:tcPr>
            <w:tcW w:w="1010"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3"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w:t>
            </w:r>
          </w:p>
        </w:tc>
        <w:tc>
          <w:tcPr>
            <w:tcW w:w="705"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w:t>
            </w:r>
          </w:p>
        </w:tc>
        <w:tc>
          <w:tcPr>
            <w:tcW w:w="694" w:type="pct"/>
            <w:gridSpan w:val="4"/>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w:t>
            </w:r>
          </w:p>
        </w:tc>
        <w:tc>
          <w:tcPr>
            <w:tcW w:w="86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生态流量确定</w:t>
            </w:r>
          </w:p>
        </w:tc>
        <w:tc>
          <w:tcPr>
            <w:tcW w:w="3968" w:type="pct"/>
            <w:gridSpan w:val="13"/>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生态流量：一般水期（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/s；鱼类繁殖期（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/s；其他（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/s</w:t>
            </w:r>
          </w:p>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生态水位：一般水期（   ）m；鱼类繁殖期（   ）m；其他（   ）m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restart"/>
            <w:textDirection w:val="tbRlV"/>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防治措施</w:t>
            </w: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环保措施</w:t>
            </w:r>
          </w:p>
        </w:tc>
        <w:tc>
          <w:tcPr>
            <w:tcW w:w="3968" w:type="pct"/>
            <w:gridSpan w:val="13"/>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 xml:space="preserve">污水处理设施 </w:t>
            </w:r>
            <w:r>
              <w:rPr>
                <w:color w:val="000000" w:themeColor="text1"/>
                <w14:textFill>
                  <w14:solidFill>
                    <w14:schemeClr w14:val="tx1"/>
                  </w14:solidFill>
                </w14:textFill>
              </w:rPr>
              <w:sym w:font="Wingdings 2" w:char="0052"/>
            </w:r>
            <w:r>
              <w:rPr>
                <w:color w:val="000000" w:themeColor="text1"/>
                <w14:textFill>
                  <w14:solidFill>
                    <w14:schemeClr w14:val="tx1"/>
                  </w14:solidFill>
                </w14:textFill>
              </w:rPr>
              <w:t>；水文减缓设施 □；生态流量保障设施 □；区域削减 □；依托其他工程措施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监测计划</w:t>
            </w:r>
          </w:p>
        </w:tc>
        <w:tc>
          <w:tcPr>
            <w:tcW w:w="813" w:type="pct"/>
            <w:vAlign w:val="center"/>
          </w:tcPr>
          <w:p>
            <w:pPr>
              <w:pStyle w:val="332"/>
              <w:rPr>
                <w:color w:val="000000" w:themeColor="text1"/>
                <w14:textFill>
                  <w14:solidFill>
                    <w14:schemeClr w14:val="tx1"/>
                  </w14:solidFill>
                </w14:textFill>
              </w:rPr>
            </w:pPr>
          </w:p>
        </w:tc>
        <w:tc>
          <w:tcPr>
            <w:tcW w:w="1679"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环境质量</w:t>
            </w:r>
          </w:p>
        </w:tc>
        <w:tc>
          <w:tcPr>
            <w:tcW w:w="1476"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continue"/>
            <w:vAlign w:val="center"/>
          </w:tcPr>
          <w:p>
            <w:pPr>
              <w:pStyle w:val="332"/>
              <w:rPr>
                <w:color w:val="000000" w:themeColor="text1"/>
                <w14:textFill>
                  <w14:solidFill>
                    <w14:schemeClr w14:val="tx1"/>
                  </w14:solidFill>
                </w14:textFill>
              </w:rPr>
            </w:pPr>
          </w:p>
        </w:tc>
        <w:tc>
          <w:tcPr>
            <w:tcW w:w="81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监测方式</w:t>
            </w:r>
          </w:p>
        </w:tc>
        <w:tc>
          <w:tcPr>
            <w:tcW w:w="1679"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手动 □；自动 □；无监测 </w:t>
            </w:r>
            <w:r>
              <w:rPr>
                <w:color w:val="000000" w:themeColor="text1"/>
                <w14:textFill>
                  <w14:solidFill>
                    <w14:schemeClr w14:val="tx1"/>
                  </w14:solidFill>
                </w14:textFill>
              </w:rPr>
              <w:sym w:font="Wingdings 2" w:char="0052"/>
            </w:r>
          </w:p>
        </w:tc>
        <w:tc>
          <w:tcPr>
            <w:tcW w:w="1476"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手动 □；自动 □；无监测 </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continue"/>
            <w:vAlign w:val="center"/>
          </w:tcPr>
          <w:p>
            <w:pPr>
              <w:pStyle w:val="332"/>
              <w:rPr>
                <w:color w:val="000000" w:themeColor="text1"/>
                <w14:textFill>
                  <w14:solidFill>
                    <w14:schemeClr w14:val="tx1"/>
                  </w14:solidFill>
                </w14:textFill>
              </w:rPr>
            </w:pPr>
          </w:p>
        </w:tc>
        <w:tc>
          <w:tcPr>
            <w:tcW w:w="81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1679"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w:t>
            </w:r>
          </w:p>
        </w:tc>
        <w:tc>
          <w:tcPr>
            <w:tcW w:w="1476"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Merge w:val="continue"/>
            <w:vAlign w:val="center"/>
          </w:tcPr>
          <w:p>
            <w:pPr>
              <w:pStyle w:val="332"/>
              <w:rPr>
                <w:color w:val="000000" w:themeColor="text1"/>
                <w14:textFill>
                  <w14:solidFill>
                    <w14:schemeClr w14:val="tx1"/>
                  </w14:solidFill>
                </w14:textFill>
              </w:rPr>
            </w:pPr>
          </w:p>
        </w:tc>
        <w:tc>
          <w:tcPr>
            <w:tcW w:w="81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监测因子</w:t>
            </w:r>
          </w:p>
        </w:tc>
        <w:tc>
          <w:tcPr>
            <w:tcW w:w="1679" w:type="pct"/>
            <w:gridSpan w:val="7"/>
          </w:tcPr>
          <w:p>
            <w:pPr>
              <w:pStyle w:val="332"/>
              <w:rPr>
                <w:color w:val="000000" w:themeColor="text1"/>
                <w14:textFill>
                  <w14:solidFill>
                    <w14:schemeClr w14:val="tx1"/>
                  </w14:solidFill>
                </w14:textFill>
              </w:rPr>
            </w:pPr>
            <w:r>
              <w:rPr>
                <w:color w:val="000000" w:themeColor="text1"/>
                <w14:textFill>
                  <w14:solidFill>
                    <w14:schemeClr w14:val="tx1"/>
                  </w14:solidFill>
                </w14:textFill>
              </w:rPr>
              <w:t>（   ）</w:t>
            </w:r>
          </w:p>
        </w:tc>
        <w:tc>
          <w:tcPr>
            <w:tcW w:w="1476" w:type="pct"/>
            <w:gridSpan w:val="5"/>
          </w:tcPr>
          <w:p>
            <w:pPr>
              <w:pStyle w:val="332"/>
              <w:rPr>
                <w:color w:val="000000" w:themeColor="text1"/>
                <w14:textFill>
                  <w14:solidFill>
                    <w14:schemeClr w14:val="tx1"/>
                  </w14:solidFill>
                </w14:textFill>
              </w:rPr>
            </w:pPr>
            <w:r>
              <w:rPr>
                <w:color w:val="000000" w:themeColor="text1"/>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1" w:type="pct"/>
            <w:vMerge w:val="continue"/>
            <w:vAlign w:val="center"/>
          </w:tcPr>
          <w:p>
            <w:pPr>
              <w:pStyle w:val="332"/>
              <w:rPr>
                <w:color w:val="000000" w:themeColor="text1"/>
                <w14:textFill>
                  <w14:solidFill>
                    <w14:schemeClr w14:val="tx1"/>
                  </w14:solidFill>
                </w14:textFill>
              </w:rPr>
            </w:pPr>
          </w:p>
        </w:tc>
        <w:tc>
          <w:tcPr>
            <w:tcW w:w="76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污染物排放清单</w:t>
            </w:r>
          </w:p>
        </w:tc>
        <w:tc>
          <w:tcPr>
            <w:tcW w:w="3968" w:type="pct"/>
            <w:gridSpan w:val="13"/>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32" w:type="pct"/>
            <w:gridSpan w:val="2"/>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评价结论</w:t>
            </w:r>
          </w:p>
        </w:tc>
        <w:tc>
          <w:tcPr>
            <w:tcW w:w="3968" w:type="pct"/>
            <w:gridSpan w:val="13"/>
            <w:tcBorders>
              <w:bottom w:val="single" w:color="auto" w:sz="12" w:space="0"/>
            </w:tcBorders>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 xml:space="preserve">可以接受 </w:t>
            </w:r>
            <w:r>
              <w:rPr>
                <w:color w:val="000000" w:themeColor="text1"/>
                <w14:textFill>
                  <w14:solidFill>
                    <w14:schemeClr w14:val="tx1"/>
                  </w14:solidFill>
                </w14:textFill>
              </w:rPr>
              <w:sym w:font="Wingdings 2" w:char="0052"/>
            </w:r>
            <w:r>
              <w:rPr>
                <w:color w:val="000000" w:themeColor="text1"/>
                <w14:textFill>
                  <w14:solidFill>
                    <w14:schemeClr w14:val="tx1"/>
                  </w14:solidFill>
                </w14:textFill>
              </w:rPr>
              <w:t>；不可以接受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15"/>
            <w:tcBorders>
              <w:top w:val="single" w:color="auto" w:sz="12" w:space="0"/>
              <w:bottom w:val="single" w:color="auto" w:sz="12" w:space="0"/>
            </w:tcBorders>
            <w:vAlign w:val="center"/>
          </w:tcPr>
          <w:p>
            <w:pPr>
              <w:pStyle w:val="332"/>
              <w:jc w:val="left"/>
              <w:rPr>
                <w:color w:val="000000" w:themeColor="text1"/>
                <w14:textFill>
                  <w14:solidFill>
                    <w14:schemeClr w14:val="tx1"/>
                  </w14:solidFill>
                </w14:textFill>
              </w:rPr>
            </w:pPr>
            <w:r>
              <w:rPr>
                <w:color w:val="000000" w:themeColor="text1"/>
                <w14:textFill>
                  <w14:solidFill>
                    <w14:schemeClr w14:val="tx1"/>
                  </w14:solidFill>
                </w14:textFill>
              </w:rPr>
              <w:t>注：“□”为勾选项，可打√；“（   ）”为内容填写项；“备注”为其他补充内容。</w:t>
            </w:r>
          </w:p>
        </w:tc>
      </w:tr>
    </w:tbl>
    <w:p>
      <w:pPr>
        <w:pStyle w:val="3"/>
        <w:spacing w:before="120" w:after="120"/>
        <w:rPr>
          <w:rFonts w:cs="Times New Roman"/>
          <w:color w:val="000000" w:themeColor="text1"/>
          <w14:textFill>
            <w14:solidFill>
              <w14:schemeClr w14:val="tx1"/>
            </w14:solidFill>
          </w14:textFill>
        </w:rPr>
      </w:pPr>
      <w:bookmarkStart w:id="565" w:name="_Toc91163926"/>
      <w:r>
        <w:rPr>
          <w:rFonts w:cs="Times New Roman"/>
          <w:color w:val="000000" w:themeColor="text1"/>
          <w14:textFill>
            <w14:solidFill>
              <w14:schemeClr w14:val="tx1"/>
            </w14:solidFill>
          </w14:textFill>
        </w:rPr>
        <w:t>5.4  运营期地下水环境影响预测与评价</w:t>
      </w:r>
      <w:bookmarkEnd w:id="565"/>
    </w:p>
    <w:p>
      <w:pPr>
        <w:pStyle w:val="4"/>
        <w:rPr>
          <w:rFonts w:cs="Times New Roman"/>
          <w:color w:val="000000" w:themeColor="text1"/>
          <w14:textFill>
            <w14:solidFill>
              <w14:schemeClr w14:val="tx1"/>
            </w14:solidFill>
          </w14:textFill>
        </w:rPr>
      </w:pPr>
      <w:bookmarkStart w:id="566" w:name="_Toc91163927"/>
      <w:r>
        <w:rPr>
          <w:rFonts w:cs="Times New Roman"/>
          <w:color w:val="000000" w:themeColor="text1"/>
          <w14:textFill>
            <w14:solidFill>
              <w14:schemeClr w14:val="tx1"/>
            </w14:solidFill>
          </w14:textFill>
        </w:rPr>
        <w:t>5.4.1 水文地质条件</w:t>
      </w:r>
      <w:bookmarkEnd w:id="566"/>
    </w:p>
    <w:p>
      <w:pPr>
        <w:pStyle w:val="5"/>
        <w:rPr>
          <w:color w:val="000000" w:themeColor="text1"/>
          <w14:textFill>
            <w14:solidFill>
              <w14:schemeClr w14:val="tx1"/>
            </w14:solidFill>
          </w14:textFill>
        </w:rPr>
      </w:pPr>
      <w:r>
        <w:rPr>
          <w:color w:val="000000" w:themeColor="text1"/>
          <w14:textFill>
            <w14:solidFill>
              <w14:schemeClr w14:val="tx1"/>
            </w14:solidFill>
          </w14:textFill>
        </w:rPr>
        <w:t>5.4.1.1区域水文地质条件</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区域水文地质条件见4.1.6章节。</w:t>
      </w:r>
    </w:p>
    <w:p>
      <w:pPr>
        <w:pStyle w:val="5"/>
        <w:rPr>
          <w:color w:val="000000" w:themeColor="text1"/>
          <w14:textFill>
            <w14:solidFill>
              <w14:schemeClr w14:val="tx1"/>
            </w14:solidFill>
          </w14:textFill>
        </w:rPr>
      </w:pPr>
      <w:r>
        <w:rPr>
          <w:color w:val="000000" w:themeColor="text1"/>
          <w14:textFill>
            <w14:solidFill>
              <w14:schemeClr w14:val="tx1"/>
            </w14:solidFill>
          </w14:textFill>
        </w:rPr>
        <w:t>5.4.1.2评价区含水层分布</w:t>
      </w:r>
    </w:p>
    <w:p>
      <w:pPr>
        <w:ind w:firstLine="48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根据</w:t>
      </w:r>
      <w:r>
        <w:rPr>
          <w:rFonts w:cs="Times New Roman"/>
          <w:bCs/>
          <w:color w:val="000000" w:themeColor="text1"/>
          <w14:textFill>
            <w14:solidFill>
              <w14:schemeClr w14:val="tx1"/>
            </w14:solidFill>
          </w14:textFill>
        </w:rPr>
        <w:t>含水介质的性质及地下水类型，屯留区区域含水岩划分为碳酸盐裂隙岩溶水含水岩系、碎屑岩类裂隙水含水岩系及松散岩类孔隙含水岩系。本项目所在区域为松散岩类孔隙含水岩系。</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松散岩类孔隙含水岩系根据所处的地貌单元及含水层分布规律不同又可分为：黄土丘陵孔隙水、倾斜平原孔隙水、河谷阶地孔隙水。</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 xml:space="preserve">松散岩类孔隙含水岩系简述如下： </w:t>
      </w:r>
    </w:p>
    <w:p>
      <w:pPr>
        <w:ind w:firstLine="480"/>
        <w:rPr>
          <w:rFonts w:cs="Times New Roman"/>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①</w:t>
      </w:r>
      <w:r>
        <w:rPr>
          <w:rFonts w:cs="Times New Roman"/>
          <w:bCs/>
          <w:color w:val="000000" w:themeColor="text1"/>
          <w14:textFill>
            <w14:solidFill>
              <w14:schemeClr w14:val="tx1"/>
            </w14:solidFill>
          </w14:textFill>
        </w:rPr>
        <w:t>黄土丘陵孔隙水</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主要分布于盆地北部和西部，含水层主要岩性为第四系下，中更新统粉细砂及钙质结核层，厚约1-10 m。地下水富水性差，单位涌水量为0.5-1 m</w:t>
      </w:r>
      <w:r>
        <w:rPr>
          <w:rFonts w:cs="Times New Roman"/>
          <w:bCs/>
          <w:color w:val="000000" w:themeColor="text1"/>
          <w:vertAlign w:val="superscript"/>
          <w14:textFill>
            <w14:solidFill>
              <w14:schemeClr w14:val="tx1"/>
            </w14:solidFill>
          </w14:textFill>
        </w:rPr>
        <w:t>3</w:t>
      </w:r>
      <w:r>
        <w:rPr>
          <w:rFonts w:cs="Times New Roman"/>
          <w:bCs/>
          <w:color w:val="000000" w:themeColor="text1"/>
          <w14:textFill>
            <w14:solidFill>
              <w14:schemeClr w14:val="tx1"/>
            </w14:solidFill>
          </w14:textFill>
        </w:rPr>
        <w:t>/h·m，局部地段只能满足人畜饮用，动态受大气降水影响明显，在干旱季节有枯竭现象。水位埋深度10-30m，水化学类型为HCO</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-Ca或HCO</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-Ca·Mg型。</w:t>
      </w:r>
    </w:p>
    <w:p>
      <w:pPr>
        <w:ind w:firstLine="480"/>
        <w:rPr>
          <w:rFonts w:cs="Times New Roman"/>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②</w:t>
      </w:r>
      <w:r>
        <w:rPr>
          <w:rFonts w:cs="Times New Roman"/>
          <w:bCs/>
          <w:color w:val="000000" w:themeColor="text1"/>
          <w14:textFill>
            <w14:solidFill>
              <w14:schemeClr w14:val="tx1"/>
            </w14:solidFill>
          </w14:textFill>
        </w:rPr>
        <w:t>倾斜平原孔隙水</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主要分布于西部、北部丘陵前的余吾、上村、西贾、东李高及城东南一带。含水层有第四系中、下更新统粉细砂，中细砂组成，埋深15-75 m，厚度为3.5-20 m，其分布规律为：含水层平行河流纵向上连续性较好，垂直河流横向上则较差，粒度向倾斜平原前缘变细，脉深加大，含水层厚度变薄，在古河道部位富水性较强，其它部位变弱，水位埋深3-26m，地下水水化学类型为HCO</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-Ca型，总硬度16.314-21.014度，矿化度0.376-0.49g/L。</w:t>
      </w:r>
    </w:p>
    <w:p>
      <w:pPr>
        <w:ind w:firstLine="480"/>
        <w:rPr>
          <w:rFonts w:cs="Times New Roman"/>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③</w:t>
      </w:r>
      <w:r>
        <w:rPr>
          <w:rFonts w:cs="Times New Roman"/>
          <w:bCs/>
          <w:color w:val="000000" w:themeColor="text1"/>
          <w14:textFill>
            <w14:solidFill>
              <w14:schemeClr w14:val="tx1"/>
            </w14:solidFill>
          </w14:textFill>
        </w:rPr>
        <w:t>河谷阶地孔隙水</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主要分布于绛河河谷阶地，含水层岩性为全新统、上更新统砂砾石、中细砂，埋深10-15 m，厚度2-10 m。</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本项目区域地下水类型主要是倾斜平原孔隙水。</w:t>
      </w:r>
    </w:p>
    <w:p>
      <w:pPr>
        <w:pStyle w:val="5"/>
        <w:rPr>
          <w:color w:val="000000" w:themeColor="text1"/>
          <w14:textFill>
            <w14:solidFill>
              <w14:schemeClr w14:val="tx1"/>
            </w14:solidFill>
          </w14:textFill>
        </w:rPr>
      </w:pPr>
      <w:r>
        <w:rPr>
          <w:color w:val="000000" w:themeColor="text1"/>
          <w14:textFill>
            <w14:solidFill>
              <w14:schemeClr w14:val="tx1"/>
            </w14:solidFill>
          </w14:textFill>
        </w:rPr>
        <w:t>5.4.1.3场区水文地质条件</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1、厂区地形、地貌</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本项目位于长治市屯留区丰宜镇杜村北约630 m处，属于</w:t>
      </w:r>
      <w:r>
        <w:rPr>
          <w:rFonts w:cs="Times New Roman"/>
          <w:bCs/>
          <w:color w:val="000000" w:themeColor="text1"/>
          <w14:textFill>
            <w14:solidFill>
              <w14:schemeClr w14:val="tx1"/>
            </w14:solidFill>
          </w14:textFill>
        </w:rPr>
        <w:t>剥蚀堆积倾斜平原区</w:t>
      </w:r>
      <w:r>
        <w:rPr>
          <w:rFonts w:cs="Times New Roman"/>
          <w:color w:val="000000" w:themeColor="text1"/>
          <w14:textFill>
            <w14:solidFill>
              <w14:schemeClr w14:val="tx1"/>
            </w14:solidFill>
          </w14:textFill>
        </w:rPr>
        <w:t>；场区内地势较为平缓，由北向南标高在985~978 m之间。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2、厂区地层分布特征及地质构造</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根据现场勘查，项目所处区域出露地层主要为第四系全新统、上更新统，厚度10~30 m；地质构造简单，无不良地质构造。</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3、场区水文地质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根据现场调查、地下水监测报告及当地水文地质资料，本项目地下水评价范围内的村庄水井水源均属于第四系</w:t>
      </w:r>
      <w:r>
        <w:rPr>
          <w:rFonts w:cs="Times New Roman"/>
          <w:bCs/>
          <w:color w:val="000000" w:themeColor="text1"/>
          <w14:textFill>
            <w14:solidFill>
              <w14:schemeClr w14:val="tx1"/>
            </w14:solidFill>
          </w14:textFill>
        </w:rPr>
        <w:t>松散岩类孔隙含水</w:t>
      </w:r>
      <w:r>
        <w:rPr>
          <w:rFonts w:cs="Times New Roman"/>
          <w:color w:val="000000" w:themeColor="text1"/>
          <w14:textFill>
            <w14:solidFill>
              <w14:schemeClr w14:val="tx1"/>
            </w14:solidFill>
          </w14:textFill>
        </w:rPr>
        <w:t>岩系-</w:t>
      </w:r>
      <w:r>
        <w:rPr>
          <w:rFonts w:cs="Times New Roman"/>
          <w:bCs/>
          <w:color w:val="000000" w:themeColor="text1"/>
          <w14:textFill>
            <w14:solidFill>
              <w14:schemeClr w14:val="tx1"/>
            </w14:solidFill>
          </w14:textFill>
        </w:rPr>
        <w:t>倾斜平原孔隙水</w:t>
      </w:r>
      <w:r>
        <w:rPr>
          <w:rFonts w:cs="Times New Roman"/>
          <w:color w:val="000000" w:themeColor="text1"/>
          <w14:textFill>
            <w14:solidFill>
              <w14:schemeClr w14:val="tx1"/>
            </w14:solidFill>
          </w14:textFill>
        </w:rPr>
        <w:t>。补给主要是区内大气降水入渗，其次是工业污水灌溉及农业田间灌溉水的回渗。潜水由北向南流动，由于地势平坦，径流迟缓，故排泄方式主要是蒸发和人为开采。承压水的主要补给来源是潜水越流补给及上游地下水的侧向径流补给，工农业开采是承压水的主要排泄方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4、水源地调查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根据环评现场勘查，项目选址周围无水源地，距离最近的水源地为项目西南侧9.56 km处的</w:t>
      </w:r>
      <w:r>
        <w:rPr>
          <w:rFonts w:cs="Times New Roman"/>
          <w:bCs/>
          <w:color w:val="000000" w:themeColor="text1"/>
          <w14:textFill>
            <w14:solidFill>
              <w14:schemeClr w14:val="tx1"/>
            </w14:solidFill>
          </w14:textFill>
        </w:rPr>
        <w:t>丰宜镇集中供水水源地</w:t>
      </w:r>
      <w:r>
        <w:rPr>
          <w:rFonts w:cs="Times New Roman"/>
          <w:color w:val="000000" w:themeColor="text1"/>
          <w14:textFill>
            <w14:solidFill>
              <w14:schemeClr w14:val="tx1"/>
            </w14:solidFill>
          </w14:textFill>
        </w:rPr>
        <w:t>。项目周边村庄饮水均为村庄自有水井，供水人口数小于1000人，属于分散式饮用水水源地。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5、项目所在地地下水埋深</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经调查，项目所在地地下水埋深为23~40 m，地下水含水层类型为潜水。</w:t>
      </w:r>
    </w:p>
    <w:p>
      <w:pPr>
        <w:pStyle w:val="5"/>
        <w:rPr>
          <w:color w:val="000000" w:themeColor="text1"/>
          <w14:textFill>
            <w14:solidFill>
              <w14:schemeClr w14:val="tx1"/>
            </w14:solidFill>
          </w14:textFill>
        </w:rPr>
      </w:pPr>
      <w:r>
        <w:rPr>
          <w:color w:val="000000" w:themeColor="text1"/>
          <w14:textFill>
            <w14:solidFill>
              <w14:schemeClr w14:val="tx1"/>
            </w14:solidFill>
          </w14:textFill>
        </w:rPr>
        <w:t>5.4.1.3地下水环境保护目标</w:t>
      </w:r>
    </w:p>
    <w:p>
      <w:pPr>
        <w:ind w:firstLine="48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根据项目所在区的环境功能，确定评价执行的标准。地下水环境影响评价保护目标主要为项目周围村庄的地下水开采井。</w:t>
      </w:r>
      <w:r>
        <w:rPr>
          <w:rFonts w:cs="Times New Roman"/>
          <w:bCs/>
          <w:color w:val="000000" w:themeColor="text1"/>
          <w14:textFill>
            <w14:solidFill>
              <w14:schemeClr w14:val="tx1"/>
            </w14:solidFill>
          </w14:textFill>
        </w:rPr>
        <w:t>项目周边村庄用水情况见表5.4-2。</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表5.4-2 评价范围内村庄饮用水井一览表</w:t>
      </w: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226"/>
        <w:gridCol w:w="1479"/>
        <w:gridCol w:w="2974"/>
        <w:gridCol w:w="18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2"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水井</w:t>
            </w:r>
          </w:p>
        </w:tc>
        <w:tc>
          <w:tcPr>
            <w:tcW w:w="660"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方位</w:t>
            </w:r>
          </w:p>
        </w:tc>
        <w:tc>
          <w:tcPr>
            <w:tcW w:w="796"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距离/km</w:t>
            </w:r>
          </w:p>
        </w:tc>
        <w:tc>
          <w:tcPr>
            <w:tcW w:w="1601"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含水层</w:t>
            </w:r>
          </w:p>
        </w:tc>
        <w:tc>
          <w:tcPr>
            <w:tcW w:w="1010"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供水规模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2" w:type="pc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szCs w:val="21"/>
                <w14:textFill>
                  <w14:solidFill>
                    <w14:schemeClr w14:val="tx1"/>
                  </w14:solidFill>
                </w14:textFill>
              </w:rPr>
              <w:t>苗岭村水井</w:t>
            </w:r>
          </w:p>
        </w:tc>
        <w:tc>
          <w:tcPr>
            <w:tcW w:w="660" w:type="pc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NW</w:t>
            </w:r>
          </w:p>
        </w:tc>
        <w:tc>
          <w:tcPr>
            <w:tcW w:w="796" w:type="pc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1.02</w:t>
            </w:r>
          </w:p>
        </w:tc>
        <w:tc>
          <w:tcPr>
            <w:tcW w:w="1601" w:type="pc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第四系</w:t>
            </w:r>
            <w:r>
              <w:rPr>
                <w:bCs/>
                <w:color w:val="000000" w:themeColor="text1"/>
                <w14:textFill>
                  <w14:solidFill>
                    <w14:schemeClr w14:val="tx1"/>
                  </w14:solidFill>
                </w14:textFill>
              </w:rPr>
              <w:t>松散岩类孔隙含水</w:t>
            </w:r>
            <w:r>
              <w:rPr>
                <w:color w:val="000000" w:themeColor="text1"/>
                <w14:textFill>
                  <w14:solidFill>
                    <w14:schemeClr w14:val="tx1"/>
                  </w14:solidFill>
                </w14:textFill>
              </w:rPr>
              <w:t>层</w:t>
            </w:r>
          </w:p>
        </w:tc>
        <w:tc>
          <w:tcPr>
            <w:tcW w:w="1010" w:type="pc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90人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2"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szCs w:val="21"/>
                <w14:textFill>
                  <w14:solidFill>
                    <w14:schemeClr w14:val="tx1"/>
                  </w14:solidFill>
                </w14:textFill>
              </w:rPr>
              <w:t>牛角川水井</w:t>
            </w:r>
          </w:p>
        </w:tc>
        <w:tc>
          <w:tcPr>
            <w:tcW w:w="660"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NE</w:t>
            </w:r>
          </w:p>
        </w:tc>
        <w:tc>
          <w:tcPr>
            <w:tcW w:w="796"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1.21</w:t>
            </w:r>
          </w:p>
        </w:tc>
        <w:tc>
          <w:tcPr>
            <w:tcW w:w="1601"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第四系</w:t>
            </w:r>
            <w:r>
              <w:rPr>
                <w:bCs/>
                <w:color w:val="000000" w:themeColor="text1"/>
                <w14:textFill>
                  <w14:solidFill>
                    <w14:schemeClr w14:val="tx1"/>
                  </w14:solidFill>
                </w14:textFill>
              </w:rPr>
              <w:t>松散岩类孔隙含水</w:t>
            </w:r>
            <w:r>
              <w:rPr>
                <w:color w:val="000000" w:themeColor="text1"/>
                <w14:textFill>
                  <w14:solidFill>
                    <w14:schemeClr w14:val="tx1"/>
                  </w14:solidFill>
                </w14:textFill>
              </w:rPr>
              <w:t>层</w:t>
            </w:r>
          </w:p>
        </w:tc>
        <w:tc>
          <w:tcPr>
            <w:tcW w:w="1010"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980人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2"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szCs w:val="21"/>
                <w14:textFill>
                  <w14:solidFill>
                    <w14:schemeClr w14:val="tx1"/>
                  </w14:solidFill>
                </w14:textFill>
              </w:rPr>
              <w:t>东庄村水井</w:t>
            </w:r>
          </w:p>
        </w:tc>
        <w:tc>
          <w:tcPr>
            <w:tcW w:w="660"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SE</w:t>
            </w:r>
          </w:p>
        </w:tc>
        <w:tc>
          <w:tcPr>
            <w:tcW w:w="796"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1.26</w:t>
            </w:r>
          </w:p>
        </w:tc>
        <w:tc>
          <w:tcPr>
            <w:tcW w:w="1601"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第四系</w:t>
            </w:r>
            <w:r>
              <w:rPr>
                <w:bCs/>
                <w:color w:val="000000" w:themeColor="text1"/>
                <w14:textFill>
                  <w14:solidFill>
                    <w14:schemeClr w14:val="tx1"/>
                  </w14:solidFill>
                </w14:textFill>
              </w:rPr>
              <w:t>松散岩类孔隙含水</w:t>
            </w:r>
            <w:r>
              <w:rPr>
                <w:color w:val="000000" w:themeColor="text1"/>
                <w14:textFill>
                  <w14:solidFill>
                    <w14:schemeClr w14:val="tx1"/>
                  </w14:solidFill>
                </w14:textFill>
              </w:rPr>
              <w:t>层</w:t>
            </w:r>
          </w:p>
        </w:tc>
        <w:tc>
          <w:tcPr>
            <w:tcW w:w="1010"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912人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2"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szCs w:val="21"/>
                <w14:textFill>
                  <w14:solidFill>
                    <w14:schemeClr w14:val="tx1"/>
                  </w14:solidFill>
                </w14:textFill>
              </w:rPr>
              <w:t>杜村水井</w:t>
            </w:r>
          </w:p>
        </w:tc>
        <w:tc>
          <w:tcPr>
            <w:tcW w:w="660"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SW</w:t>
            </w:r>
          </w:p>
        </w:tc>
        <w:tc>
          <w:tcPr>
            <w:tcW w:w="796"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1.02</w:t>
            </w:r>
          </w:p>
        </w:tc>
        <w:tc>
          <w:tcPr>
            <w:tcW w:w="1601"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第四系</w:t>
            </w:r>
            <w:r>
              <w:rPr>
                <w:bCs/>
                <w:color w:val="000000" w:themeColor="text1"/>
                <w14:textFill>
                  <w14:solidFill>
                    <w14:schemeClr w14:val="tx1"/>
                  </w14:solidFill>
                </w14:textFill>
              </w:rPr>
              <w:t>松散岩类孔隙含水</w:t>
            </w:r>
            <w:r>
              <w:rPr>
                <w:color w:val="000000" w:themeColor="text1"/>
                <w14:textFill>
                  <w14:solidFill>
                    <w14:schemeClr w14:val="tx1"/>
                  </w14:solidFill>
                </w14:textFill>
              </w:rPr>
              <w:t>层</w:t>
            </w:r>
          </w:p>
        </w:tc>
        <w:tc>
          <w:tcPr>
            <w:tcW w:w="1010"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897人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2"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szCs w:val="21"/>
                <w14:textFill>
                  <w14:solidFill>
                    <w14:schemeClr w14:val="tx1"/>
                  </w14:solidFill>
                </w14:textFill>
              </w:rPr>
              <w:t>杨家湾村水井</w:t>
            </w:r>
          </w:p>
        </w:tc>
        <w:tc>
          <w:tcPr>
            <w:tcW w:w="660"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w:t>
            </w:r>
          </w:p>
        </w:tc>
        <w:tc>
          <w:tcPr>
            <w:tcW w:w="796"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1.83</w:t>
            </w:r>
          </w:p>
        </w:tc>
        <w:tc>
          <w:tcPr>
            <w:tcW w:w="1601"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第四系</w:t>
            </w:r>
            <w:r>
              <w:rPr>
                <w:bCs/>
                <w:color w:val="000000" w:themeColor="text1"/>
                <w14:textFill>
                  <w14:solidFill>
                    <w14:schemeClr w14:val="tx1"/>
                  </w14:solidFill>
                </w14:textFill>
              </w:rPr>
              <w:t>松散岩类孔隙含水</w:t>
            </w:r>
            <w:r>
              <w:rPr>
                <w:color w:val="000000" w:themeColor="text1"/>
                <w14:textFill>
                  <w14:solidFill>
                    <w14:schemeClr w14:val="tx1"/>
                  </w14:solidFill>
                </w14:textFill>
              </w:rPr>
              <w:t>层</w:t>
            </w:r>
          </w:p>
        </w:tc>
        <w:tc>
          <w:tcPr>
            <w:tcW w:w="1010" w:type="pct"/>
            <w:tcBorders>
              <w:top w:val="single" w:color="auto" w:sz="4"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557人</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5.4.1.4污染源调查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1、工业企业污染源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根据现场调查，项目周围为村庄和耕地，评价范围无其他工业污染源。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2、生活污染源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根据现场调查，评价范围生活污染源主要为村庄居民排放的生活污水，评价范围各村庄均无污水处理设施，各村单户生活污水排放量相对较小，均为自然蒸发、下渗。</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3、农业污染源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评价范围农田范围面积较大，大部分农田都使用化肥，喷洒农药。</w:t>
      </w:r>
    </w:p>
    <w:p>
      <w:pPr>
        <w:pStyle w:val="4"/>
        <w:rPr>
          <w:rFonts w:cs="Times New Roman"/>
          <w:color w:val="000000" w:themeColor="text1"/>
          <w14:textFill>
            <w14:solidFill>
              <w14:schemeClr w14:val="tx1"/>
            </w14:solidFill>
          </w14:textFill>
        </w:rPr>
      </w:pPr>
      <w:bookmarkStart w:id="567" w:name="_Toc91163928"/>
      <w:r>
        <w:rPr>
          <w:rFonts w:cs="Times New Roman"/>
          <w:color w:val="000000" w:themeColor="text1"/>
          <w14:textFill>
            <w14:solidFill>
              <w14:schemeClr w14:val="tx1"/>
            </w14:solidFill>
          </w14:textFill>
        </w:rPr>
        <w:t>5.4.2 地下水环境影响分析</w:t>
      </w:r>
      <w:bookmarkEnd w:id="567"/>
    </w:p>
    <w:p>
      <w:pPr>
        <w:pStyle w:val="5"/>
        <w:rPr>
          <w:color w:val="000000" w:themeColor="text1"/>
          <w14:textFill>
            <w14:solidFill>
              <w14:schemeClr w14:val="tx1"/>
            </w14:solidFill>
          </w14:textFill>
        </w:rPr>
      </w:pPr>
      <w:r>
        <w:rPr>
          <w:color w:val="000000" w:themeColor="text1"/>
          <w14:textFill>
            <w14:solidFill>
              <w14:schemeClr w14:val="tx1"/>
            </w14:solidFill>
          </w14:textFill>
        </w:rPr>
        <w:t>5.4.2.1地下水污染途径</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物对地下水的影响主要是由于降水或废水排放等通过垂直渗透进入包气带，进入包气带的污染物在物理、化学和生物作用下经吸附、转化、迁移和分解后输入地下水。因此，包气带是连接地面污染物和地下含水层的主要通道和过渡带，既是污染物媒介体，又是污染物的净化场所和防护层。地下水能否被污染以及污染物的种类和性质。一般说来，土壤粒细而紧密，渗透性差，则污染满；反之，颗粒大松散，渗透性能好则污染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根据评价区水文地质条件、地下水补给、径流和排泄特点，结合本工程生产中产生的污染物，分析本项目对下水造成的污染途径主要有：</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1、黑膜沼气池粪便处理系统防渗措施不足，导致沼液渗入地下造成对地下水的污染；</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2、工程使用的各类废水池、污水管道防渗措施不足，而造成废水渗漏污染；</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3、生产设施因基础防渗不足通过裂隙污染地下水；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4、废水汇集渠道防渗措施不足，而造成废水下渗污染地下水；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5、病死猪未及时处理或病死无害化处理间防渗不足，而造成病死猪及胞衣堆放过程中渗滤液下渗污染地下水；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6、堆肥发酵车间防渗不足，而造成发酵液泄漏下渗，污染地下水；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7、医疗废物暂存间及暂存设施防渗措施不足，而造成医疗废物泄漏下渗，污染地下水；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由于评价区没有明显的地质裂缝、断层，地表水直接渗漏污染深层地下水的可能性很小。</w:t>
      </w:r>
    </w:p>
    <w:p>
      <w:pPr>
        <w:pStyle w:val="5"/>
        <w:rPr>
          <w:color w:val="000000" w:themeColor="text1"/>
          <w14:textFill>
            <w14:solidFill>
              <w14:schemeClr w14:val="tx1"/>
            </w14:solidFill>
          </w14:textFill>
        </w:rPr>
      </w:pPr>
      <w:r>
        <w:rPr>
          <w:color w:val="000000" w:themeColor="text1"/>
          <w14:textFill>
            <w14:solidFill>
              <w14:schemeClr w14:val="tx1"/>
            </w14:solidFill>
          </w14:textFill>
        </w:rPr>
        <w:t>5.4.2.2地下水影响预测</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1、预测范围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根据《环境影响评价技术导则地下水环境》（HJ610-2016）的要求，本次地下水环境影响评价预测范围与地下水现状调查范围一致，即：场区为中心向上游延伸1.5 km，向西延伸1 km，向东延伸1 km，下游以鸡鸣水河河床为界，评价范围约为7.3 km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。预测层位为地下水的潜水含水层。</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2、预测时段</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结合地下水跟踪监测的频率（1次/年），预测时段设定为发生黑膜沼气池内的废水泄漏后的100天和1000天。</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3、预测因子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本项目废水污染物特征因子不含重金属，不含持久性有机污染物，废水特征污染因子为氨氮。</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4、预测源强及预测模式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沼液储存池中氨氮浓度按900 mg/L计。考虑监测计划频次，按不利情况，以泄漏180天时发现防渗措施出现非正常状况，采取措施及时修复。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预测模型采用地下水溶质运移解析法——一维半无限长多孔介质柱体，一端为定浓度边界模型：</w:t>
      </w:r>
    </w:p>
    <w:p>
      <w:pPr>
        <w:ind w:firstLine="480"/>
        <w:rPr>
          <w:rFonts w:cs="Times New Roman"/>
          <w:color w:val="000000" w:themeColor="text1"/>
          <w14:textFill>
            <w14:solidFill>
              <w14:schemeClr w14:val="tx1"/>
            </w14:solidFill>
          </w14:textFill>
        </w:rPr>
      </w:pPr>
      <m:oMathPara>
        <m:oMath>
          <m:f>
            <m:fPr>
              <m:ctrlPr>
                <w:rPr>
                  <w:rFonts w:ascii="Cambria Math" w:hAnsi="Cambria Math" w:cs="Times New Roman"/>
                  <w:color w:val="000000" w:themeColor="text1"/>
                  <w14:textFill>
                    <w14:solidFill>
                      <w14:schemeClr w14:val="tx1"/>
                    </w14:solidFill>
                  </w14:textFill>
                </w:rPr>
              </m:ctrlPr>
            </m:fPr>
            <m:num>
              <m:r>
                <m:rPr>
                  <m:sty m:val="p"/>
                </m:rPr>
                <w:rPr>
                  <w:rFonts w:ascii="Cambria Math" w:hAnsi="Cambria Math" w:cs="Times New Roman"/>
                  <w:color w:val="000000" w:themeColor="text1"/>
                  <w14:textFill>
                    <w14:solidFill>
                      <w14:schemeClr w14:val="tx1"/>
                    </w14:solidFill>
                  </w14:textFill>
                </w:rPr>
                <m:t>C</m:t>
              </m:r>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C</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0</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den>
          </m:f>
          <m:r>
            <m:rPr>
              <m:sty m:val="p"/>
            </m:rPr>
            <w:rPr>
              <w:rFonts w:ascii="Cambria Math" w:hAnsi="Cambria Math" w:cs="Times New Roman"/>
              <w:color w:val="000000" w:themeColor="text1"/>
              <w14:textFill>
                <w14:solidFill>
                  <w14:schemeClr w14:val="tx1"/>
                </w14:solidFill>
              </w14:textFill>
            </w:rPr>
            <m:t>=</m:t>
          </m:r>
          <m:f>
            <m:fPr>
              <m:ctrlPr>
                <w:rPr>
                  <w:rFonts w:ascii="Cambria Math" w:hAnsi="Cambria Math" w:cs="Times New Roman"/>
                  <w:color w:val="000000" w:themeColor="text1"/>
                  <w14:textFill>
                    <w14:solidFill>
                      <w14:schemeClr w14:val="tx1"/>
                    </w14:solidFill>
                  </w14:textFill>
                </w:rPr>
              </m:ctrlPr>
            </m:fPr>
            <m:num>
              <m:r>
                <m:rPr>
                  <m:sty m:val="p"/>
                </m:rPr>
                <w:rPr>
                  <w:rFonts w:ascii="Cambria Math" w:hAnsi="Cambria Math" w:cs="Times New Roman"/>
                  <w:color w:val="000000" w:themeColor="text1"/>
                  <w14:textFill>
                    <w14:solidFill>
                      <w14:schemeClr w14:val="tx1"/>
                    </w14:solidFill>
                  </w14:textFill>
                </w:rPr>
                <m:t>1</m:t>
              </m:r>
              <m:ctrlPr>
                <w:rPr>
                  <w:rFonts w:ascii="Cambria Math" w:hAnsi="Cambria Math" w:cs="Times New Roman"/>
                  <w:color w:val="000000" w:themeColor="text1"/>
                  <w14:textFill>
                    <w14:solidFill>
                      <w14:schemeClr w14:val="tx1"/>
                    </w14:solidFill>
                  </w14:textFill>
                </w:rPr>
              </m:ctrlPr>
            </m:num>
            <m:den>
              <m:r>
                <m:rPr>
                  <m:sty m:val="p"/>
                </m:rPr>
                <w:rPr>
                  <w:rFonts w:ascii="Cambria Math" w:hAnsi="Cambria Math" w:cs="Times New Roman"/>
                  <w:color w:val="000000" w:themeColor="text1"/>
                  <w14:textFill>
                    <w14:solidFill>
                      <w14:schemeClr w14:val="tx1"/>
                    </w14:solidFill>
                  </w14:textFill>
                </w:rPr>
                <m:t>2</m:t>
              </m:r>
              <m:ctrlPr>
                <w:rPr>
                  <w:rFonts w:ascii="Cambria Math" w:hAnsi="Cambria Math" w:cs="Times New Roman"/>
                  <w:color w:val="000000" w:themeColor="text1"/>
                  <w14:textFill>
                    <w14:solidFill>
                      <w14:schemeClr w14:val="tx1"/>
                    </w14:solidFill>
                  </w14:textFill>
                </w:rPr>
              </m:ctrlPr>
            </m:den>
          </m:f>
          <m:r>
            <m:rPr>
              <m:sty m:val="p"/>
            </m:rPr>
            <w:rPr>
              <w:rFonts w:ascii="Cambria Math" w:hAnsi="Cambria Math" w:cs="Times New Roman"/>
              <w:color w:val="000000" w:themeColor="text1"/>
              <w14:textFill>
                <w14:solidFill>
                  <w14:schemeClr w14:val="tx1"/>
                </w14:solidFill>
              </w14:textFill>
            </w:rPr>
            <m:t>erfc</m:t>
          </m:r>
          <m:d>
            <m:dPr>
              <m:ctrlPr>
                <w:rPr>
                  <w:rFonts w:ascii="Cambria Math" w:hAnsi="Cambria Math" w:cs="Times New Roman"/>
                  <w:color w:val="000000" w:themeColor="text1"/>
                  <w14:textFill>
                    <w14:solidFill>
                      <w14:schemeClr w14:val="tx1"/>
                    </w14:solidFill>
                  </w14:textFill>
                </w:rPr>
              </m:ctrlPr>
            </m:dPr>
            <m:e>
              <m:f>
                <m:fPr>
                  <m:ctrlPr>
                    <w:rPr>
                      <w:rFonts w:ascii="Cambria Math" w:hAnsi="Cambria Math" w:cs="Times New Roman"/>
                      <w:color w:val="000000" w:themeColor="text1"/>
                      <w14:textFill>
                        <w14:solidFill>
                          <w14:schemeClr w14:val="tx1"/>
                        </w14:solidFill>
                      </w14:textFill>
                    </w:rPr>
                  </m:ctrlPr>
                </m:fPr>
                <m:num>
                  <m:r>
                    <m:rPr>
                      <m:sty m:val="p"/>
                    </m:rPr>
                    <w:rPr>
                      <w:rFonts w:ascii="Cambria Math" w:hAnsi="Cambria Math" w:cs="Times New Roman"/>
                      <w:color w:val="000000" w:themeColor="text1"/>
                      <w14:textFill>
                        <w14:solidFill>
                          <w14:schemeClr w14:val="tx1"/>
                        </w14:solidFill>
                      </w14:textFill>
                    </w:rPr>
                    <m:t>x−ut</m:t>
                  </m:r>
                  <m:ctrlPr>
                    <w:rPr>
                      <w:rFonts w:ascii="Cambria Math" w:hAnsi="Cambria Math" w:cs="Times New Roman"/>
                      <w:color w:val="000000" w:themeColor="text1"/>
                      <w14:textFill>
                        <w14:solidFill>
                          <w14:schemeClr w14:val="tx1"/>
                        </w14:solidFill>
                      </w14:textFill>
                    </w:rPr>
                  </m:ctrlPr>
                </m:num>
                <m:den>
                  <m:r>
                    <m:rPr>
                      <m:sty m:val="p"/>
                    </m:rPr>
                    <w:rPr>
                      <w:rFonts w:ascii="Cambria Math" w:hAnsi="Cambria Math" w:cs="Times New Roman"/>
                      <w:color w:val="000000" w:themeColor="text1"/>
                      <w14:textFill>
                        <w14:solidFill>
                          <w14:schemeClr w14:val="tx1"/>
                        </w14:solidFill>
                      </w14:textFill>
                    </w:rPr>
                    <m:t>2</m:t>
                  </m:r>
                  <m:rad>
                    <m:radPr>
                      <m:degHide m:val="true"/>
                      <m:ctrlPr>
                        <w:rPr>
                          <w:rFonts w:ascii="Cambria Math" w:hAnsi="Cambria Math" w:cs="Times New Roman"/>
                          <w:color w:val="000000" w:themeColor="text1"/>
                          <w14:textFill>
                            <w14:solidFill>
                              <w14:schemeClr w14:val="tx1"/>
                            </w14:solidFill>
                          </w14:textFill>
                        </w:rPr>
                      </m:ctrlPr>
                    </m:radPr>
                    <m:deg>
                      <m:ctrlPr>
                        <w:rPr>
                          <w:rFonts w:ascii="Cambria Math" w:hAnsi="Cambria Math" w:cs="Times New Roman"/>
                          <w:color w:val="000000" w:themeColor="text1"/>
                          <w14:textFill>
                            <w14:solidFill>
                              <w14:schemeClr w14:val="tx1"/>
                            </w14:solidFill>
                          </w14:textFill>
                        </w:rPr>
                      </m:ctrlPr>
                    </m:deg>
                    <m:e>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D</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t</m:t>
                      </m:r>
                      <m:ctrlPr>
                        <w:rPr>
                          <w:rFonts w:ascii="Cambria Math" w:hAnsi="Cambria Math" w:cs="Times New Roman"/>
                          <w:color w:val="000000" w:themeColor="text1"/>
                          <w14:textFill>
                            <w14:solidFill>
                              <w14:schemeClr w14:val="tx1"/>
                            </w14:solidFill>
                          </w14:textFill>
                        </w:rPr>
                      </m:ctrlPr>
                    </m:e>
                  </m:rad>
                  <m:ctrlPr>
                    <w:rPr>
                      <w:rFonts w:ascii="Cambria Math" w:hAnsi="Cambria Math" w:cs="Times New Roman"/>
                      <w:color w:val="000000" w:themeColor="text1"/>
                      <w14:textFill>
                        <w14:solidFill>
                          <w14:schemeClr w14:val="tx1"/>
                        </w14:solidFill>
                      </w14:textFill>
                    </w:rPr>
                  </m:ctrlPr>
                </m:den>
              </m:f>
              <m:ctrlPr>
                <w:rPr>
                  <w:rFonts w:ascii="Cambria Math" w:hAnsi="Cambria Math" w:cs="Times New Roman"/>
                  <w:color w:val="000000" w:themeColor="text1"/>
                  <w14:textFill>
                    <w14:solidFill>
                      <w14:schemeClr w14:val="tx1"/>
                    </w14:solidFill>
                  </w14:textFill>
                </w:rPr>
              </m:ctrlPr>
            </m:e>
          </m:d>
          <m:r>
            <m:rPr>
              <m:sty m:val="p"/>
            </m:rPr>
            <w:rPr>
              <w:rFonts w:ascii="Cambria Math" w:hAnsi="Cambria Math" w:cs="Times New Roman"/>
              <w:color w:val="000000" w:themeColor="text1"/>
              <w14:textFill>
                <w14:solidFill>
                  <w14:schemeClr w14:val="tx1"/>
                </w14:solidFill>
              </w14:textFill>
            </w:rPr>
            <m:t>+</m:t>
          </m:r>
          <m:f>
            <m:fPr>
              <m:ctrlPr>
                <w:rPr>
                  <w:rFonts w:ascii="Cambria Math" w:hAnsi="Cambria Math" w:cs="Times New Roman"/>
                  <w:color w:val="000000" w:themeColor="text1"/>
                  <w14:textFill>
                    <w14:solidFill>
                      <w14:schemeClr w14:val="tx1"/>
                    </w14:solidFill>
                  </w14:textFill>
                </w:rPr>
              </m:ctrlPr>
            </m:fPr>
            <m:num>
              <m:r>
                <m:rPr>
                  <m:sty m:val="p"/>
                </m:rPr>
                <w:rPr>
                  <w:rFonts w:ascii="Cambria Math" w:hAnsi="Cambria Math" w:cs="Times New Roman"/>
                  <w:color w:val="000000" w:themeColor="text1"/>
                  <w14:textFill>
                    <w14:solidFill>
                      <w14:schemeClr w14:val="tx1"/>
                    </w14:solidFill>
                  </w14:textFill>
                </w:rPr>
                <m:t>1</m:t>
              </m:r>
              <m:ctrlPr>
                <w:rPr>
                  <w:rFonts w:ascii="Cambria Math" w:hAnsi="Cambria Math" w:cs="Times New Roman"/>
                  <w:color w:val="000000" w:themeColor="text1"/>
                  <w14:textFill>
                    <w14:solidFill>
                      <w14:schemeClr w14:val="tx1"/>
                    </w14:solidFill>
                  </w14:textFill>
                </w:rPr>
              </m:ctrlPr>
            </m:num>
            <m:den>
              <m:r>
                <m:rPr>
                  <m:sty m:val="p"/>
                </m:rPr>
                <w:rPr>
                  <w:rFonts w:ascii="Cambria Math" w:hAnsi="Cambria Math" w:cs="Times New Roman"/>
                  <w:color w:val="000000" w:themeColor="text1"/>
                  <w14:textFill>
                    <w14:solidFill>
                      <w14:schemeClr w14:val="tx1"/>
                    </w14:solidFill>
                  </w14:textFill>
                </w:rPr>
                <m:t>2</m:t>
              </m:r>
              <m:ctrlPr>
                <w:rPr>
                  <w:rFonts w:ascii="Cambria Math" w:hAnsi="Cambria Math" w:cs="Times New Roman"/>
                  <w:color w:val="000000" w:themeColor="text1"/>
                  <w14:textFill>
                    <w14:solidFill>
                      <w14:schemeClr w14:val="tx1"/>
                    </w14:solidFill>
                  </w14:textFill>
                </w:rPr>
              </m:ctrlPr>
            </m:den>
          </m:f>
          <m:sSup>
            <m:sSupPr>
              <m:ctrlPr>
                <w:rPr>
                  <w:rFonts w:ascii="Cambria Math" w:hAnsi="Cambria Math" w:cs="Times New Roman"/>
                  <w:color w:val="000000" w:themeColor="text1"/>
                  <w14:textFill>
                    <w14:solidFill>
                      <w14:schemeClr w14:val="tx1"/>
                    </w14:solidFill>
                  </w14:textFill>
                </w:rPr>
              </m:ctrlPr>
            </m:sSupPr>
            <m:e>
              <m:r>
                <m:rPr>
                  <m:sty m:val="p"/>
                </m:rPr>
                <w:rPr>
                  <w:rFonts w:ascii="Cambria Math" w:hAnsi="Cambria Math" w:cs="Times New Roman"/>
                  <w:color w:val="000000" w:themeColor="text1"/>
                  <w14:textFill>
                    <w14:solidFill>
                      <w14:schemeClr w14:val="tx1"/>
                    </w14:solidFill>
                  </w14:textFill>
                </w:rPr>
                <m:t>e</m:t>
              </m:r>
              <m:ctrlPr>
                <w:rPr>
                  <w:rFonts w:ascii="Cambria Math" w:hAnsi="Cambria Math" w:cs="Times New Roman"/>
                  <w:color w:val="000000" w:themeColor="text1"/>
                  <w14:textFill>
                    <w14:solidFill>
                      <w14:schemeClr w14:val="tx1"/>
                    </w14:solidFill>
                  </w14:textFill>
                </w:rPr>
              </m:ctrlPr>
            </m:e>
            <m:sup>
              <m:f>
                <m:fPr>
                  <m:ctrlPr>
                    <w:rPr>
                      <w:rFonts w:ascii="Cambria Math" w:hAnsi="Cambria Math" w:cs="Times New Roman"/>
                      <w:color w:val="000000" w:themeColor="text1"/>
                      <w14:textFill>
                        <w14:solidFill>
                          <w14:schemeClr w14:val="tx1"/>
                        </w14:solidFill>
                      </w14:textFill>
                    </w:rPr>
                  </m:ctrlPr>
                </m:fPr>
                <m:num>
                  <m:r>
                    <m:rPr>
                      <m:sty m:val="p"/>
                    </m:rPr>
                    <w:rPr>
                      <w:rFonts w:ascii="Cambria Math" w:hAnsi="Cambria Math" w:cs="Times New Roman"/>
                      <w:color w:val="000000" w:themeColor="text1"/>
                      <w14:textFill>
                        <w14:solidFill>
                          <w14:schemeClr w14:val="tx1"/>
                        </w14:solidFill>
                      </w14:textFill>
                    </w:rPr>
                    <m:t>ux</m:t>
                  </m:r>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D</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den>
              </m:f>
              <m:ctrlPr>
                <w:rPr>
                  <w:rFonts w:ascii="Cambria Math" w:hAnsi="Cambria Math" w:cs="Times New Roman"/>
                  <w:color w:val="000000" w:themeColor="text1"/>
                  <w14:textFill>
                    <w14:solidFill>
                      <w14:schemeClr w14:val="tx1"/>
                    </w14:solidFill>
                  </w14:textFill>
                </w:rPr>
              </m:ctrlPr>
            </m:sup>
          </m:sSup>
          <m:r>
            <m:rPr>
              <m:sty m:val="p"/>
            </m:rPr>
            <w:rPr>
              <w:rFonts w:ascii="Cambria Math" w:hAnsi="Cambria Math" w:cs="Times New Roman"/>
              <w:color w:val="000000" w:themeColor="text1"/>
              <w14:textFill>
                <w14:solidFill>
                  <w14:schemeClr w14:val="tx1"/>
                </w14:solidFill>
              </w14:textFill>
            </w:rPr>
            <m:t xml:space="preserve"> erfc</m:t>
          </m:r>
          <m:d>
            <m:dPr>
              <m:ctrlPr>
                <w:rPr>
                  <w:rFonts w:ascii="Cambria Math" w:hAnsi="Cambria Math" w:cs="Times New Roman"/>
                  <w:color w:val="000000" w:themeColor="text1"/>
                  <w14:textFill>
                    <w14:solidFill>
                      <w14:schemeClr w14:val="tx1"/>
                    </w14:solidFill>
                  </w14:textFill>
                </w:rPr>
              </m:ctrlPr>
            </m:dPr>
            <m:e>
              <m:f>
                <m:fPr>
                  <m:ctrlPr>
                    <w:rPr>
                      <w:rFonts w:ascii="Cambria Math" w:hAnsi="Cambria Math" w:cs="Times New Roman"/>
                      <w:color w:val="000000" w:themeColor="text1"/>
                      <w14:textFill>
                        <w14:solidFill>
                          <w14:schemeClr w14:val="tx1"/>
                        </w14:solidFill>
                      </w14:textFill>
                    </w:rPr>
                  </m:ctrlPr>
                </m:fPr>
                <m:num>
                  <m:r>
                    <m:rPr>
                      <m:sty m:val="p"/>
                    </m:rPr>
                    <w:rPr>
                      <w:rFonts w:ascii="Cambria Math" w:hAnsi="Cambria Math" w:cs="Times New Roman"/>
                      <w:color w:val="000000" w:themeColor="text1"/>
                      <w14:textFill>
                        <w14:solidFill>
                          <w14:schemeClr w14:val="tx1"/>
                        </w14:solidFill>
                      </w14:textFill>
                    </w:rPr>
                    <m:t>x+ut</m:t>
                  </m:r>
                  <m:ctrlPr>
                    <w:rPr>
                      <w:rFonts w:ascii="Cambria Math" w:hAnsi="Cambria Math" w:cs="Times New Roman"/>
                      <w:color w:val="000000" w:themeColor="text1"/>
                      <w14:textFill>
                        <w14:solidFill>
                          <w14:schemeClr w14:val="tx1"/>
                        </w14:solidFill>
                      </w14:textFill>
                    </w:rPr>
                  </m:ctrlPr>
                </m:num>
                <m:den>
                  <m:r>
                    <m:rPr>
                      <m:sty m:val="p"/>
                    </m:rPr>
                    <w:rPr>
                      <w:rFonts w:ascii="Cambria Math" w:hAnsi="Cambria Math" w:cs="Times New Roman"/>
                      <w:color w:val="000000" w:themeColor="text1"/>
                      <w14:textFill>
                        <w14:solidFill>
                          <w14:schemeClr w14:val="tx1"/>
                        </w14:solidFill>
                      </w14:textFill>
                    </w:rPr>
                    <m:t>2</m:t>
                  </m:r>
                  <m:rad>
                    <m:radPr>
                      <m:degHide m:val="true"/>
                      <m:ctrlPr>
                        <w:rPr>
                          <w:rFonts w:ascii="Cambria Math" w:hAnsi="Cambria Math" w:cs="Times New Roman"/>
                          <w:color w:val="000000" w:themeColor="text1"/>
                          <w14:textFill>
                            <w14:solidFill>
                              <w14:schemeClr w14:val="tx1"/>
                            </w14:solidFill>
                          </w14:textFill>
                        </w:rPr>
                      </m:ctrlPr>
                    </m:radPr>
                    <m:deg>
                      <m:ctrlPr>
                        <w:rPr>
                          <w:rFonts w:ascii="Cambria Math" w:hAnsi="Cambria Math" w:cs="Times New Roman"/>
                          <w:color w:val="000000" w:themeColor="text1"/>
                          <w14:textFill>
                            <w14:solidFill>
                              <w14:schemeClr w14:val="tx1"/>
                            </w14:solidFill>
                          </w14:textFill>
                        </w:rPr>
                      </m:ctrlPr>
                    </m:deg>
                    <m:e>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D</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t</m:t>
                      </m:r>
                      <m:ctrlPr>
                        <w:rPr>
                          <w:rFonts w:ascii="Cambria Math" w:hAnsi="Cambria Math" w:cs="Times New Roman"/>
                          <w:color w:val="000000" w:themeColor="text1"/>
                          <w14:textFill>
                            <w14:solidFill>
                              <w14:schemeClr w14:val="tx1"/>
                            </w14:solidFill>
                          </w14:textFill>
                        </w:rPr>
                      </m:ctrlPr>
                    </m:e>
                  </m:rad>
                  <m:ctrlPr>
                    <w:rPr>
                      <w:rFonts w:ascii="Cambria Math" w:hAnsi="Cambria Math" w:cs="Times New Roman"/>
                      <w:color w:val="000000" w:themeColor="text1"/>
                      <w14:textFill>
                        <w14:solidFill>
                          <w14:schemeClr w14:val="tx1"/>
                        </w14:solidFill>
                      </w14:textFill>
                    </w:rPr>
                  </m:ctrlPr>
                </m:den>
              </m:f>
              <m:ctrlPr>
                <w:rPr>
                  <w:rFonts w:ascii="Cambria Math" w:hAnsi="Cambria Math" w:cs="Times New Roman"/>
                  <w:color w:val="000000" w:themeColor="text1"/>
                  <w14:textFill>
                    <w14:solidFill>
                      <w14:schemeClr w14:val="tx1"/>
                    </w14:solidFill>
                  </w14:textFill>
                </w:rPr>
              </m:ctrlPr>
            </m:e>
          </m:d>
        </m:oMath>
      </m:oMathPara>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m:oMath>
        <m:r>
          <m:rPr>
            <m:sty m:val="p"/>
          </m:rPr>
          <w:rPr>
            <w:rFonts w:ascii="Cambria Math" w:hAnsi="Cambria Math" w:cs="Times New Roman"/>
            <w:color w:val="000000" w:themeColor="text1"/>
            <w14:textFill>
              <w14:solidFill>
                <w14:schemeClr w14:val="tx1"/>
              </w14:solidFill>
            </w14:textFill>
          </w:rPr>
          <m:t>x</m:t>
        </m:r>
      </m:oMath>
      <w:r>
        <w:rPr>
          <w:rFonts w:cs="Times New Roman"/>
          <w:color w:val="000000" w:themeColor="text1"/>
          <w14:textFill>
            <w14:solidFill>
              <w14:schemeClr w14:val="tx1"/>
            </w14:solidFill>
          </w14:textFill>
        </w:rPr>
        <w:t>—注入点的距离，m；</w:t>
      </w:r>
    </w:p>
    <w:p>
      <w:pPr>
        <w:ind w:firstLine="1200" w:firstLineChars="500"/>
        <w:rPr>
          <w:rFonts w:cs="Times New Roman"/>
          <w:color w:val="000000" w:themeColor="text1"/>
          <w14:textFill>
            <w14:solidFill>
              <w14:schemeClr w14:val="tx1"/>
            </w14:solidFill>
          </w14:textFill>
        </w:rPr>
      </w:pPr>
      <m:oMath>
        <m:r>
          <m:rPr>
            <m:sty m:val="p"/>
          </m:rPr>
          <w:rPr>
            <w:rFonts w:ascii="Cambria Math" w:hAnsi="Cambria Math" w:cs="Times New Roman"/>
            <w:color w:val="000000" w:themeColor="text1"/>
            <w14:textFill>
              <w14:solidFill>
                <w14:schemeClr w14:val="tx1"/>
              </w14:solidFill>
            </w14:textFill>
          </w:rPr>
          <m:t>t</m:t>
        </m:r>
      </m:oMath>
      <w:r>
        <w:rPr>
          <w:rFonts w:cs="Times New Roman"/>
          <w:color w:val="000000" w:themeColor="text1"/>
          <w14:textFill>
            <w14:solidFill>
              <w14:schemeClr w14:val="tx1"/>
            </w14:solidFill>
          </w14:textFill>
        </w:rPr>
        <w:t>—时间，d；</w:t>
      </w:r>
    </w:p>
    <w:p>
      <w:pPr>
        <w:ind w:firstLine="1200" w:firstLineChars="500"/>
        <w:rPr>
          <w:rFonts w:cs="Times New Roman"/>
          <w:color w:val="000000" w:themeColor="text1"/>
          <w14:textFill>
            <w14:solidFill>
              <w14:schemeClr w14:val="tx1"/>
            </w14:solidFill>
          </w14:textFill>
        </w:rPr>
      </w:pPr>
      <m:oMath>
        <m:r>
          <m:rPr>
            <m:sty m:val="p"/>
          </m:rPr>
          <w:rPr>
            <w:rFonts w:ascii="Cambria Math" w:hAnsi="Cambria Math" w:cs="Times New Roman"/>
            <w:color w:val="000000" w:themeColor="text1"/>
            <w14:textFill>
              <w14:solidFill>
                <w14:schemeClr w14:val="tx1"/>
              </w14:solidFill>
            </w14:textFill>
          </w:rPr>
          <m:t>C</m:t>
        </m:r>
        <m:d>
          <m:dPr>
            <m:ctrlPr>
              <w:rPr>
                <w:rFonts w:ascii="Cambria Math" w:hAnsi="Cambria Math" w:cs="Times New Roman"/>
                <w:color w:val="000000" w:themeColor="text1"/>
                <w14:textFill>
                  <w14:solidFill>
                    <w14:schemeClr w14:val="tx1"/>
                  </w14:solidFill>
                </w14:textFill>
              </w:rPr>
            </m:ctrlPr>
          </m:dPr>
          <m:e>
            <m:r>
              <m:rPr>
                <m:sty m:val="p"/>
              </m:rPr>
              <w:rPr>
                <w:rFonts w:ascii="Cambria Math" w:hAnsi="Cambria Math" w:cs="Times New Roman"/>
                <w:color w:val="000000" w:themeColor="text1"/>
                <w14:textFill>
                  <w14:solidFill>
                    <w14:schemeClr w14:val="tx1"/>
                  </w14:solidFill>
                </w14:textFill>
              </w:rPr>
              <m:t>x，t</m:t>
            </m:r>
            <m:ctrlPr>
              <w:rPr>
                <w:rFonts w:ascii="Cambria Math" w:hAnsi="Cambria Math" w:cs="Times New Roman"/>
                <w:color w:val="000000" w:themeColor="text1"/>
                <w14:textFill>
                  <w14:solidFill>
                    <w14:schemeClr w14:val="tx1"/>
                  </w14:solidFill>
                </w14:textFill>
              </w:rPr>
            </m:ctrlPr>
          </m:e>
        </m:d>
      </m:oMath>
      <w:r>
        <w:rPr>
          <w:rFonts w:cs="Times New Roman"/>
          <w:color w:val="000000" w:themeColor="text1"/>
          <w14:textFill>
            <w14:solidFill>
              <w14:schemeClr w14:val="tx1"/>
            </w14:solidFill>
          </w14:textFill>
        </w:rPr>
        <w:t>—t时刻</w:t>
      </w:r>
      <m:oMath>
        <m:r>
          <m:rPr>
            <m:sty m:val="p"/>
          </m:rPr>
          <w:rPr>
            <w:rFonts w:ascii="Cambria Math" w:hAnsi="Cambria Math" w:cs="Times New Roman"/>
            <w:color w:val="000000" w:themeColor="text1"/>
            <w14:textFill>
              <w14:solidFill>
                <w14:schemeClr w14:val="tx1"/>
              </w14:solidFill>
            </w14:textFill>
          </w:rPr>
          <m:t>x</m:t>
        </m:r>
      </m:oMath>
      <w:r>
        <w:rPr>
          <w:rFonts w:cs="Times New Roman"/>
          <w:color w:val="000000" w:themeColor="text1"/>
          <w14:textFill>
            <w14:solidFill>
              <w14:schemeClr w14:val="tx1"/>
            </w14:solidFill>
          </w14:textFill>
        </w:rPr>
        <w:t>点处的示踪剂质量浓度，g/L；</w:t>
      </w:r>
    </w:p>
    <w:p>
      <w:pPr>
        <w:ind w:firstLine="1200" w:firstLineChars="500"/>
        <w:rPr>
          <w:rFonts w:cs="Times New Roman"/>
          <w:color w:val="000000" w:themeColor="text1"/>
          <w14:textFill>
            <w14:solidFill>
              <w14:schemeClr w14:val="tx1"/>
            </w14:solidFill>
          </w14:textFill>
        </w:rPr>
      </w:pP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C</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0</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—注入的示踪剂质量浓度，g/L；</w:t>
      </w:r>
    </w:p>
    <w:p>
      <w:pPr>
        <w:ind w:firstLine="1200" w:firstLineChars="500"/>
        <w:rPr>
          <w:rFonts w:cs="Times New Roman"/>
          <w:color w:val="000000" w:themeColor="text1"/>
          <w14:textFill>
            <w14:solidFill>
              <w14:schemeClr w14:val="tx1"/>
            </w14:solidFill>
          </w14:textFill>
        </w:rPr>
      </w:pPr>
      <m:oMath>
        <m:r>
          <m:rPr>
            <m:sty m:val="p"/>
          </m:rPr>
          <w:rPr>
            <w:rFonts w:ascii="Cambria Math" w:hAnsi="Cambria Math" w:cs="Times New Roman"/>
            <w:color w:val="000000" w:themeColor="text1"/>
            <w14:textFill>
              <w14:solidFill>
                <w14:schemeClr w14:val="tx1"/>
              </w14:solidFill>
            </w14:textFill>
          </w:rPr>
          <m:t>u</m:t>
        </m:r>
      </m:oMath>
      <w:r>
        <w:rPr>
          <w:rFonts w:cs="Times New Roman"/>
          <w:color w:val="000000" w:themeColor="text1"/>
          <w14:textFill>
            <w14:solidFill>
              <w14:schemeClr w14:val="tx1"/>
            </w14:solidFill>
          </w14:textFill>
        </w:rPr>
        <w:t>—水流速度，m/d；</w:t>
      </w:r>
    </w:p>
    <w:p>
      <w:pPr>
        <w:ind w:firstLine="1200" w:firstLineChars="500"/>
        <w:rPr>
          <w:rFonts w:cs="Times New Roman"/>
          <w:color w:val="000000" w:themeColor="text1"/>
          <w14:textFill>
            <w14:solidFill>
              <w14:schemeClr w14:val="tx1"/>
            </w14:solidFill>
          </w14:textFill>
        </w:rPr>
      </w:pP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D</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—纵向弥散系数，m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/d；</w:t>
      </w:r>
    </w:p>
    <w:p>
      <w:pPr>
        <w:ind w:firstLine="1200" w:firstLineChars="500"/>
        <w:rPr>
          <w:rFonts w:cs="Times New Roman"/>
          <w:color w:val="000000" w:themeColor="text1"/>
          <w14:textFill>
            <w14:solidFill>
              <w14:schemeClr w14:val="tx1"/>
            </w14:solidFill>
          </w14:textFill>
        </w:rPr>
      </w:pPr>
      <m:oMath>
        <m:r>
          <m:rPr>
            <m:sty m:val="p"/>
          </m:rPr>
          <w:rPr>
            <w:rFonts w:ascii="Cambria Math" w:hAnsi="Cambria Math" w:cs="Times New Roman"/>
            <w:color w:val="000000" w:themeColor="text1"/>
            <w14:textFill>
              <w14:solidFill>
                <w14:schemeClr w14:val="tx1"/>
              </w14:solidFill>
            </w14:textFill>
          </w:rPr>
          <m:t>erfc</m:t>
        </m:r>
        <m:d>
          <m:dPr>
            <m:ctrlPr>
              <w:rPr>
                <w:rFonts w:ascii="Cambria Math" w:hAnsi="Cambria Math" w:cs="Times New Roman"/>
                <w:color w:val="000000" w:themeColor="text1"/>
                <w14:textFill>
                  <w14:solidFill>
                    <w14:schemeClr w14:val="tx1"/>
                  </w14:solidFill>
                </w14:textFill>
              </w:rPr>
            </m:ctrlPr>
          </m:dPr>
          <m:e>
            <m:ctrlPr>
              <w:rPr>
                <w:rFonts w:ascii="Cambria Math" w:hAnsi="Cambria Math" w:cs="Times New Roman"/>
                <w:color w:val="000000" w:themeColor="text1"/>
                <w14:textFill>
                  <w14:solidFill>
                    <w14:schemeClr w14:val="tx1"/>
                  </w14:solidFill>
                </w14:textFill>
              </w:rPr>
            </m:ctrlPr>
          </m:e>
        </m:d>
      </m:oMath>
      <w:r>
        <w:rPr>
          <w:rFonts w:cs="Times New Roman"/>
          <w:color w:val="000000" w:themeColor="text1"/>
          <w14:textFill>
            <w14:solidFill>
              <w14:schemeClr w14:val="tx1"/>
            </w14:solidFill>
          </w14:textFill>
        </w:rPr>
        <w:t>—余误差函数。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污染物泄露截止时间按地下水跟踪监测频率半年1次计，取180 d；</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水流速度（u）：根据达西定律u=含水层渗透系数×地下水水力坡度，根据地下水概况分析含水层渗透系数取（K=0.5 m/d），水力坡度I=0.2%。即u取0.001 m/d。</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弥散系数：纵横弥散系数根据含水层岩性及渗透系数、水力坡度等因素，参照相同地区的经验值确定。D</w:t>
      </w:r>
      <w:r>
        <w:rPr>
          <w:rFonts w:cs="Times New Roman"/>
          <w:color w:val="000000" w:themeColor="text1"/>
          <w:vertAlign w:val="subscript"/>
          <w14:textFill>
            <w14:solidFill>
              <w14:schemeClr w14:val="tx1"/>
            </w14:solidFill>
          </w14:textFill>
        </w:rPr>
        <w:t>L</w:t>
      </w:r>
      <w:r>
        <w:rPr>
          <w:rFonts w:cs="Times New Roman"/>
          <w:color w:val="000000" w:themeColor="text1"/>
          <w14:textFill>
            <w14:solidFill>
              <w14:schemeClr w14:val="tx1"/>
            </w14:solidFill>
          </w14:textFill>
        </w:rPr>
        <w:t>=0.2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/d。</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5、预测结果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预测计算结果见表5.4-3。</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表5.4-3 地下水预测计算结果</w:t>
      </w:r>
    </w:p>
    <w:p>
      <w:pPr>
        <w:kinsoku w:val="0"/>
        <w:overflowPunct w:val="0"/>
        <w:autoSpaceDE w:val="0"/>
        <w:autoSpaceDN w:val="0"/>
        <w:adjustRightInd w:val="0"/>
        <w:spacing w:before="7" w:line="240" w:lineRule="auto"/>
        <w:ind w:firstLine="0" w:firstLineChars="0"/>
        <w:jc w:val="left"/>
        <w:rPr>
          <w:rFonts w:cs="Times New Roman"/>
          <w:color w:val="000000" w:themeColor="text1"/>
          <w:kern w:val="0"/>
          <w:sz w:val="5"/>
          <w:szCs w:val="5"/>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312"/>
        <w:gridCol w:w="2312"/>
        <w:gridCol w:w="2313"/>
        <w:gridCol w:w="21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540" w:type="pct"/>
            <w:gridSpan w:val="2"/>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 d</w:t>
            </w:r>
          </w:p>
        </w:tc>
        <w:tc>
          <w:tcPr>
            <w:tcW w:w="2460" w:type="pct"/>
            <w:gridSpan w:val="2"/>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1000 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0"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x（m）</w:t>
            </w:r>
          </w:p>
        </w:tc>
        <w:tc>
          <w:tcPr>
            <w:tcW w:w="1270"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c（mg/L）</w:t>
            </w:r>
          </w:p>
        </w:tc>
        <w:tc>
          <w:tcPr>
            <w:tcW w:w="1271"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x（m）</w:t>
            </w:r>
          </w:p>
        </w:tc>
        <w:tc>
          <w:tcPr>
            <w:tcW w:w="1189"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c（mg/L）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0" w:type="pct"/>
            <w:tcBorders>
              <w:top w:val="single" w:color="auto" w:sz="12"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w:t>
            </w:r>
          </w:p>
        </w:tc>
        <w:tc>
          <w:tcPr>
            <w:tcW w:w="1270" w:type="pct"/>
            <w:tcBorders>
              <w:top w:val="single" w:color="auto" w:sz="12"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900.000</w:t>
            </w:r>
          </w:p>
        </w:tc>
        <w:tc>
          <w:tcPr>
            <w:tcW w:w="1271" w:type="pct"/>
            <w:tcBorders>
              <w:top w:val="single" w:color="auto" w:sz="12"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w:t>
            </w:r>
          </w:p>
        </w:tc>
        <w:tc>
          <w:tcPr>
            <w:tcW w:w="1189" w:type="pct"/>
            <w:tcBorders>
              <w:top w:val="single" w:color="auto" w:sz="12"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900.000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5</w:t>
            </w:r>
          </w:p>
        </w:tc>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391.000</w:t>
            </w:r>
          </w:p>
        </w:tc>
        <w:tc>
          <w:tcPr>
            <w:tcW w:w="1271"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10</w:t>
            </w:r>
          </w:p>
        </w:tc>
        <w:tc>
          <w:tcPr>
            <w:tcW w:w="118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569.000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10</w:t>
            </w:r>
          </w:p>
        </w:tc>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105.000</w:t>
            </w:r>
          </w:p>
        </w:tc>
        <w:tc>
          <w:tcPr>
            <w:tcW w:w="1271"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20</w:t>
            </w:r>
          </w:p>
        </w:tc>
        <w:tc>
          <w:tcPr>
            <w:tcW w:w="118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300.000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15</w:t>
            </w:r>
          </w:p>
        </w:tc>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16.500</w:t>
            </w:r>
          </w:p>
        </w:tc>
        <w:tc>
          <w:tcPr>
            <w:tcW w:w="1271"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30</w:t>
            </w:r>
          </w:p>
        </w:tc>
        <w:tc>
          <w:tcPr>
            <w:tcW w:w="118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130.000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20</w:t>
            </w:r>
          </w:p>
        </w:tc>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1.480</w:t>
            </w:r>
          </w:p>
        </w:tc>
        <w:tc>
          <w:tcPr>
            <w:tcW w:w="1271"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40</w:t>
            </w:r>
          </w:p>
        </w:tc>
        <w:tc>
          <w:tcPr>
            <w:tcW w:w="118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45.200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21</w:t>
            </w:r>
          </w:p>
        </w:tc>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0.853</w:t>
            </w:r>
          </w:p>
        </w:tc>
        <w:tc>
          <w:tcPr>
            <w:tcW w:w="1271"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50</w:t>
            </w:r>
          </w:p>
        </w:tc>
        <w:tc>
          <w:tcPr>
            <w:tcW w:w="118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12.700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25</w:t>
            </w:r>
          </w:p>
        </w:tc>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0.074</w:t>
            </w:r>
          </w:p>
        </w:tc>
        <w:tc>
          <w:tcPr>
            <w:tcW w:w="1271"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60</w:t>
            </w:r>
          </w:p>
        </w:tc>
        <w:tc>
          <w:tcPr>
            <w:tcW w:w="118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2.820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26</w:t>
            </w:r>
          </w:p>
        </w:tc>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0.038</w:t>
            </w:r>
          </w:p>
        </w:tc>
        <w:tc>
          <w:tcPr>
            <w:tcW w:w="1271"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69</w:t>
            </w:r>
          </w:p>
        </w:tc>
        <w:tc>
          <w:tcPr>
            <w:tcW w:w="118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0.599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30</w:t>
            </w:r>
          </w:p>
        </w:tc>
        <w:tc>
          <w:tcPr>
            <w:tcW w:w="1270"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0.002</w:t>
            </w:r>
          </w:p>
        </w:tc>
        <w:tc>
          <w:tcPr>
            <w:tcW w:w="1271"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70</w:t>
            </w:r>
          </w:p>
        </w:tc>
        <w:tc>
          <w:tcPr>
            <w:tcW w:w="118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0.498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2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271"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80</w:t>
            </w:r>
          </w:p>
        </w:tc>
        <w:tc>
          <w:tcPr>
            <w:tcW w:w="118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2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271"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85</w:t>
            </w:r>
          </w:p>
        </w:tc>
        <w:tc>
          <w:tcPr>
            <w:tcW w:w="118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2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271"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90</w:t>
            </w:r>
          </w:p>
        </w:tc>
        <w:tc>
          <w:tcPr>
            <w:tcW w:w="1189" w:type="pct"/>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2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12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11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根据表5.4-3可知，本项目发生泄漏情况下100 d影响范围在泄漏点至下游26 m范围内，1000 d影响范围在泄漏点至下游85 m范围内，对本项目厂界外地下水产生一定影响。但本项目区域周围无水源地，距离超过了500 m；沼液泄露不会对附近村庄分散式饮用水源地造成不良影响。</w:t>
      </w:r>
    </w:p>
    <w:p>
      <w:pPr>
        <w:pStyle w:val="4"/>
        <w:rPr>
          <w:rFonts w:cs="Times New Roman"/>
          <w:color w:val="000000" w:themeColor="text1"/>
          <w14:textFill>
            <w14:solidFill>
              <w14:schemeClr w14:val="tx1"/>
            </w14:solidFill>
          </w14:textFill>
        </w:rPr>
      </w:pPr>
      <w:bookmarkStart w:id="568" w:name="_Toc91163929"/>
      <w:r>
        <w:rPr>
          <w:rFonts w:cs="Times New Roman"/>
          <w:color w:val="000000" w:themeColor="text1"/>
          <w14:textFill>
            <w14:solidFill>
              <w14:schemeClr w14:val="tx1"/>
            </w14:solidFill>
          </w14:textFill>
        </w:rPr>
        <w:t>5.4.3 地下水污染防治措施</w:t>
      </w:r>
      <w:bookmarkEnd w:id="568"/>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运行期间废水主要为养殖废水（主要为猪尿液、猪舍冲洗废水）、堆肥渗滤液、无害化设备冷凝水、职工生活废水等。可能产生污染地下水的环节是：猪舍底部、黑膜沼气池收集管线及黑膜沼气池、有机肥粪棚、无害化处理间等地面防渗措施不到位，防渗地面、内壁、收集管线出现破损裂缝，造成废水在自流过程通过裂缝下渗污染周围浅层地下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本项目地下水污染防治措施按“源头控制、分区防控、污染监控、应急响应”原则制定污染防治措施。</w:t>
      </w:r>
    </w:p>
    <w:p>
      <w:pPr>
        <w:pStyle w:val="5"/>
        <w:rPr>
          <w:color w:val="000000" w:themeColor="text1"/>
          <w14:textFill>
            <w14:solidFill>
              <w14:schemeClr w14:val="tx1"/>
            </w14:solidFill>
          </w14:textFill>
        </w:rPr>
      </w:pPr>
      <w:r>
        <w:rPr>
          <w:color w:val="000000" w:themeColor="text1"/>
          <w14:textFill>
            <w14:solidFill>
              <w14:schemeClr w14:val="tx1"/>
            </w14:solidFill>
          </w14:textFill>
        </w:rPr>
        <w:t>5.4.3.1源头控制及分区防渗措施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1、根据《畜禽养殖业污染防治技术规范》（HJ/T81-2001）规定： </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养殖场的排水系统应实行雨水和污水收集输送系统分离，在场区内外设置的污水收集输送系统，不得采取明沟布设。</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贮存设施应采取有效的防渗处理工艺，防止畜禽粪便污染地下水。</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t>贮存设施应采取设置顶盖等防止降雨（水）进入的措施。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因此，企业必须建设雨、污分流管网，雨水管网建设时，可设置为明沟，沟深约20~30 cm即可。排污沟应采取暗沟形式，同时应具备防止淤积以利于定期清理的条件，排污沟应采取硬化措施。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2、根据《环境影响评价技术导则—地下水环境》（HJ610-2016）的要求及场地基础条件各系统集水、排水系统涉及废水中废水、污水中污染因子的特性等，将场区划分为重点防渗区和简单防渗区。</w:t>
      </w:r>
    </w:p>
    <w:p>
      <w:pPr>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重点防渗区：</w:t>
      </w:r>
      <w:r>
        <w:rPr>
          <w:rFonts w:cs="Times New Roman"/>
          <w:color w:val="000000" w:themeColor="text1"/>
          <w14:textFill>
            <w14:solidFill>
              <w14:schemeClr w14:val="tx1"/>
            </w14:solidFill>
          </w14:textFill>
        </w:rPr>
        <w:t>位于地下或半地下的功能单元，污染地下水环境的物料或污染物泄漏后不易及时发现和处理的区域部位；主要是粪污处理区，包括养殖区、黑膜沼气池、沼液储存池、固粪处理区、粪污收集管道、医疗废物暂存库、病死猪无害化处理车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防渗要求：《环境影响评价技术导则—地下水环境》（HJ610-2016）表7中重点防渗区防渗技术要求为等效粘土防渗层Mb≥6.0 m，K≤1×10</w:t>
      </w:r>
      <w:r>
        <w:rPr>
          <w:rFonts w:cs="Times New Roman"/>
          <w:color w:val="000000" w:themeColor="text1"/>
          <w:vertAlign w:val="superscript"/>
          <w14:textFill>
            <w14:solidFill>
              <w14:schemeClr w14:val="tx1"/>
            </w14:solidFill>
          </w14:textFill>
        </w:rPr>
        <w:t>-7</w:t>
      </w:r>
      <w:r>
        <w:rPr>
          <w:rFonts w:cs="Times New Roman"/>
          <w:color w:val="000000" w:themeColor="text1"/>
          <w14:textFill>
            <w14:solidFill>
              <w14:schemeClr w14:val="tx1"/>
            </w14:solidFill>
          </w14:textFill>
        </w:rPr>
        <w:t xml:space="preserve"> cm/s；或参照《危险废物填埋污染控制标准》（GB18598-2001）；《危险废物填埋污染控制标准》（GB18598-2001）中规定，如果天然基础层饱和渗透系数大于1.0×10</w:t>
      </w:r>
      <w:r>
        <w:rPr>
          <w:rFonts w:cs="Times New Roman"/>
          <w:color w:val="000000" w:themeColor="text1"/>
          <w:vertAlign w:val="superscript"/>
          <w14:textFill>
            <w14:solidFill>
              <w14:schemeClr w14:val="tx1"/>
            </w14:solidFill>
          </w14:textFill>
        </w:rPr>
        <w:t>-6</w:t>
      </w:r>
      <w:r>
        <w:rPr>
          <w:rFonts w:cs="Times New Roman"/>
          <w:color w:val="000000" w:themeColor="text1"/>
          <w14:textFill>
            <w14:solidFill>
              <w14:schemeClr w14:val="tx1"/>
            </w14:solidFill>
          </w14:textFill>
        </w:rPr>
        <w:t xml:space="preserve"> cm/s，则必须选用双人工衬层。双人工衬层必须满足下列条件：a、天然材料衬层经机械压实后的渗透系数不大于1.0×10</w:t>
      </w:r>
      <w:r>
        <w:rPr>
          <w:rFonts w:cs="Times New Roman"/>
          <w:color w:val="000000" w:themeColor="text1"/>
          <w:vertAlign w:val="superscript"/>
          <w14:textFill>
            <w14:solidFill>
              <w14:schemeClr w14:val="tx1"/>
            </w14:solidFill>
          </w14:textFill>
        </w:rPr>
        <w:t>-7</w:t>
      </w:r>
      <w:r>
        <w:rPr>
          <w:rFonts w:cs="Times New Roman"/>
          <w:color w:val="000000" w:themeColor="text1"/>
          <w14:textFill>
            <w14:solidFill>
              <w14:schemeClr w14:val="tx1"/>
            </w14:solidFill>
          </w14:textFill>
        </w:rPr>
        <w:t xml:space="preserve"> cm/s，厚度不小于0.5 m；b、上人工合成衬层可以采用HDPE材料，厚度不小于2.0mm；c、下人工合成衬层可以采用HDPE材料，厚度不小于1.0 mm。</w:t>
      </w:r>
    </w:p>
    <w:p>
      <w:pPr>
        <w:ind w:firstLine="482"/>
        <w:rPr>
          <w:rFonts w:cs="Times New Roman"/>
          <w:color w:val="000000" w:themeColor="text1"/>
          <w14:textFill>
            <w14:solidFill>
              <w14:schemeClr w14:val="tx1"/>
            </w14:solidFill>
          </w14:textFill>
        </w:rPr>
      </w:pPr>
      <w:r>
        <w:rPr>
          <w:rFonts w:cs="Times New Roman"/>
          <w:b/>
          <w:bCs/>
          <w:color w:val="000000" w:themeColor="text1"/>
          <w14:textFill>
            <w14:solidFill>
              <w14:schemeClr w14:val="tx1"/>
            </w14:solidFill>
          </w14:textFill>
        </w:rPr>
        <w:t>简单防渗区：</w:t>
      </w:r>
      <w:r>
        <w:rPr>
          <w:rFonts w:cs="Times New Roman"/>
          <w:color w:val="000000" w:themeColor="text1"/>
          <w14:textFill>
            <w14:solidFill>
              <w14:schemeClr w14:val="tx1"/>
            </w14:solidFill>
          </w14:textFill>
        </w:rPr>
        <w:t>指没有物料或泄漏后不会对地下水环境造成污染的区域或部位，主要为场内道路、生活区和沼液消纳管网。场内道路和生活区为一般地面硬化。沼液消纳管网采取地埋PE管或PCV管形式。</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表5.4-4 本项目拟采取的工程防渗措施</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165"/>
        <w:gridCol w:w="5243"/>
        <w:gridCol w:w="21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628"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2826"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保护措施</w:t>
            </w:r>
          </w:p>
        </w:tc>
        <w:tc>
          <w:tcPr>
            <w:tcW w:w="1162"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达到效果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628"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养殖区</w:t>
            </w:r>
          </w:p>
        </w:tc>
        <w:tc>
          <w:tcPr>
            <w:tcW w:w="2826" w:type="pct"/>
            <w:tcBorders>
              <w:top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养殖区猪舍底部采用混凝土防渗，减少污染物的跑、冒、滴、漏，将污染物泄漏的环境风险降到最低限度。防渗系数</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1162" w:type="pct"/>
            <w:vMerge w:val="restart"/>
            <w:tcBorders>
              <w:top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各反应池及储存池均符合《规模化畜禽养殖场沼气工程设计规范（NY/T1222）和《混凝土结构设计规范》（GB50010的要求，具备“防渗、防雨、防溢”的三防措施；畜禽粪便的贮存相关要求，应具备防渗、防风、防雨的三防措施，雨污分流满足《畜禽养殖业污染防治技术规范》（HJ/T81-2001）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62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黑膜</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沼气池</w:t>
            </w:r>
          </w:p>
        </w:tc>
        <w:tc>
          <w:tcPr>
            <w:tcW w:w="2826"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池内采用土膜夯实+HDPE防渗膜，防渗系数K≤1×10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1162"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62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沼液</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储存池</w:t>
            </w:r>
          </w:p>
        </w:tc>
        <w:tc>
          <w:tcPr>
            <w:tcW w:w="2826"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池内采用土膜夯实+HDPE防渗膜，防渗系数K≤1×10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cm/s；沼液输送管网为PVC-U管</w:t>
            </w:r>
          </w:p>
        </w:tc>
        <w:tc>
          <w:tcPr>
            <w:tcW w:w="1162"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62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无害化处理车间</w:t>
            </w:r>
          </w:p>
        </w:tc>
        <w:tc>
          <w:tcPr>
            <w:tcW w:w="2826"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防渗层为至少1m厚粘土层（渗透系数≤1×10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cm/s），或2 mm厚高密度聚乙烯，或至少2 mm厚的其它人工材料，渗透系数≤1×10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1162"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62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固粪</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处理区</w:t>
            </w:r>
          </w:p>
        </w:tc>
        <w:tc>
          <w:tcPr>
            <w:tcW w:w="2826"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采用素土夯实+混凝土防渗，具备“三防”措施。防渗系数</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1162"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w:t>
            </w:r>
          </w:p>
        </w:tc>
        <w:tc>
          <w:tcPr>
            <w:tcW w:w="62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排污沟</w:t>
            </w:r>
          </w:p>
        </w:tc>
        <w:tc>
          <w:tcPr>
            <w:tcW w:w="2826"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采取暗沟形式，具备防止淤集以利于定期清理的条件， 排污沟混凝土结构，渗透系数1.0×10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 xml:space="preserve"> cm/s</w:t>
            </w:r>
          </w:p>
        </w:tc>
        <w:tc>
          <w:tcPr>
            <w:tcW w:w="1162"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7</w:t>
            </w:r>
          </w:p>
        </w:tc>
        <w:tc>
          <w:tcPr>
            <w:tcW w:w="62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场区雨、污管网</w:t>
            </w:r>
          </w:p>
        </w:tc>
        <w:tc>
          <w:tcPr>
            <w:tcW w:w="2826"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雨水管道混凝土防渗，粪污管道是地埋式PE管和PVC管道</w:t>
            </w:r>
          </w:p>
        </w:tc>
        <w:tc>
          <w:tcPr>
            <w:tcW w:w="1162"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8</w:t>
            </w:r>
          </w:p>
        </w:tc>
        <w:tc>
          <w:tcPr>
            <w:tcW w:w="62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医疗废物暂存间</w:t>
            </w:r>
          </w:p>
        </w:tc>
        <w:tc>
          <w:tcPr>
            <w:tcW w:w="2826"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基础必须防渗，防渗层为至少</w:t>
            </w:r>
            <w:r>
              <w:rPr>
                <w:color w:val="000000" w:themeColor="text1"/>
                <w:spacing w:val="-59"/>
                <w14:textFill>
                  <w14:solidFill>
                    <w14:schemeClr w14:val="tx1"/>
                  </w14:solidFill>
                </w14:textFill>
              </w:rPr>
              <w:t xml:space="preserve"> </w:t>
            </w:r>
            <w:r>
              <w:rPr>
                <w:color w:val="000000" w:themeColor="text1"/>
                <w14:textFill>
                  <w14:solidFill>
                    <w14:schemeClr w14:val="tx1"/>
                  </w14:solidFill>
                </w14:textFill>
              </w:rPr>
              <w:t>1 m厚粘土层（渗透系数≤10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cm/s），或</w:t>
            </w:r>
            <w:r>
              <w:rPr>
                <w:color w:val="000000" w:themeColor="text1"/>
                <w:spacing w:val="-56"/>
                <w14:textFill>
                  <w14:solidFill>
                    <w14:schemeClr w14:val="tx1"/>
                  </w14:solidFill>
                </w14:textFill>
              </w:rPr>
              <w:t xml:space="preserve"> </w:t>
            </w:r>
            <w:r>
              <w:rPr>
                <w:color w:val="000000" w:themeColor="text1"/>
                <w14:textFill>
                  <w14:solidFill>
                    <w14:schemeClr w14:val="tx1"/>
                  </w14:solidFill>
                </w14:textFill>
              </w:rPr>
              <w:t>2</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mm厚高密度聚乙烯，或至少</w:t>
            </w:r>
            <w:r>
              <w:rPr>
                <w:color w:val="000000" w:themeColor="text1"/>
                <w:spacing w:val="-56"/>
                <w14:textFill>
                  <w14:solidFill>
                    <w14:schemeClr w14:val="tx1"/>
                  </w14:solidFill>
                </w14:textFill>
              </w:rPr>
              <w:t xml:space="preserve"> </w:t>
            </w:r>
            <w:r>
              <w:rPr>
                <w:color w:val="000000" w:themeColor="text1"/>
                <w14:textFill>
                  <w14:solidFill>
                    <w14:schemeClr w14:val="tx1"/>
                  </w14:solidFill>
                </w14:textFill>
              </w:rPr>
              <w:t>2</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mm厚的其它人工材料，渗透系数≤10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1162"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《危险废物贮存污染控制标准》（GB18597-2001）及2013修改单</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5.4.3.2跟踪监测与管理</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1、地下水动态监测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建设单位应组织专业人员定期对地下水水质进行监测，以掌握场区及周围地下水水质的动态变化，为及时应对地下水污染提供依据，确保建设项目的生产运行不会影响周围地下水环境，具体监测方案如下：</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监测点布设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根据场区周围地下水流向变化，将场区及沼液消纳区下游杜村水井作为监测井。</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监测项目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监测项目包括：pH、总硬度、氟化物、氨氮、砷、耗氧量（以CODMn 计）、六价铬、硝酸盐氮、亚硝酸盐氮、硫酸盐、溶解性总固体、挥发酚、汞、铁、锰、铅、氰化物、氯化物、镉、菌落总数、总大肠菌群共计21项。</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t>监测频率</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监测频率：每年一次，一旦监测井中发现污染，则应根据污染程度的变化再进一步调整监测频率（刚开始污染物超标倍数大时监测频率加大，随着污染物浓度降低监测频率也可以相应地减小）。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将每次的监测数据及时进行统计、整理，并将每次的监测结果与相关标准及历史监测结果进行比较，以分析地下水水质各项指标的变化情况，确保场界周围地下水环境的安全。</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2、地下水监测管理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为保证地下水监测有效、有序管理，需制定相关规定、明确职责，采取以下管理措施和技术措施。</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管理措施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I、防止地下水污染管理的职责属于环境保护管理部门的职责之一。环境保护管理部门指派专人负责防止地下水污染管理工作。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II、环境保护管理部门应配备专业人员或委托具有监测资质的单位负责地下水监测工作，按要求及时分析整理原始资料、监测报告的编写工作。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III、建立地下水监测数据信息管理系统，与环境管理系统相联系。</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技术措施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I、按照《地下水环境监测技术规范》（HJ/T164-2004）要求，及时上报监测数据和有关表格。</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I、在日常例行监测中，一旦发现地下水水质监测数据异常，应尽快核查数据，确保数据的正确性。并将核查过的监测数据通告安全环保部门，由专人负责对数据进行分析、核实，并密切关注生产设施的运行情况，为防止地下水污染采取措施提供正确的依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应采取的措施为：了解全场区地下水是否出现异常情况；加大监测密度，如监测频率由每月（季）一次临时加密为每天一次或更多，连续多天，分析变化动向。</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III、周期性地编写地下水动态监测报告。</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IV、每天对场区各池体等处进行巡查，并定期进行安全检查。</w:t>
      </w:r>
    </w:p>
    <w:p>
      <w:pPr>
        <w:pStyle w:val="5"/>
        <w:rPr>
          <w:color w:val="000000" w:themeColor="text1"/>
          <w14:textFill>
            <w14:solidFill>
              <w14:schemeClr w14:val="tx1"/>
            </w14:solidFill>
          </w14:textFill>
        </w:rPr>
      </w:pPr>
      <w:r>
        <w:rPr>
          <w:color w:val="000000" w:themeColor="text1"/>
          <w14:textFill>
            <w14:solidFill>
              <w14:schemeClr w14:val="tx1"/>
            </w14:solidFill>
          </w14:textFill>
        </w:rPr>
        <w:t>5.4.3.3地下水污染应急处置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一旦发现地下水发生异常情况，必须按照应急预案马上采取紧急措施：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1、当发生地下水异常情况时，按照制订的地下水应急预案，在第一时间内尽快上报公司，通知当地政府及相关主管部门、附近的取水点、附近居民等地下水用户，密切关注地下水水质变化情况。</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组织专业队伍对事故现场进行调查、监测，查找环境事故发生地点、分析事故原因，尽量将紧急事件局部化，如可能应予以消除，采取包括疏散、切断生产装置或设施等措施，防止事故的扩散、蔓延及连锁反应，尽量缩小地下水污染事故对人和财产的影响。</w:t>
      </w:r>
    </w:p>
    <w:p>
      <w:pPr>
        <w:pStyle w:val="4"/>
        <w:rPr>
          <w:rFonts w:cs="Times New Roman"/>
          <w:color w:val="000000" w:themeColor="text1"/>
          <w14:textFill>
            <w14:solidFill>
              <w14:schemeClr w14:val="tx1"/>
            </w14:solidFill>
          </w14:textFill>
        </w:rPr>
      </w:pPr>
      <w:bookmarkStart w:id="569" w:name="_Toc91163930"/>
      <w:r>
        <w:rPr>
          <w:rFonts w:cs="Times New Roman"/>
          <w:color w:val="000000" w:themeColor="text1"/>
          <w14:textFill>
            <w14:solidFill>
              <w14:schemeClr w14:val="tx1"/>
            </w14:solidFill>
          </w14:textFill>
        </w:rPr>
        <w:t>5.4.5 评价结论</w:t>
      </w:r>
      <w:bookmarkEnd w:id="569"/>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根据以上主要影响环节分析，评价认为工程在采取相关措施后可避免评价区地下水的影响：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（1）本工程废水经“预处理+厌氧处理+沼液暂存+沼液返田”工艺处理后的沼液用于周围农田灌溉，沼渣运至有机肥粪棚堆肥，做好防渗工作的同时经粉土层的阻隔和过滤作用，对地下水的环境影响很小；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（2）工程对设计用水及排水环节均加强了防渗措施的处理，对废水汇集渠道等均采取了硬化防渗处理，可在较大程度上避免由于废水下渗等引起的地下水污染影响；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（3）本工程建设区无不良地质现象，也无采矿等形成的采空区，因相关自然等原因导致的废水渗漏因素也较小。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本项目在采取环评要求的环保措施后，工程废水不会通过渗漏进入地下水污染地下水水质；综合分析，本项目的建设，在做好环保要求的措施后，对地下水环境影响很小。</w:t>
      </w:r>
    </w:p>
    <w:p>
      <w:pPr>
        <w:pStyle w:val="3"/>
        <w:spacing w:before="120" w:after="120"/>
        <w:rPr>
          <w:rFonts w:cs="Times New Roman"/>
          <w:color w:val="000000" w:themeColor="text1"/>
          <w14:textFill>
            <w14:solidFill>
              <w14:schemeClr w14:val="tx1"/>
            </w14:solidFill>
          </w14:textFill>
        </w:rPr>
      </w:pPr>
      <w:bookmarkStart w:id="570" w:name="_Toc91163931"/>
      <w:r>
        <w:rPr>
          <w:rFonts w:cs="Times New Roman"/>
          <w:color w:val="000000" w:themeColor="text1"/>
          <w14:textFill>
            <w14:solidFill>
              <w14:schemeClr w14:val="tx1"/>
            </w14:solidFill>
          </w14:textFill>
        </w:rPr>
        <w:t>5.5  运营期声环境影响预测与评价</w:t>
      </w:r>
      <w:bookmarkEnd w:id="570"/>
    </w:p>
    <w:p>
      <w:pPr>
        <w:pStyle w:val="4"/>
        <w:rPr>
          <w:rFonts w:cs="Times New Roman"/>
          <w:color w:val="000000" w:themeColor="text1"/>
          <w14:textFill>
            <w14:solidFill>
              <w14:schemeClr w14:val="tx1"/>
            </w14:solidFill>
          </w14:textFill>
        </w:rPr>
      </w:pPr>
      <w:bookmarkStart w:id="571" w:name="_Toc91163932"/>
      <w:r>
        <w:rPr>
          <w:rFonts w:cs="Times New Roman"/>
          <w:color w:val="000000" w:themeColor="text1"/>
          <w14:textFill>
            <w14:solidFill>
              <w14:schemeClr w14:val="tx1"/>
            </w14:solidFill>
          </w14:textFill>
        </w:rPr>
        <w:t>5.5.1 预测范围及噪声预测点</w:t>
      </w:r>
      <w:bookmarkEnd w:id="571"/>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本次评价声环境影响预测范围确定为项目场界四周。</w:t>
      </w:r>
    </w:p>
    <w:p>
      <w:pPr>
        <w:pStyle w:val="4"/>
        <w:rPr>
          <w:rFonts w:cs="Times New Roman"/>
          <w:color w:val="000000" w:themeColor="text1"/>
          <w14:textFill>
            <w14:solidFill>
              <w14:schemeClr w14:val="tx1"/>
            </w14:solidFill>
          </w14:textFill>
        </w:rPr>
      </w:pPr>
      <w:bookmarkStart w:id="572" w:name="_Toc91163933"/>
      <w:r>
        <w:rPr>
          <w:rFonts w:cs="Times New Roman"/>
          <w:color w:val="000000" w:themeColor="text1"/>
          <w14:textFill>
            <w14:solidFill>
              <w14:schemeClr w14:val="tx1"/>
            </w14:solidFill>
          </w14:textFill>
        </w:rPr>
        <w:t>5.5.2 噪声源强及声源分布</w:t>
      </w:r>
      <w:bookmarkEnd w:id="572"/>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生产运营过程中的主要噪声源有猪叫声、风机、污水处理站设备等。本项目主要噪声源治理措施及治理后声级值情况见表5.5-1。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表5.5-1</w:t>
      </w:r>
      <w:r>
        <w:rPr>
          <w:rFonts w:cs="Times New Roman"/>
          <w:bCs/>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主要产噪设备汇总表   单位：</w:t>
      </w:r>
      <w:r>
        <w:rPr>
          <w:rFonts w:cs="Times New Roman"/>
          <w:bCs/>
          <w:color w:val="000000" w:themeColor="text1"/>
          <w14:textFill>
            <w14:solidFill>
              <w14:schemeClr w14:val="tx1"/>
            </w14:solidFill>
          </w14:textFill>
        </w:rPr>
        <w:t>dB</w:t>
      </w:r>
      <w:r>
        <w:rPr>
          <w:rFonts w:cs="Times New Roman"/>
          <w:color w:val="000000" w:themeColor="text1"/>
          <w14:textFill>
            <w14:solidFill>
              <w14:schemeClr w14:val="tx1"/>
            </w14:solidFill>
          </w14:textFill>
        </w:rPr>
        <w:t>（</w:t>
      </w:r>
      <w:r>
        <w:rPr>
          <w:rFonts w:cs="Times New Roman"/>
          <w:bCs/>
          <w:color w:val="000000" w:themeColor="text1"/>
          <w14:textFill>
            <w14:solidFill>
              <w14:schemeClr w14:val="tx1"/>
            </w14:solidFill>
          </w14:textFill>
        </w:rPr>
        <w:t>A</w:t>
      </w:r>
      <w:r>
        <w:rPr>
          <w:rFonts w:cs="Times New Roman"/>
          <w:color w:val="000000" w:themeColor="text1"/>
          <w14:textFill>
            <w14:solidFill>
              <w14:schemeClr w14:val="tx1"/>
            </w14:solidFill>
          </w14:textFill>
        </w:rPr>
        <w:t>）</w:t>
      </w:r>
    </w:p>
    <w:p>
      <w:pPr>
        <w:kinsoku w:val="0"/>
        <w:overflowPunct w:val="0"/>
        <w:autoSpaceDE w:val="0"/>
        <w:autoSpaceDN w:val="0"/>
        <w:adjustRightInd w:val="0"/>
        <w:spacing w:before="9" w:line="240" w:lineRule="auto"/>
        <w:ind w:firstLine="0" w:firstLineChars="0"/>
        <w:jc w:val="left"/>
        <w:rPr>
          <w:rFonts w:cs="Times New Roman"/>
          <w:color w:val="000000" w:themeColor="text1"/>
          <w:kern w:val="0"/>
          <w:sz w:val="5"/>
          <w:szCs w:val="5"/>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1739"/>
        <w:gridCol w:w="1903"/>
        <w:gridCol w:w="878"/>
        <w:gridCol w:w="878"/>
        <w:gridCol w:w="2636"/>
        <w:gridCol w:w="106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95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噪声来源</w:t>
            </w:r>
          </w:p>
        </w:tc>
        <w:tc>
          <w:tcPr>
            <w:tcW w:w="1045"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种类</w:t>
            </w:r>
          </w:p>
        </w:tc>
        <w:tc>
          <w:tcPr>
            <w:tcW w:w="48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产生方式</w:t>
            </w:r>
          </w:p>
        </w:tc>
        <w:tc>
          <w:tcPr>
            <w:tcW w:w="48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源强</w:t>
            </w:r>
          </w:p>
        </w:tc>
        <w:tc>
          <w:tcPr>
            <w:tcW w:w="144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治理措施</w:t>
            </w:r>
          </w:p>
        </w:tc>
        <w:tc>
          <w:tcPr>
            <w:tcW w:w="58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排放源强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1045"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猪叫</w:t>
            </w:r>
          </w:p>
        </w:tc>
        <w:tc>
          <w:tcPr>
            <w:tcW w:w="48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间断</w:t>
            </w:r>
          </w:p>
        </w:tc>
        <w:tc>
          <w:tcPr>
            <w:tcW w:w="48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~85</w:t>
            </w:r>
          </w:p>
        </w:tc>
        <w:tc>
          <w:tcPr>
            <w:tcW w:w="1448"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厂房隔声</w:t>
            </w:r>
          </w:p>
        </w:tc>
        <w:tc>
          <w:tcPr>
            <w:tcW w:w="58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10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风机</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~85</w:t>
            </w:r>
          </w:p>
        </w:tc>
        <w:tc>
          <w:tcPr>
            <w:tcW w:w="14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厂房隔声、降噪</w:t>
            </w:r>
          </w:p>
        </w:tc>
        <w:tc>
          <w:tcPr>
            <w:tcW w:w="58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无害化处理车间</w:t>
            </w:r>
          </w:p>
        </w:tc>
        <w:tc>
          <w:tcPr>
            <w:tcW w:w="10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无害化处理设备</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~70</w:t>
            </w:r>
          </w:p>
        </w:tc>
        <w:tc>
          <w:tcPr>
            <w:tcW w:w="14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厂房隔声、降噪</w:t>
            </w:r>
          </w:p>
        </w:tc>
        <w:tc>
          <w:tcPr>
            <w:tcW w:w="58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发电机房</w:t>
            </w:r>
          </w:p>
        </w:tc>
        <w:tc>
          <w:tcPr>
            <w:tcW w:w="10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沼气发电机</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~70</w:t>
            </w:r>
          </w:p>
        </w:tc>
        <w:tc>
          <w:tcPr>
            <w:tcW w:w="14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厂房隔声、降噪</w:t>
            </w:r>
          </w:p>
        </w:tc>
        <w:tc>
          <w:tcPr>
            <w:tcW w:w="58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粪污治理区</w:t>
            </w:r>
          </w:p>
        </w:tc>
        <w:tc>
          <w:tcPr>
            <w:tcW w:w="10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水泵</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~85</w:t>
            </w:r>
          </w:p>
        </w:tc>
        <w:tc>
          <w:tcPr>
            <w:tcW w:w="14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低噪声设备、隔声、减振</w:t>
            </w:r>
          </w:p>
        </w:tc>
        <w:tc>
          <w:tcPr>
            <w:tcW w:w="58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5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场区</w:t>
            </w:r>
          </w:p>
        </w:tc>
        <w:tc>
          <w:tcPr>
            <w:tcW w:w="10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运输车辆</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间断</w:t>
            </w:r>
          </w:p>
        </w:tc>
        <w:tc>
          <w:tcPr>
            <w:tcW w:w="48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w:t>
            </w:r>
          </w:p>
        </w:tc>
        <w:tc>
          <w:tcPr>
            <w:tcW w:w="14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限速、禁鸣</w:t>
            </w:r>
          </w:p>
        </w:tc>
        <w:tc>
          <w:tcPr>
            <w:tcW w:w="58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w:t>
            </w:r>
          </w:p>
        </w:tc>
      </w:tr>
    </w:tbl>
    <w:p>
      <w:pPr>
        <w:pStyle w:val="4"/>
        <w:rPr>
          <w:rFonts w:cs="Times New Roman"/>
          <w:color w:val="000000" w:themeColor="text1"/>
          <w14:textFill>
            <w14:solidFill>
              <w14:schemeClr w14:val="tx1"/>
            </w14:solidFill>
          </w14:textFill>
        </w:rPr>
      </w:pPr>
      <w:bookmarkStart w:id="573" w:name="_Toc91163934"/>
      <w:r>
        <w:rPr>
          <w:rFonts w:cs="Times New Roman"/>
          <w:color w:val="000000" w:themeColor="text1"/>
          <w14:textFill>
            <w14:solidFill>
              <w14:schemeClr w14:val="tx1"/>
            </w14:solidFill>
          </w14:textFill>
        </w:rPr>
        <w:t>5.5.3 噪声影响预测</w:t>
      </w:r>
      <w:bookmarkEnd w:id="573"/>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1、预测模式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本评价采用《环境影响评价技术导则  声环境》（HJ2.4—2009）附录A中工业噪声预测计算模式进行预测。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1、单个室外的点声源在预测点产生的声级计算基本公式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如已知声源的倍频带声功率级（从63 Hz到8 KHz标称频带中心频率的8个倍频带），预测点位置的倍频带声压级L</w:t>
      </w:r>
      <w:r>
        <w:rPr>
          <w:rFonts w:cs="Times New Roman"/>
          <w:color w:val="000000" w:themeColor="text1"/>
          <w:vertAlign w:val="subscript"/>
          <w14:textFill>
            <w14:solidFill>
              <w14:schemeClr w14:val="tx1"/>
            </w14:solidFill>
          </w14:textFill>
        </w:rPr>
        <w:t>p</w:t>
      </w:r>
      <w:r>
        <w:rPr>
          <w:rFonts w:cs="Times New Roman"/>
          <w:color w:val="000000" w:themeColor="text1"/>
          <w14:textFill>
            <w14:solidFill>
              <w14:schemeClr w14:val="tx1"/>
            </w14:solidFill>
          </w14:textFill>
        </w:rPr>
        <w:t>(r)可按下式计算：</w:t>
      </w:r>
    </w:p>
    <w:p>
      <w:pPr>
        <w:ind w:firstLine="480"/>
        <w:rPr>
          <w:rFonts w:cs="Times New Roman"/>
          <w:color w:val="000000" w:themeColor="text1"/>
          <w14:textFill>
            <w14:solidFill>
              <w14:schemeClr w14:val="tx1"/>
            </w14:solidFill>
          </w14:textFill>
        </w:rPr>
      </w:pPr>
      <m:oMathPara>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p</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(r)=</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w</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D</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c</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−A</m:t>
          </m:r>
        </m:oMath>
      </m:oMathPara>
    </w:p>
    <w:p>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A=</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div</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atm</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gr</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bar</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misc</m:t>
              </m:r>
              <m:ctrlPr>
                <w:rPr>
                  <w:rFonts w:ascii="Cambria Math" w:hAnsi="Cambria Math" w:cs="Times New Roman"/>
                  <w:color w:val="000000" w:themeColor="text1"/>
                  <w14:textFill>
                    <w14:solidFill>
                      <w14:schemeClr w14:val="tx1"/>
                    </w14:solidFill>
                  </w14:textFill>
                </w:rPr>
              </m:ctrlPr>
            </m:sub>
          </m:sSub>
        </m:oMath>
      </m:oMathPara>
    </w:p>
    <w:p>
      <w:pPr>
        <w:ind w:firstLine="0" w:firstLineChars="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式中：</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L</w:t>
      </w:r>
      <w:r>
        <w:rPr>
          <w:rFonts w:cs="Times New Roman"/>
          <w:color w:val="000000" w:themeColor="text1"/>
          <w:szCs w:val="24"/>
          <w:vertAlign w:val="subscript"/>
          <w14:textFill>
            <w14:solidFill>
              <w14:schemeClr w14:val="tx1"/>
            </w14:solidFill>
          </w14:textFill>
        </w:rPr>
        <w:t>w</w:t>
      </w:r>
      <w:r>
        <w:rPr>
          <w:rFonts w:cs="Times New Roman"/>
          <w:color w:val="000000" w:themeColor="text1"/>
          <w:szCs w:val="24"/>
          <w14:textFill>
            <w14:solidFill>
              <w14:schemeClr w14:val="tx1"/>
            </w14:solidFill>
          </w14:textFill>
        </w:rPr>
        <w:t>—倍频带声功率级，dB；</w:t>
      </w:r>
    </w:p>
    <w:p>
      <w:pPr>
        <w:ind w:left="960" w:leftChars="200" w:hanging="480" w:hangingChars="20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D</w:t>
      </w:r>
      <w:r>
        <w:rPr>
          <w:rFonts w:cs="Times New Roman"/>
          <w:color w:val="000000" w:themeColor="text1"/>
          <w:szCs w:val="24"/>
          <w:vertAlign w:val="subscript"/>
          <w14:textFill>
            <w14:solidFill>
              <w14:schemeClr w14:val="tx1"/>
            </w14:solidFill>
          </w14:textFill>
        </w:rPr>
        <w:t>c</w:t>
      </w:r>
      <w:r>
        <w:rPr>
          <w:rFonts w:cs="Times New Roman"/>
          <w:color w:val="000000" w:themeColor="text1"/>
          <w:szCs w:val="24"/>
          <w14:textFill>
            <w14:solidFill>
              <w14:schemeClr w14:val="tx1"/>
            </w14:solidFill>
          </w14:textFill>
        </w:rPr>
        <w:t>—指向性校正，dB；它描述点声源的等效连续声压级与产生声功率级L</w:t>
      </w:r>
      <w:r>
        <w:rPr>
          <w:rFonts w:cs="Times New Roman"/>
          <w:color w:val="000000" w:themeColor="text1"/>
          <w:szCs w:val="24"/>
          <w:vertAlign w:val="subscript"/>
          <w14:textFill>
            <w14:solidFill>
              <w14:schemeClr w14:val="tx1"/>
            </w14:solidFill>
          </w14:textFill>
        </w:rPr>
        <w:t>w</w:t>
      </w:r>
      <w:r>
        <w:rPr>
          <w:rFonts w:cs="Times New Roman"/>
          <w:color w:val="000000" w:themeColor="text1"/>
          <w:szCs w:val="24"/>
          <w14:textFill>
            <w14:solidFill>
              <w14:schemeClr w14:val="tx1"/>
            </w14:solidFill>
          </w14:textFill>
        </w:rPr>
        <w:t>的全向点声源在规定方向的级的偏差程度。指向性校正等于点声源的指向性指数D</w:t>
      </w:r>
      <w:r>
        <w:rPr>
          <w:rFonts w:cs="Times New Roman"/>
          <w:color w:val="000000" w:themeColor="text1"/>
          <w:szCs w:val="24"/>
          <w:vertAlign w:val="subscript"/>
          <w14:textFill>
            <w14:solidFill>
              <w14:schemeClr w14:val="tx1"/>
            </w14:solidFill>
          </w14:textFill>
        </w:rPr>
        <w:t>I</w:t>
      </w:r>
      <w:r>
        <w:rPr>
          <w:rFonts w:cs="Times New Roman"/>
          <w:color w:val="000000" w:themeColor="text1"/>
          <w:szCs w:val="24"/>
          <w14:textFill>
            <w14:solidFill>
              <w14:schemeClr w14:val="tx1"/>
            </w14:solidFill>
          </w14:textFill>
        </w:rPr>
        <w:t>加上计到小于4π球面度（sr）立体角内的声传播指数D</w:t>
      </w:r>
      <w:r>
        <w:rPr>
          <w:rFonts w:cs="Times New Roman"/>
          <w:color w:val="000000" w:themeColor="text1"/>
          <w:szCs w:val="24"/>
          <w:vertAlign w:val="subscript"/>
          <w14:textFill>
            <w14:solidFill>
              <w14:schemeClr w14:val="tx1"/>
            </w14:solidFill>
          </w14:textFill>
        </w:rPr>
        <w:t>Ω</w:t>
      </w:r>
      <w:r>
        <w:rPr>
          <w:rFonts w:cs="Times New Roman"/>
          <w:color w:val="000000" w:themeColor="text1"/>
          <w:szCs w:val="24"/>
          <w14:textFill>
            <w14:solidFill>
              <w14:schemeClr w14:val="tx1"/>
            </w14:solidFill>
          </w14:textFill>
        </w:rPr>
        <w:t>。对辐射到自由空间的全向点声源，D</w:t>
      </w:r>
      <w:r>
        <w:rPr>
          <w:rFonts w:cs="Times New Roman"/>
          <w:color w:val="000000" w:themeColor="text1"/>
          <w:szCs w:val="24"/>
          <w:vertAlign w:val="subscript"/>
          <w14:textFill>
            <w14:solidFill>
              <w14:schemeClr w14:val="tx1"/>
            </w14:solidFill>
          </w14:textFill>
        </w:rPr>
        <w:t>c</w:t>
      </w:r>
      <w:r>
        <w:rPr>
          <w:rFonts w:cs="Times New Roman"/>
          <w:color w:val="000000" w:themeColor="text1"/>
          <w:szCs w:val="24"/>
          <w14:textFill>
            <w14:solidFill>
              <w14:schemeClr w14:val="tx1"/>
            </w14:solidFill>
          </w14:textFill>
        </w:rPr>
        <w:t>=0 dB。</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A—倍频带衰减，dB；</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A</w:t>
      </w:r>
      <w:r>
        <w:rPr>
          <w:rFonts w:cs="Times New Roman"/>
          <w:color w:val="000000" w:themeColor="text1"/>
          <w:szCs w:val="24"/>
          <w:vertAlign w:val="subscript"/>
          <w14:textFill>
            <w14:solidFill>
              <w14:schemeClr w14:val="tx1"/>
            </w14:solidFill>
          </w14:textFill>
        </w:rPr>
        <w:t>div</w:t>
      </w:r>
      <w:r>
        <w:rPr>
          <w:rFonts w:cs="Times New Roman"/>
          <w:color w:val="000000" w:themeColor="text1"/>
          <w:szCs w:val="24"/>
          <w14:textFill>
            <w14:solidFill>
              <w14:schemeClr w14:val="tx1"/>
            </w14:solidFill>
          </w14:textFill>
        </w:rPr>
        <w:t>—几何发散引起的倍频带衰减，dB；</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A</w:t>
      </w:r>
      <w:r>
        <w:rPr>
          <w:rFonts w:cs="Times New Roman"/>
          <w:color w:val="000000" w:themeColor="text1"/>
          <w:szCs w:val="24"/>
          <w:vertAlign w:val="subscript"/>
          <w14:textFill>
            <w14:solidFill>
              <w14:schemeClr w14:val="tx1"/>
            </w14:solidFill>
          </w14:textFill>
        </w:rPr>
        <w:t>atm</w:t>
      </w:r>
      <w:r>
        <w:rPr>
          <w:rFonts w:cs="Times New Roman"/>
          <w:color w:val="000000" w:themeColor="text1"/>
          <w:szCs w:val="24"/>
          <w14:textFill>
            <w14:solidFill>
              <w14:schemeClr w14:val="tx1"/>
            </w14:solidFill>
          </w14:textFill>
        </w:rPr>
        <w:t>—大气吸收引起的倍频带衰减，dB；</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A</w:t>
      </w:r>
      <w:r>
        <w:rPr>
          <w:rFonts w:cs="Times New Roman"/>
          <w:color w:val="000000" w:themeColor="text1"/>
          <w:szCs w:val="24"/>
          <w:vertAlign w:val="subscript"/>
          <w14:textFill>
            <w14:solidFill>
              <w14:schemeClr w14:val="tx1"/>
            </w14:solidFill>
          </w14:textFill>
        </w:rPr>
        <w:t>gr</w:t>
      </w:r>
      <w:r>
        <w:rPr>
          <w:rFonts w:cs="Times New Roman"/>
          <w:color w:val="000000" w:themeColor="text1"/>
          <w:szCs w:val="24"/>
          <w14:textFill>
            <w14:solidFill>
              <w14:schemeClr w14:val="tx1"/>
            </w14:solidFill>
          </w14:textFill>
        </w:rPr>
        <w:t>—地面效应引起的倍频带衰减，dB；</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A</w:t>
      </w:r>
      <w:r>
        <w:rPr>
          <w:rFonts w:cs="Times New Roman"/>
          <w:color w:val="000000" w:themeColor="text1"/>
          <w:szCs w:val="24"/>
          <w:vertAlign w:val="subscript"/>
          <w14:textFill>
            <w14:solidFill>
              <w14:schemeClr w14:val="tx1"/>
            </w14:solidFill>
          </w14:textFill>
        </w:rPr>
        <w:t>bar</w:t>
      </w:r>
      <w:r>
        <w:rPr>
          <w:rFonts w:cs="Times New Roman"/>
          <w:color w:val="000000" w:themeColor="text1"/>
          <w:szCs w:val="24"/>
          <w14:textFill>
            <w14:solidFill>
              <w14:schemeClr w14:val="tx1"/>
            </w14:solidFill>
          </w14:textFill>
        </w:rPr>
        <w:t>—声屏障引起的倍频带衰减，dB；</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A</w:t>
      </w:r>
      <w:r>
        <w:rPr>
          <w:rFonts w:cs="Times New Roman"/>
          <w:color w:val="000000" w:themeColor="text1"/>
          <w:szCs w:val="24"/>
          <w:vertAlign w:val="subscript"/>
          <w14:textFill>
            <w14:solidFill>
              <w14:schemeClr w14:val="tx1"/>
            </w14:solidFill>
          </w14:textFill>
        </w:rPr>
        <w:t>misc</w:t>
      </w:r>
      <w:r>
        <w:rPr>
          <w:rFonts w:cs="Times New Roman"/>
          <w:color w:val="000000" w:themeColor="text1"/>
          <w:szCs w:val="24"/>
          <w14:textFill>
            <w14:solidFill>
              <w14:schemeClr w14:val="tx1"/>
            </w14:solidFill>
          </w14:textFill>
        </w:rPr>
        <w:t>—其他多方面效应引起的倍频带衰减，dB。</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如已知靠近声源处某点的倍频带声压级L</w:t>
      </w:r>
      <w:r>
        <w:rPr>
          <w:rFonts w:cs="Times New Roman"/>
          <w:color w:val="000000" w:themeColor="text1"/>
          <w:vertAlign w:val="subscript"/>
          <w14:textFill>
            <w14:solidFill>
              <w14:schemeClr w14:val="tx1"/>
            </w14:solidFill>
          </w14:textFill>
        </w:rPr>
        <w:t>p</w:t>
      </w:r>
      <w:r>
        <w:rPr>
          <w:rFonts w:cs="Times New Roman"/>
          <w:color w:val="000000" w:themeColor="text1"/>
          <w14:textFill>
            <w14:solidFill>
              <w14:schemeClr w14:val="tx1"/>
            </w14:solidFill>
          </w14:textFill>
        </w:rPr>
        <w:t>(r</w:t>
      </w:r>
      <w:r>
        <w:rPr>
          <w:rFonts w:cs="Times New Roman"/>
          <w:color w:val="000000" w:themeColor="text1"/>
          <w:vertAlign w:val="subscript"/>
          <w14:textFill>
            <w14:solidFill>
              <w14:schemeClr w14:val="tx1"/>
            </w14:solidFill>
          </w14:textFill>
        </w:rPr>
        <w:t>0</w:t>
      </w:r>
      <w:r>
        <w:rPr>
          <w:rFonts w:cs="Times New Roman"/>
          <w:color w:val="000000" w:themeColor="text1"/>
          <w14:textFill>
            <w14:solidFill>
              <w14:schemeClr w14:val="tx1"/>
            </w14:solidFill>
          </w14:textFill>
        </w:rPr>
        <w:t>)时，相同方向预测点位置的倍频带声压级L</w:t>
      </w:r>
      <w:r>
        <w:rPr>
          <w:rFonts w:cs="Times New Roman"/>
          <w:color w:val="000000" w:themeColor="text1"/>
          <w:vertAlign w:val="subscript"/>
          <w14:textFill>
            <w14:solidFill>
              <w14:schemeClr w14:val="tx1"/>
            </w14:solidFill>
          </w14:textFill>
        </w:rPr>
        <w:t>P</w:t>
      </w:r>
      <w:r>
        <w:rPr>
          <w:rFonts w:cs="Times New Roman"/>
          <w:color w:val="000000" w:themeColor="text1"/>
          <w14:textFill>
            <w14:solidFill>
              <w14:schemeClr w14:val="tx1"/>
            </w14:solidFill>
          </w14:textFill>
        </w:rPr>
        <w:t>(r)可按下式计算：</w:t>
      </w:r>
    </w:p>
    <w:p>
      <w:pPr>
        <w:ind w:firstLine="480"/>
        <w:rPr>
          <w:rFonts w:cs="Times New Roman"/>
          <w:color w:val="000000" w:themeColor="text1"/>
          <w14:textFill>
            <w14:solidFill>
              <w14:schemeClr w14:val="tx1"/>
            </w14:solidFill>
          </w14:textFill>
        </w:rPr>
      </w:pPr>
      <m:oMathPara>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p</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(r)=</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p</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0</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)−A</m:t>
          </m:r>
        </m:oMath>
      </m:oMathPara>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预测点的A声级L</w:t>
      </w:r>
      <w:r>
        <w:rPr>
          <w:rFonts w:cs="Times New Roman"/>
          <w:color w:val="000000" w:themeColor="text1"/>
          <w:vertAlign w:val="subscript"/>
          <w14:textFill>
            <w14:solidFill>
              <w14:schemeClr w14:val="tx1"/>
            </w14:solidFill>
          </w14:textFill>
        </w:rPr>
        <w:t>A</w:t>
      </w:r>
      <w:r>
        <w:rPr>
          <w:rFonts w:cs="Times New Roman"/>
          <w:color w:val="000000" w:themeColor="text1"/>
          <w14:textFill>
            <w14:solidFill>
              <w14:schemeClr w14:val="tx1"/>
            </w14:solidFill>
          </w14:textFill>
        </w:rPr>
        <w:t>(r)，可利用8个倍频带的声压级按下式计算：</w:t>
      </w:r>
    </w:p>
    <w:p>
      <w:pPr>
        <w:spacing w:line="240" w:lineRule="auto"/>
        <w:ind w:firstLine="480"/>
        <w:jc w:val="center"/>
        <w:rPr>
          <w:rFonts w:cs="Times New Roman"/>
          <w:color w:val="000000" w:themeColor="text1"/>
          <w14:textFill>
            <w14:solidFill>
              <w14:schemeClr w14:val="tx1"/>
            </w14:solidFill>
          </w14:textFill>
        </w:rPr>
      </w:pPr>
      <w:r>
        <w:rPr>
          <w:rFonts w:cs="Times New Roman"/>
          <w:color w:val="000000" w:themeColor="text1"/>
          <w:position w:val="-32"/>
          <w14:textFill>
            <w14:solidFill>
              <w14:schemeClr w14:val="tx1"/>
            </w14:solidFill>
          </w14:textFill>
        </w:rPr>
        <w:object>
          <v:shape id="_x0000_i1034" o:spt="75" type="#_x0000_t75" style="height:34.8pt;width:168pt;" o:ole="t" filled="f" o:preferrelative="t" stroked="f" coordsize="21600,21600">
            <v:path/>
            <v:fill on="f" focussize="0,0"/>
            <v:stroke on="f" joinstyle="miter"/>
            <v:imagedata r:id="rId48" o:title=""/>
            <o:lock v:ext="edit" aspectratio="t"/>
            <w10:wrap type="none"/>
            <w10:anchorlock/>
          </v:shape>
          <o:OLEObject Type="Embed" ProgID="Equation.3" ShapeID="_x0000_i1034" DrawAspect="Content" ObjectID="_1468075734" r:id="rId47">
            <o:LockedField>false</o:LockedField>
          </o:OLEObject>
        </w:object>
      </w:r>
    </w:p>
    <w:p>
      <w:pPr>
        <w:ind w:firstLine="0" w:firstLineChars="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式中：</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L</w:t>
      </w:r>
      <w:r>
        <w:rPr>
          <w:rFonts w:cs="Times New Roman"/>
          <w:color w:val="000000" w:themeColor="text1"/>
          <w:szCs w:val="24"/>
          <w:vertAlign w:val="subscript"/>
          <w14:textFill>
            <w14:solidFill>
              <w14:schemeClr w14:val="tx1"/>
            </w14:solidFill>
          </w14:textFill>
        </w:rPr>
        <w:t>pi</w:t>
      </w:r>
      <w:r>
        <w:rPr>
          <w:rFonts w:cs="Times New Roman"/>
          <w:color w:val="000000" w:themeColor="text1"/>
          <w:szCs w:val="24"/>
          <w14:textFill>
            <w14:solidFill>
              <w14:schemeClr w14:val="tx1"/>
            </w14:solidFill>
          </w14:textFill>
        </w:rPr>
        <w:t>(r) —预测点（r）处，第i倍频带声压级，dB；</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ΔL</w:t>
      </w:r>
      <w:r>
        <w:rPr>
          <w:rFonts w:cs="Times New Roman"/>
          <w:color w:val="000000" w:themeColor="text1"/>
          <w:szCs w:val="24"/>
          <w:vertAlign w:val="subscript"/>
          <w14:textFill>
            <w14:solidFill>
              <w14:schemeClr w14:val="tx1"/>
            </w14:solidFill>
          </w14:textFill>
        </w:rPr>
        <w:t xml:space="preserve">i </w:t>
      </w:r>
      <w:r>
        <w:rPr>
          <w:rFonts w:cs="Times New Roman"/>
          <w:color w:val="000000" w:themeColor="text1"/>
          <w:szCs w:val="24"/>
          <w14:textFill>
            <w14:solidFill>
              <w14:schemeClr w14:val="tx1"/>
            </w14:solidFill>
          </w14:textFill>
        </w:rPr>
        <w:t>—i倍频带A计权网络修正值，dB（见附录B）。</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在不能取得声源倍频带声功率级或倍频带声压级，只能获得A声功率级或某点的A声级时，可按下面两式作近似计算：</w:t>
      </w:r>
    </w:p>
    <w:p>
      <w:pPr>
        <w:ind w:firstLine="480"/>
        <w:jc w:val="center"/>
        <w:rPr>
          <w:rFonts w:cs="Times New Roman"/>
          <w:color w:val="000000" w:themeColor="text1"/>
          <w14:textFill>
            <w14:solidFill>
              <w14:schemeClr w14:val="tx1"/>
            </w14:solidFill>
          </w14:textFill>
        </w:rPr>
      </w:pP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(r)=</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Aw</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D</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C</m:t>
            </m:r>
            <m:ctrlPr>
              <w:rPr>
                <w:rFonts w:ascii="Cambria Math" w:hAnsi="Cambria Math" w:cs="Times New Roman"/>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−A</m:t>
        </m:r>
      </m:oMath>
      <w:r>
        <w:rPr>
          <w:rFonts w:cs="Times New Roman"/>
          <w:color w:val="000000" w:themeColor="text1"/>
          <w14:textFill>
            <w14:solidFill>
              <w14:schemeClr w14:val="tx1"/>
            </w14:solidFill>
          </w14:textFill>
        </w:rPr>
        <w:t>或</w:t>
      </w: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sub>
        </m:sSub>
        <m:d>
          <m:dPr>
            <m:ctrlPr>
              <w:rPr>
                <w:rFonts w:ascii="Cambria Math" w:hAnsi="Cambria Math" w:cs="Times New Roman"/>
                <w:color w:val="000000" w:themeColor="text1"/>
                <w14:textFill>
                  <w14:solidFill>
                    <w14:schemeClr w14:val="tx1"/>
                  </w14:solidFill>
                </w14:textFill>
              </w:rPr>
            </m:ctrlPr>
          </m:dPr>
          <m:e>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e>
        </m:d>
        <m:r>
          <m:rPr>
            <m:sty m:val="p"/>
          </m:rPr>
          <w:rPr>
            <w:rFonts w:ascii="Cambria Math" w:hAnsi="Cambria Math" w:cs="Times New Roman"/>
            <w:color w:val="000000" w:themeColor="text1"/>
            <w14:textFill>
              <w14:solidFill>
                <w14:schemeClr w14:val="tx1"/>
              </w14:solidFill>
            </w14:textFill>
          </w:rPr>
          <m:t>=</m:t>
        </m:r>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L</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A</m:t>
            </m:r>
            <m:ctrlPr>
              <w:rPr>
                <w:rFonts w:ascii="Cambria Math" w:hAnsi="Cambria Math" w:cs="Times New Roman"/>
                <w:color w:val="000000" w:themeColor="text1"/>
                <w14:textFill>
                  <w14:solidFill>
                    <w14:schemeClr w14:val="tx1"/>
                  </w14:solidFill>
                </w14:textFill>
              </w:rPr>
            </m:ctrlPr>
          </m:sub>
        </m:sSub>
        <m:d>
          <m:dPr>
            <m:ctrlPr>
              <w:rPr>
                <w:rFonts w:ascii="Cambria Math" w:hAnsi="Cambria Math" w:cs="Times New Roman"/>
                <w:color w:val="000000" w:themeColor="text1"/>
                <w14:textFill>
                  <w14:solidFill>
                    <w14:schemeClr w14:val="tx1"/>
                  </w14:solidFill>
                </w14:textFill>
              </w:rPr>
            </m:ctrlPr>
          </m:dPr>
          <m:e>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r</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0</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e>
        </m:d>
        <m:r>
          <m:rPr>
            <m:sty m:val="p"/>
          </m:rPr>
          <w:rPr>
            <w:rFonts w:ascii="Cambria Math" w:hAnsi="Cambria Math" w:cs="Times New Roman"/>
            <w:color w:val="000000" w:themeColor="text1"/>
            <w14:textFill>
              <w14:solidFill>
                <w14:schemeClr w14:val="tx1"/>
              </w14:solidFill>
            </w14:textFill>
          </w:rPr>
          <m:t>−A</m:t>
        </m:r>
      </m:oMath>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A可选择对A声级影响最大的倍频带计算，一般可选中心频率为500 Hz的倍频带作估算。</w:t>
      </w:r>
    </w:p>
    <w:p>
      <w:pPr>
        <w:ind w:firstLine="48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2、</w:t>
      </w:r>
      <w:r>
        <w:rPr>
          <w:rFonts w:cs="Times New Roman"/>
          <w:bCs/>
          <w:color w:val="000000" w:themeColor="text1"/>
          <w14:textFill>
            <w14:solidFill>
              <w14:schemeClr w14:val="tx1"/>
            </w14:solidFill>
          </w14:textFill>
        </w:rPr>
        <w:t>噪声贡献值计算</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设第i个室外声源在预测点产生的A声级为L</w:t>
      </w:r>
      <w:r>
        <w:rPr>
          <w:rFonts w:cs="Times New Roman"/>
          <w:bCs/>
          <w:color w:val="000000" w:themeColor="text1"/>
          <w:vertAlign w:val="subscript"/>
          <w14:textFill>
            <w14:solidFill>
              <w14:schemeClr w14:val="tx1"/>
            </w14:solidFill>
          </w14:textFill>
        </w:rPr>
        <w:t>Ai</w:t>
      </w:r>
      <w:r>
        <w:rPr>
          <w:rFonts w:cs="Times New Roman"/>
          <w:bCs/>
          <w:color w:val="000000" w:themeColor="text1"/>
          <w14:textFill>
            <w14:solidFill>
              <w14:schemeClr w14:val="tx1"/>
            </w14:solidFill>
          </w14:textFill>
        </w:rPr>
        <w:t>，在T时间内该声源工作时间为t</w:t>
      </w:r>
      <w:r>
        <w:rPr>
          <w:rFonts w:cs="Times New Roman"/>
          <w:bCs/>
          <w:color w:val="000000" w:themeColor="text1"/>
          <w:vertAlign w:val="subscript"/>
          <w14:textFill>
            <w14:solidFill>
              <w14:schemeClr w14:val="tx1"/>
            </w14:solidFill>
          </w14:textFill>
        </w:rPr>
        <w:t>i</w:t>
      </w:r>
      <w:r>
        <w:rPr>
          <w:rFonts w:cs="Times New Roman"/>
          <w:bCs/>
          <w:color w:val="000000" w:themeColor="text1"/>
          <w14:textFill>
            <w14:solidFill>
              <w14:schemeClr w14:val="tx1"/>
            </w14:solidFill>
          </w14:textFill>
        </w:rPr>
        <w:t>；第j个等效室外声源在预测点产生的A声级为L</w:t>
      </w:r>
      <w:r>
        <w:rPr>
          <w:rFonts w:cs="Times New Roman"/>
          <w:bCs/>
          <w:color w:val="000000" w:themeColor="text1"/>
          <w:vertAlign w:val="subscript"/>
          <w14:textFill>
            <w14:solidFill>
              <w14:schemeClr w14:val="tx1"/>
            </w14:solidFill>
          </w14:textFill>
        </w:rPr>
        <w:t>Aj</w:t>
      </w:r>
      <w:r>
        <w:rPr>
          <w:rFonts w:cs="Times New Roman"/>
          <w:bCs/>
          <w:color w:val="000000" w:themeColor="text1"/>
          <w14:textFill>
            <w14:solidFill>
              <w14:schemeClr w14:val="tx1"/>
            </w14:solidFill>
          </w14:textFill>
        </w:rPr>
        <w:t>，在T时间内该声源工作时间为t</w:t>
      </w:r>
      <w:r>
        <w:rPr>
          <w:rFonts w:cs="Times New Roman"/>
          <w:bCs/>
          <w:color w:val="000000" w:themeColor="text1"/>
          <w:vertAlign w:val="subscript"/>
          <w14:textFill>
            <w14:solidFill>
              <w14:schemeClr w14:val="tx1"/>
            </w14:solidFill>
          </w14:textFill>
        </w:rPr>
        <w:t>j</w:t>
      </w:r>
      <w:r>
        <w:rPr>
          <w:rFonts w:cs="Times New Roman"/>
          <w:bCs/>
          <w:color w:val="000000" w:themeColor="text1"/>
          <w14:textFill>
            <w14:solidFill>
              <w14:schemeClr w14:val="tx1"/>
            </w14:solidFill>
          </w14:textFill>
        </w:rPr>
        <w:t>，则拟建工程声源对预测点产生的贡献值（L</w:t>
      </w:r>
      <w:r>
        <w:rPr>
          <w:rFonts w:cs="Times New Roman"/>
          <w:bCs/>
          <w:color w:val="000000" w:themeColor="text1"/>
          <w:vertAlign w:val="subscript"/>
          <w14:textFill>
            <w14:solidFill>
              <w14:schemeClr w14:val="tx1"/>
            </w14:solidFill>
          </w14:textFill>
        </w:rPr>
        <w:t>eqg</w:t>
      </w:r>
      <w:r>
        <w:rPr>
          <w:rFonts w:cs="Times New Roman"/>
          <w:bCs/>
          <w:color w:val="000000" w:themeColor="text1"/>
          <w14:textFill>
            <w14:solidFill>
              <w14:schemeClr w14:val="tx1"/>
            </w14:solidFill>
          </w14:textFill>
        </w:rPr>
        <w:t>）为：</w:t>
      </w:r>
    </w:p>
    <w:p>
      <w:pPr>
        <w:spacing w:line="240" w:lineRule="auto"/>
        <w:ind w:firstLine="480"/>
        <w:jc w:val="center"/>
        <w:rPr>
          <w:rFonts w:cs="Times New Roman"/>
          <w:bCs/>
          <w:color w:val="000000" w:themeColor="text1"/>
          <w14:textFill>
            <w14:solidFill>
              <w14:schemeClr w14:val="tx1"/>
            </w14:solidFill>
          </w14:textFill>
        </w:rPr>
      </w:pPr>
      <w:r>
        <w:rPr>
          <w:rFonts w:cs="Times New Roman"/>
          <w:color w:val="000000" w:themeColor="text1"/>
          <w:position w:val="-32"/>
          <w14:textFill>
            <w14:solidFill>
              <w14:schemeClr w14:val="tx1"/>
            </w14:solidFill>
          </w14:textFill>
        </w:rPr>
        <w:object>
          <v:shape id="_x0000_i1035" o:spt="75" type="#_x0000_t75" style="height:34.8pt;width:198pt;" o:ole="t" filled="f" o:preferrelative="t" stroked="f" coordsize="21600,21600">
            <v:path/>
            <v:fill on="f" focussize="0,0"/>
            <v:stroke on="f" joinstyle="miter"/>
            <v:imagedata r:id="rId50" o:title=""/>
            <o:lock v:ext="edit" aspectratio="t"/>
            <w10:wrap type="none"/>
            <w10:anchorlock/>
          </v:shape>
          <o:OLEObject Type="Embed" ProgID="Equation.3" ShapeID="_x0000_i1035" DrawAspect="Content" ObjectID="_1468075735" r:id="rId49">
            <o:LockedField>false</o:LockedField>
          </o:OLEObject>
        </w:objec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t</w:t>
      </w:r>
      <w:r>
        <w:rPr>
          <w:rFonts w:cs="Times New Roman"/>
          <w:bCs/>
          <w:color w:val="000000" w:themeColor="text1"/>
          <w:vertAlign w:val="subscript"/>
          <w14:textFill>
            <w14:solidFill>
              <w14:schemeClr w14:val="tx1"/>
            </w14:solidFill>
          </w14:textFill>
        </w:rPr>
        <w:t>j</w:t>
      </w:r>
      <w:r>
        <w:rPr>
          <w:rFonts w:cs="Times New Roman"/>
          <w:bCs/>
          <w:color w:val="000000" w:themeColor="text1"/>
          <w14:textFill>
            <w14:solidFill>
              <w14:schemeClr w14:val="tx1"/>
            </w14:solidFill>
          </w14:textFill>
        </w:rPr>
        <w:t>—在T时间内j声源工作时间，s；</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t</w:t>
      </w:r>
      <w:r>
        <w:rPr>
          <w:rFonts w:cs="Times New Roman"/>
          <w:bCs/>
          <w:color w:val="000000" w:themeColor="text1"/>
          <w:vertAlign w:val="subscript"/>
          <w14:textFill>
            <w14:solidFill>
              <w14:schemeClr w14:val="tx1"/>
            </w14:solidFill>
          </w14:textFill>
        </w:rPr>
        <w:t>i</w:t>
      </w:r>
      <w:r>
        <w:rPr>
          <w:rFonts w:cs="Times New Roman"/>
          <w:bCs/>
          <w:color w:val="000000" w:themeColor="text1"/>
          <w14:textFill>
            <w14:solidFill>
              <w14:schemeClr w14:val="tx1"/>
            </w14:solidFill>
          </w14:textFill>
        </w:rPr>
        <w:t>—在T时间内i声源工作时间，s；</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T—用于计算等效升级的时间，s；</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N—室外声源个数；</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M—等效室外声源个数。</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3、预测值计算</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噪声预测值可按下式进行计算：</w:t>
      </w:r>
    </w:p>
    <w:p>
      <w:pPr>
        <w:ind w:firstLine="0" w:firstLineChars="0"/>
        <w:jc w:val="center"/>
        <w:rPr>
          <w:rFonts w:cs="Times New Roman"/>
          <w:bCs/>
          <w:color w:val="000000" w:themeColor="text1"/>
          <w:szCs w:val="24"/>
          <w14:textFill>
            <w14:solidFill>
              <w14:schemeClr w14:val="tx1"/>
            </w14:solidFill>
          </w14:textFill>
        </w:rPr>
      </w:pPr>
      <w:r>
        <w:rPr>
          <w:rFonts w:cs="Times New Roman"/>
          <w:color w:val="000000" w:themeColor="text1"/>
          <w:position w:val="-14"/>
          <w:szCs w:val="24"/>
          <w14:textFill>
            <w14:solidFill>
              <w14:schemeClr w14:val="tx1"/>
            </w14:solidFill>
          </w14:textFill>
        </w:rPr>
        <w:object>
          <v:shape id="_x0000_i1036" o:spt="75" type="#_x0000_t75" style="height:24pt;width:138pt;" o:ole="t" filled="f" o:preferrelative="t" stroked="f" coordsize="21600,21600">
            <v:path/>
            <v:fill on="f" focussize="0,0"/>
            <v:stroke on="f" joinstyle="miter"/>
            <v:imagedata r:id="rId52" o:title=""/>
            <o:lock v:ext="edit" aspectratio="t"/>
            <w10:wrap type="none"/>
            <w10:anchorlock/>
          </v:shape>
          <o:OLEObject Type="Embed" ProgID="Equation.3" ShapeID="_x0000_i1036" DrawAspect="Content" ObjectID="_1468075736" r:id="rId51">
            <o:LockedField>false</o:LockedField>
          </o:OLEObject>
        </w:object>
      </w:r>
    </w:p>
    <w:p>
      <w:pPr>
        <w:ind w:firstLine="0" w:firstLineChars="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式中：</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L</w:t>
      </w:r>
      <w:r>
        <w:rPr>
          <w:rFonts w:cs="Times New Roman"/>
          <w:bCs/>
          <w:color w:val="000000" w:themeColor="text1"/>
          <w:szCs w:val="24"/>
          <w:vertAlign w:val="subscript"/>
          <w14:textFill>
            <w14:solidFill>
              <w14:schemeClr w14:val="tx1"/>
            </w14:solidFill>
          </w14:textFill>
        </w:rPr>
        <w:t>eqg</w:t>
      </w:r>
      <w:r>
        <w:rPr>
          <w:rFonts w:cs="Times New Roman"/>
          <w:bCs/>
          <w:color w:val="000000" w:themeColor="text1"/>
          <w:szCs w:val="24"/>
          <w14:textFill>
            <w14:solidFill>
              <w14:schemeClr w14:val="tx1"/>
            </w14:solidFill>
          </w14:textFill>
        </w:rPr>
        <w:t>—建设项目声源在预测点的等效声级贡献值，dB(A)；</w:t>
      </w:r>
    </w:p>
    <w:p>
      <w:pPr>
        <w:ind w:firstLine="480"/>
        <w:rPr>
          <w:rFonts w:cs="Times New Roman"/>
          <w:bCs/>
          <w:color w:val="000000" w:themeColor="text1"/>
          <w:szCs w:val="24"/>
          <w14:textFill>
            <w14:solidFill>
              <w14:schemeClr w14:val="tx1"/>
            </w14:solidFill>
          </w14:textFill>
        </w:rPr>
      </w:pPr>
      <w:r>
        <w:rPr>
          <w:rFonts w:cs="Times New Roman"/>
          <w:bCs/>
          <w:color w:val="000000" w:themeColor="text1"/>
          <w:szCs w:val="24"/>
          <w14:textFill>
            <w14:solidFill>
              <w14:schemeClr w14:val="tx1"/>
            </w14:solidFill>
          </w14:textFill>
        </w:rPr>
        <w:t>L</w:t>
      </w:r>
      <w:r>
        <w:rPr>
          <w:rFonts w:cs="Times New Roman"/>
          <w:bCs/>
          <w:color w:val="000000" w:themeColor="text1"/>
          <w:szCs w:val="24"/>
          <w:vertAlign w:val="subscript"/>
          <w14:textFill>
            <w14:solidFill>
              <w14:schemeClr w14:val="tx1"/>
            </w14:solidFill>
          </w14:textFill>
        </w:rPr>
        <w:t>eqb</w:t>
      </w:r>
      <w:r>
        <w:rPr>
          <w:rFonts w:cs="Times New Roman"/>
          <w:bCs/>
          <w:color w:val="000000" w:themeColor="text1"/>
          <w:szCs w:val="24"/>
          <w14:textFill>
            <w14:solidFill>
              <w14:schemeClr w14:val="tx1"/>
            </w14:solidFill>
          </w14:textFill>
        </w:rPr>
        <w:t>—预测点的背景值，dB(A)。</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2、预测结果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anchor distT="0" distB="0" distL="114300" distR="114300" simplePos="0" relativeHeight="251771904" behindDoc="0" locked="0" layoutInCell="1" allowOverlap="1">
            <wp:simplePos x="0" y="0"/>
            <wp:positionH relativeFrom="margin">
              <wp:posOffset>112395</wp:posOffset>
            </wp:positionH>
            <wp:positionV relativeFrom="margin">
              <wp:posOffset>3638550</wp:posOffset>
            </wp:positionV>
            <wp:extent cx="5661025" cy="4554855"/>
            <wp:effectExtent l="0" t="0" r="0" b="0"/>
            <wp:wrapTopAndBottom/>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noChangeArrowheads="true"/>
                    </pic:cNvPicPr>
                  </pic:nvPicPr>
                  <pic:blipFill>
                    <a:blip r:embed="rId53">
                      <a:extLst>
                        <a:ext uri="{28A0092B-C50C-407E-A947-70E740481C1C}">
                          <a14:useLocalDpi xmlns:a14="http://schemas.microsoft.com/office/drawing/2010/main" val="false"/>
                        </a:ext>
                      </a:extLst>
                    </a:blip>
                    <a:srcRect/>
                    <a:stretch>
                      <a:fillRect/>
                    </a:stretch>
                  </pic:blipFill>
                  <pic:spPr>
                    <a:xfrm>
                      <a:off x="0" y="0"/>
                      <a:ext cx="5661025" cy="4554855"/>
                    </a:xfrm>
                    <a:prstGeom prst="rect">
                      <a:avLst/>
                    </a:prstGeom>
                    <a:noFill/>
                    <a:ln>
                      <a:noFill/>
                    </a:ln>
                  </pic:spPr>
                </pic:pic>
              </a:graphicData>
            </a:graphic>
          </wp:anchor>
        </w:drawing>
      </w:r>
      <w:r>
        <w:rPr>
          <w:rFonts w:cs="Times New Roman"/>
          <w:color w:val="000000" w:themeColor="text1"/>
          <w14:textFill>
            <w14:solidFill>
              <w14:schemeClr w14:val="tx1"/>
            </w14:solidFill>
          </w14:textFill>
        </w:rPr>
        <w:t>项目场界及敏感目标噪声预测结果见表5.5-2。噪声预测图见图5.5-1。</w:t>
      </w:r>
    </w:p>
    <w:p>
      <w:pPr>
        <w:pStyle w:val="333"/>
        <w:spacing w:before="120"/>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图5.5-1 噪声预测结果图</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表5.5-2 本项目厂界噪声预测结果</w:t>
      </w:r>
    </w:p>
    <w:p>
      <w:pPr>
        <w:kinsoku w:val="0"/>
        <w:overflowPunct w:val="0"/>
        <w:autoSpaceDE w:val="0"/>
        <w:autoSpaceDN w:val="0"/>
        <w:adjustRightInd w:val="0"/>
        <w:spacing w:before="11" w:line="240" w:lineRule="auto"/>
        <w:ind w:firstLine="0" w:firstLineChars="0"/>
        <w:jc w:val="left"/>
        <w:rPr>
          <w:rFonts w:cs="Times New Roman"/>
          <w:color w:val="000000" w:themeColor="text1"/>
          <w:kern w:val="0"/>
          <w:sz w:val="3"/>
          <w:szCs w:val="3"/>
          <w14:textFill>
            <w14:solidFill>
              <w14:schemeClr w14:val="tx1"/>
            </w14:solidFill>
          </w14:textFill>
        </w:rPr>
      </w:pPr>
    </w:p>
    <w:tbl>
      <w:tblPr>
        <w:tblStyle w:val="53"/>
        <w:tblW w:w="8979" w:type="dxa"/>
        <w:tblInd w:w="123" w:type="dxa"/>
        <w:tblLayout w:type="fixed"/>
        <w:tblCellMar>
          <w:top w:w="0" w:type="dxa"/>
          <w:left w:w="0" w:type="dxa"/>
          <w:bottom w:w="0" w:type="dxa"/>
          <w:right w:w="0" w:type="dxa"/>
        </w:tblCellMar>
      </w:tblPr>
      <w:tblGrid>
        <w:gridCol w:w="1310"/>
        <w:gridCol w:w="1917"/>
        <w:gridCol w:w="1917"/>
        <w:gridCol w:w="1917"/>
        <w:gridCol w:w="1918"/>
      </w:tblGrid>
      <w:tr>
        <w:tblPrEx>
          <w:tblCellMar>
            <w:top w:w="0" w:type="dxa"/>
            <w:left w:w="0" w:type="dxa"/>
            <w:bottom w:w="0" w:type="dxa"/>
            <w:right w:w="0" w:type="dxa"/>
          </w:tblCellMar>
        </w:tblPrEx>
        <w:trPr>
          <w:trHeight w:val="397" w:hRule="atLeast"/>
        </w:trPr>
        <w:tc>
          <w:tcPr>
            <w:tcW w:w="1310" w:type="dxa"/>
            <w:vMerge w:val="restart"/>
            <w:tcBorders>
              <w:top w:val="single" w:color="000000" w:sz="10"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位置</w:t>
            </w:r>
          </w:p>
        </w:tc>
        <w:tc>
          <w:tcPr>
            <w:tcW w:w="3834" w:type="dxa"/>
            <w:gridSpan w:val="2"/>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昼间噪声级 dB（A）</w:t>
            </w:r>
          </w:p>
        </w:tc>
        <w:tc>
          <w:tcPr>
            <w:tcW w:w="3835" w:type="dxa"/>
            <w:gridSpan w:val="2"/>
            <w:tcBorders>
              <w:top w:val="single" w:color="000000" w:sz="10"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夜间噪声级 dB（A）</w:t>
            </w:r>
          </w:p>
        </w:tc>
      </w:tr>
      <w:tr>
        <w:tblPrEx>
          <w:tblCellMar>
            <w:top w:w="0" w:type="dxa"/>
            <w:left w:w="0" w:type="dxa"/>
            <w:bottom w:w="0" w:type="dxa"/>
            <w:right w:w="0" w:type="dxa"/>
          </w:tblCellMar>
        </w:tblPrEx>
        <w:trPr>
          <w:trHeight w:val="397" w:hRule="atLeast"/>
        </w:trPr>
        <w:tc>
          <w:tcPr>
            <w:tcW w:w="1310" w:type="dxa"/>
            <w:vMerge w:val="continue"/>
            <w:tcBorders>
              <w:top w:val="single" w:color="000000" w:sz="10"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1917" w:type="dxa"/>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贡献值</w:t>
            </w:r>
          </w:p>
        </w:tc>
        <w:tc>
          <w:tcPr>
            <w:tcW w:w="1917" w:type="dxa"/>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达标情况</w:t>
            </w:r>
          </w:p>
        </w:tc>
        <w:tc>
          <w:tcPr>
            <w:tcW w:w="1917" w:type="dxa"/>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贡献值</w:t>
            </w:r>
          </w:p>
        </w:tc>
        <w:tc>
          <w:tcPr>
            <w:tcW w:w="1918" w:type="dxa"/>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达标情况</w:t>
            </w:r>
          </w:p>
        </w:tc>
      </w:tr>
      <w:tr>
        <w:tblPrEx>
          <w:tblCellMar>
            <w:top w:w="0" w:type="dxa"/>
            <w:left w:w="0" w:type="dxa"/>
            <w:bottom w:w="0" w:type="dxa"/>
            <w:right w:w="0" w:type="dxa"/>
          </w:tblCellMar>
        </w:tblPrEx>
        <w:trPr>
          <w:trHeight w:val="397" w:hRule="atLeast"/>
        </w:trPr>
        <w:tc>
          <w:tcPr>
            <w:tcW w:w="1310" w:type="dxa"/>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厂界东</w:t>
            </w:r>
          </w:p>
        </w:tc>
        <w:tc>
          <w:tcPr>
            <w:tcW w:w="1917" w:type="dxa"/>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34.1</w:t>
            </w:r>
          </w:p>
        </w:tc>
        <w:tc>
          <w:tcPr>
            <w:tcW w:w="1917" w:type="dxa"/>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917" w:type="dxa"/>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34.1</w:t>
            </w:r>
          </w:p>
        </w:tc>
        <w:tc>
          <w:tcPr>
            <w:tcW w:w="1918" w:type="dxa"/>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CellMar>
            <w:top w:w="0" w:type="dxa"/>
            <w:left w:w="0" w:type="dxa"/>
            <w:bottom w:w="0" w:type="dxa"/>
            <w:right w:w="0" w:type="dxa"/>
          </w:tblCellMar>
        </w:tblPrEx>
        <w:trPr>
          <w:trHeight w:val="397" w:hRule="atLeast"/>
        </w:trPr>
        <w:tc>
          <w:tcPr>
            <w:tcW w:w="1310" w:type="dxa"/>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厂界南</w:t>
            </w:r>
          </w:p>
        </w:tc>
        <w:tc>
          <w:tcPr>
            <w:tcW w:w="1917" w:type="dxa"/>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36.3</w:t>
            </w:r>
          </w:p>
        </w:tc>
        <w:tc>
          <w:tcPr>
            <w:tcW w:w="1917" w:type="dxa"/>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917" w:type="dxa"/>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36.3</w:t>
            </w:r>
          </w:p>
        </w:tc>
        <w:tc>
          <w:tcPr>
            <w:tcW w:w="1918" w:type="dxa"/>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CellMar>
            <w:top w:w="0" w:type="dxa"/>
            <w:left w:w="0" w:type="dxa"/>
            <w:bottom w:w="0" w:type="dxa"/>
            <w:right w:w="0" w:type="dxa"/>
          </w:tblCellMar>
        </w:tblPrEx>
        <w:trPr>
          <w:trHeight w:val="397" w:hRule="atLeast"/>
        </w:trPr>
        <w:tc>
          <w:tcPr>
            <w:tcW w:w="1310" w:type="dxa"/>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厂界西</w:t>
            </w:r>
          </w:p>
        </w:tc>
        <w:tc>
          <w:tcPr>
            <w:tcW w:w="1917" w:type="dxa"/>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32.1</w:t>
            </w:r>
          </w:p>
        </w:tc>
        <w:tc>
          <w:tcPr>
            <w:tcW w:w="1917" w:type="dxa"/>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917" w:type="dxa"/>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32.1</w:t>
            </w:r>
          </w:p>
        </w:tc>
        <w:tc>
          <w:tcPr>
            <w:tcW w:w="1918" w:type="dxa"/>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CellMar>
            <w:top w:w="0" w:type="dxa"/>
            <w:left w:w="0" w:type="dxa"/>
            <w:bottom w:w="0" w:type="dxa"/>
            <w:right w:w="0" w:type="dxa"/>
          </w:tblCellMar>
        </w:tblPrEx>
        <w:trPr>
          <w:trHeight w:val="397" w:hRule="atLeast"/>
        </w:trPr>
        <w:tc>
          <w:tcPr>
            <w:tcW w:w="1310" w:type="dxa"/>
            <w:tcBorders>
              <w:top w:val="single" w:color="000000" w:sz="4"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厂界北</w:t>
            </w:r>
          </w:p>
        </w:tc>
        <w:tc>
          <w:tcPr>
            <w:tcW w:w="1917" w:type="dxa"/>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41.9</w:t>
            </w:r>
          </w:p>
        </w:tc>
        <w:tc>
          <w:tcPr>
            <w:tcW w:w="1917" w:type="dxa"/>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达标</w:t>
            </w:r>
          </w:p>
        </w:tc>
        <w:tc>
          <w:tcPr>
            <w:tcW w:w="1917" w:type="dxa"/>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41.9</w:t>
            </w:r>
          </w:p>
        </w:tc>
        <w:tc>
          <w:tcPr>
            <w:tcW w:w="1918" w:type="dxa"/>
            <w:tcBorders>
              <w:top w:val="single" w:color="000000" w:sz="4" w:space="0"/>
              <w:left w:val="single" w:color="000000" w:sz="4" w:space="0"/>
              <w:bottom w:val="single" w:color="000000" w:sz="10"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达标</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由上表可见，经预测场界噪声预测值为32.1~41.9 dB（A）之间，采取环评规定的环保措施后，本项目厂界各预测点的噪声贡献值可以满足《工业企业厂界环境噪声排放标准》（GB12348-2008）中的1类标准要求。</w:t>
      </w:r>
    </w:p>
    <w:p>
      <w:pPr>
        <w:pStyle w:val="4"/>
        <w:rPr>
          <w:rFonts w:cs="Times New Roman"/>
          <w:color w:val="000000" w:themeColor="text1"/>
          <w14:textFill>
            <w14:solidFill>
              <w14:schemeClr w14:val="tx1"/>
            </w14:solidFill>
          </w14:textFill>
        </w:rPr>
      </w:pPr>
      <w:bookmarkStart w:id="574" w:name="_Toc91163935"/>
      <w:r>
        <w:rPr>
          <w:rFonts w:cs="Times New Roman"/>
          <w:color w:val="000000" w:themeColor="text1"/>
          <w14:textFill>
            <w14:solidFill>
              <w14:schemeClr w14:val="tx1"/>
            </w14:solidFill>
          </w14:textFill>
        </w:rPr>
        <w:t>5.5.4 治理措施</w:t>
      </w:r>
      <w:bookmarkEnd w:id="574"/>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1）从设备选型入手，设备定货时向设备制造企业提出噪声限值，必须选择低噪声的设备；</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2）要求给风机、粪便处理区水泵等产噪设备安装减震垫；</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3）对机械传动部件动态不平衡处认真进行平整调整。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4）对设备进行定期检修，加强润滑作用，保持设备良好的运转状态，尽量降低噪声。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在场区周围及场内加强绿化，充分利用建筑的边角孔隙土地及不规划土地进行绿化，场区绿化应结合场区与猪舍之间的隔离、遮荫及防风需要进行。可根据当地实际种植能美化环境、净化空气的树种和花草、不宜种植有毒、有利、飞絮的植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6）在采取厂房屏蔽、选择低噪声设备、隔声、基础减震、限速、加强厂区管理等措施后，不会对区域声环境造成影响。</w:t>
      </w:r>
    </w:p>
    <w:p>
      <w:pPr>
        <w:pStyle w:val="4"/>
        <w:rPr>
          <w:rFonts w:cs="Times New Roman"/>
          <w:color w:val="000000" w:themeColor="text1"/>
          <w14:textFill>
            <w14:solidFill>
              <w14:schemeClr w14:val="tx1"/>
            </w14:solidFill>
          </w14:textFill>
        </w:rPr>
      </w:pPr>
      <w:bookmarkStart w:id="575" w:name="_Toc91163936"/>
      <w:r>
        <w:rPr>
          <w:rFonts w:cs="Times New Roman"/>
          <w:color w:val="000000" w:themeColor="text1"/>
          <w14:textFill>
            <w14:solidFill>
              <w14:schemeClr w14:val="tx1"/>
            </w14:solidFill>
          </w14:textFill>
        </w:rPr>
        <w:t>5.5.5 评价结论</w:t>
      </w:r>
      <w:bookmarkEnd w:id="57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本项目生产运营后，在采取环评提出的环保措施的情况下，场界噪声贡献值昼、夜间均达到《工业企业厂界环境噪声排放标准》（GB12348-2008）中1类标准限值要求，对周围环境影响较小。且项目200 m范围内无噪声敏感目标。因此，从声环境角度来讲本项目建设是可行的。</w:t>
      </w:r>
    </w:p>
    <w:p>
      <w:pPr>
        <w:pStyle w:val="3"/>
        <w:spacing w:before="120" w:after="120"/>
        <w:rPr>
          <w:rFonts w:cs="Times New Roman"/>
          <w:color w:val="000000" w:themeColor="text1"/>
          <w14:textFill>
            <w14:solidFill>
              <w14:schemeClr w14:val="tx1"/>
            </w14:solidFill>
          </w14:textFill>
        </w:rPr>
      </w:pPr>
      <w:bookmarkStart w:id="576" w:name="_Toc91163937"/>
      <w:r>
        <w:rPr>
          <w:rFonts w:cs="Times New Roman"/>
          <w:color w:val="000000" w:themeColor="text1"/>
          <w14:textFill>
            <w14:solidFill>
              <w14:schemeClr w14:val="tx1"/>
            </w14:solidFill>
          </w14:textFill>
        </w:rPr>
        <w:t>5.6  运营期固体废物环境影响分析</w:t>
      </w:r>
      <w:bookmarkEnd w:id="576"/>
    </w:p>
    <w:p>
      <w:pPr>
        <w:pStyle w:val="4"/>
        <w:rPr>
          <w:rFonts w:cs="Times New Roman"/>
          <w:color w:val="000000" w:themeColor="text1"/>
          <w14:textFill>
            <w14:solidFill>
              <w14:schemeClr w14:val="tx1"/>
            </w14:solidFill>
          </w14:textFill>
        </w:rPr>
      </w:pPr>
      <w:bookmarkStart w:id="577" w:name="_Toc91163938"/>
      <w:r>
        <w:rPr>
          <w:rFonts w:cs="Times New Roman"/>
          <w:color w:val="000000" w:themeColor="text1"/>
          <w14:textFill>
            <w14:solidFill>
              <w14:schemeClr w14:val="tx1"/>
            </w14:solidFill>
          </w14:textFill>
        </w:rPr>
        <w:t>5.6.1 固体废物排放情况</w:t>
      </w:r>
      <w:bookmarkEnd w:id="57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项目运营后产生的固体废物主要为猪粪、病死猪、医疗垃圾和生活垃圾等。产生情况见表5.6-1。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表5.6-1 项目固体废物产生及排放情况一览表</w:t>
      </w:r>
    </w:p>
    <w:p>
      <w:pPr>
        <w:kinsoku w:val="0"/>
        <w:overflowPunct w:val="0"/>
        <w:autoSpaceDE w:val="0"/>
        <w:autoSpaceDN w:val="0"/>
        <w:adjustRightInd w:val="0"/>
        <w:spacing w:before="1" w:line="240" w:lineRule="auto"/>
        <w:ind w:firstLine="0" w:firstLineChars="0"/>
        <w:jc w:val="left"/>
        <w:rPr>
          <w:rFonts w:cs="Times New Roman"/>
          <w:color w:val="000000" w:themeColor="text1"/>
          <w:kern w:val="0"/>
          <w:sz w:val="7"/>
          <w:szCs w:val="7"/>
          <w14:textFill>
            <w14:solidFill>
              <w14:schemeClr w14:val="tx1"/>
            </w14:solidFill>
          </w14:textFill>
        </w:rPr>
      </w:pPr>
    </w:p>
    <w:tbl>
      <w:tblPr>
        <w:tblStyle w:val="53"/>
        <w:tblW w:w="9061" w:type="dxa"/>
        <w:tblInd w:w="114"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535"/>
        <w:gridCol w:w="1416"/>
        <w:gridCol w:w="1039"/>
        <w:gridCol w:w="992"/>
        <w:gridCol w:w="851"/>
        <w:gridCol w:w="1134"/>
        <w:gridCol w:w="309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535"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416"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产生工段</w:t>
            </w:r>
          </w:p>
        </w:tc>
        <w:tc>
          <w:tcPr>
            <w:tcW w:w="1039"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992"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产生量</w:t>
            </w:r>
          </w:p>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（t/a）</w:t>
            </w:r>
          </w:p>
        </w:tc>
        <w:tc>
          <w:tcPr>
            <w:tcW w:w="851"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（t/a）</w:t>
            </w:r>
          </w:p>
        </w:tc>
        <w:tc>
          <w:tcPr>
            <w:tcW w:w="1134"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固废性质</w:t>
            </w:r>
          </w:p>
        </w:tc>
        <w:tc>
          <w:tcPr>
            <w:tcW w:w="3094"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处理措施</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5" w:type="dxa"/>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16" w:type="dxa"/>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1039" w:type="dxa"/>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猪粪</w:t>
            </w:r>
          </w:p>
        </w:tc>
        <w:tc>
          <w:tcPr>
            <w:tcW w:w="992" w:type="dxa"/>
            <w:tcBorders>
              <w:top w:val="single" w:color="auto" w:sz="12"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1351.7</w:t>
            </w:r>
          </w:p>
        </w:tc>
        <w:tc>
          <w:tcPr>
            <w:tcW w:w="851" w:type="dxa"/>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34" w:type="dxa"/>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3094" w:type="dxa"/>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好氧堆肥处置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5"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141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厌氧发酵塘</w:t>
            </w:r>
          </w:p>
        </w:tc>
        <w:tc>
          <w:tcPr>
            <w:tcW w:w="103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沼渣</w:t>
            </w:r>
          </w:p>
        </w:tc>
        <w:tc>
          <w:tcPr>
            <w:tcW w:w="992" w:type="dxa"/>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750.95</w:t>
            </w:r>
          </w:p>
        </w:tc>
        <w:tc>
          <w:tcPr>
            <w:tcW w:w="851"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3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309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好氧堆肥处置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5"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141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养殖过程</w:t>
            </w:r>
          </w:p>
        </w:tc>
        <w:tc>
          <w:tcPr>
            <w:tcW w:w="103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病死猪、母猪胎盘</w:t>
            </w:r>
          </w:p>
        </w:tc>
        <w:tc>
          <w:tcPr>
            <w:tcW w:w="992"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13.09</w:t>
            </w:r>
          </w:p>
        </w:tc>
        <w:tc>
          <w:tcPr>
            <w:tcW w:w="851"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3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309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无害化处理后作有机肥</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5"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141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无害化过程</w:t>
            </w:r>
          </w:p>
        </w:tc>
        <w:tc>
          <w:tcPr>
            <w:tcW w:w="103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固体残渣</w:t>
            </w:r>
          </w:p>
        </w:tc>
        <w:tc>
          <w:tcPr>
            <w:tcW w:w="992"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1.3</w:t>
            </w:r>
          </w:p>
        </w:tc>
        <w:tc>
          <w:tcPr>
            <w:tcW w:w="851"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3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309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好氧堆肥处置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5"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141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疾病防疫</w:t>
            </w:r>
          </w:p>
        </w:tc>
        <w:tc>
          <w:tcPr>
            <w:tcW w:w="103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医疗废物</w:t>
            </w:r>
          </w:p>
        </w:tc>
        <w:tc>
          <w:tcPr>
            <w:tcW w:w="992" w:type="dxa"/>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0.075</w:t>
            </w:r>
          </w:p>
        </w:tc>
        <w:tc>
          <w:tcPr>
            <w:tcW w:w="851"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3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危险废物</w:t>
            </w:r>
          </w:p>
        </w:tc>
        <w:tc>
          <w:tcPr>
            <w:tcW w:w="3094" w:type="dxa"/>
            <w:vAlign w:val="center"/>
          </w:tcPr>
          <w:p>
            <w:pPr>
              <w:pStyle w:val="332"/>
              <w:rPr>
                <w:color w:val="000000" w:themeColor="text1"/>
                <w:highlight w:val="yellow"/>
                <w14:textFill>
                  <w14:solidFill>
                    <w14:schemeClr w14:val="tx1"/>
                  </w14:solidFill>
                </w14:textFill>
              </w:rPr>
            </w:pPr>
            <w:r>
              <w:rPr>
                <w:color w:val="000000" w:themeColor="text1"/>
                <w:spacing w:val="-2"/>
                <w14:textFill>
                  <w14:solidFill>
                    <w14:schemeClr w14:val="tx1"/>
                  </w14:solidFill>
                </w14:textFill>
              </w:rPr>
              <w:t>暂存于医疗废物暂存间，定期交由有</w:t>
            </w:r>
            <w:r>
              <w:rPr>
                <w:color w:val="000000" w:themeColor="text1"/>
                <w14:textFill>
                  <w14:solidFill>
                    <w14:schemeClr w14:val="tx1"/>
                  </w14:solidFill>
                </w14:textFill>
              </w:rPr>
              <w:t>资质的单位处置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5"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w:t>
            </w:r>
          </w:p>
        </w:tc>
        <w:tc>
          <w:tcPr>
            <w:tcW w:w="141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沼气脱硫装置</w:t>
            </w:r>
          </w:p>
        </w:tc>
        <w:tc>
          <w:tcPr>
            <w:tcW w:w="103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废脱硫剂</w:t>
            </w:r>
          </w:p>
        </w:tc>
        <w:tc>
          <w:tcPr>
            <w:tcW w:w="992" w:type="dxa"/>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0.039</w:t>
            </w:r>
          </w:p>
        </w:tc>
        <w:tc>
          <w:tcPr>
            <w:tcW w:w="851"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3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一般固废</w:t>
            </w:r>
          </w:p>
        </w:tc>
        <w:tc>
          <w:tcPr>
            <w:tcW w:w="309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由生产厂家统一回收处置</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35"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w:t>
            </w:r>
          </w:p>
        </w:tc>
        <w:tc>
          <w:tcPr>
            <w:tcW w:w="141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职工生活</w:t>
            </w:r>
          </w:p>
        </w:tc>
        <w:tc>
          <w:tcPr>
            <w:tcW w:w="103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992" w:type="dxa"/>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5.48</w:t>
            </w:r>
          </w:p>
        </w:tc>
        <w:tc>
          <w:tcPr>
            <w:tcW w:w="851"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3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3094"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交由环卫部门处理</w:t>
            </w:r>
          </w:p>
        </w:tc>
      </w:tr>
    </w:tbl>
    <w:p>
      <w:pPr>
        <w:pStyle w:val="4"/>
        <w:rPr>
          <w:rFonts w:cs="Times New Roman"/>
          <w:color w:val="000000" w:themeColor="text1"/>
          <w14:textFill>
            <w14:solidFill>
              <w14:schemeClr w14:val="tx1"/>
            </w14:solidFill>
          </w14:textFill>
        </w:rPr>
      </w:pPr>
      <w:bookmarkStart w:id="578" w:name="_Toc91163939"/>
      <w:r>
        <w:rPr>
          <w:rFonts w:cs="Times New Roman"/>
          <w:color w:val="000000" w:themeColor="text1"/>
          <w14:textFill>
            <w14:solidFill>
              <w14:schemeClr w14:val="tx1"/>
            </w14:solidFill>
          </w14:textFill>
        </w:rPr>
        <w:t>5.6.2 固体废物污染途径</w:t>
      </w:r>
      <w:bookmarkEnd w:id="578"/>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本工程生产过程中产生的固体废物如处置不当，将会对周围环境造成影响，主要表现在以下几方面：</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占用土地、污染土壤、危害植物：堆放固体废弃物需要占用大量土地，同时，由于长期堆积，在风吹、日晒、雨淋等自然风化作用下，使固体废弃物中的危害性物质进入土壤，从而使土壤被化学物质、病原体等污染，导致土壤结构改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这种污染还将影响土壤中微生物的生长活动，有碍植物根系增长，或在植物体内积蓄，通过食物链使各种有害物质进入人体，危及人体健康；</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（2）对水环境的污染：排放的固体废弃物经雨水淋溶等会形成沉积物、悬浮物、可溶物随排水途径进入地表水体或地下水体而产生污染影响；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（3）对大气环境的污染：固体废弃物能够通过散发恶臭、微粒扩散等方式污染大气环境。特别是在较大的风力作用下一般可剥离1~15cm 细粒灰尘，其飞扬高度可达20~50cm，形成大气污染；</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（4）对生态环境的影响：固废处置对生态环境的影响主要表现为堆存占地对处置场地表植被的破坏以及由于长期堆积时导致土壤结构改变防碍植物生长；</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（5）影响人群健康：含有机物的固体废弃物是苍蝇、蚊虫及致病细菌孽生、繁衍、鼠类肆虐的场所，是流行病的重要发生源，对人群健康造成极大威胁。</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综上所述，固体废弃物的长期堆放，会使堆存场地及其周围发生物理的、化学的、生物的变化，对周围环境造成严重污染，进而危害人体健康。</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本项目采取的各项固体废弃物处置措施基本可行，体现了固体废物资源化、无害化、减量化的处理原则，只要在工作中，将各项处理措施落实到实处，认真执行，可将固体废弃物对环境的污染降低到最小程度。</w:t>
      </w:r>
    </w:p>
    <w:p>
      <w:pPr>
        <w:pStyle w:val="4"/>
        <w:rPr>
          <w:rFonts w:cs="Times New Roman"/>
          <w:color w:val="000000" w:themeColor="text1"/>
          <w14:textFill>
            <w14:solidFill>
              <w14:schemeClr w14:val="tx1"/>
            </w14:solidFill>
          </w14:textFill>
        </w:rPr>
      </w:pPr>
      <w:bookmarkStart w:id="579" w:name="_Toc91163940"/>
      <w:r>
        <w:rPr>
          <w:rFonts w:cs="Times New Roman"/>
          <w:color w:val="000000" w:themeColor="text1"/>
          <w14:textFill>
            <w14:solidFill>
              <w14:schemeClr w14:val="tx1"/>
            </w14:solidFill>
          </w14:textFill>
        </w:rPr>
        <w:t>5.6.3 固体废物影响分析</w:t>
      </w:r>
      <w:bookmarkEnd w:id="579"/>
    </w:p>
    <w:p>
      <w:pPr>
        <w:ind w:firstLine="480"/>
        <w:rPr>
          <w:rFonts w:cs="Times New Roman"/>
          <w:color w:val="000000" w:themeColor="text1"/>
          <w:kern w:val="0"/>
          <w:szCs w:val="24"/>
          <w14:textFill>
            <w14:solidFill>
              <w14:schemeClr w14:val="tx1"/>
            </w14:solidFill>
          </w14:textFill>
        </w:rPr>
      </w:pPr>
      <w:r>
        <w:rPr>
          <w:rFonts w:cs="Times New Roman"/>
          <w:color w:val="000000" w:themeColor="text1"/>
          <w14:textFill>
            <w14:solidFill>
              <w14:schemeClr w14:val="tx1"/>
            </w14:solidFill>
          </w14:textFill>
        </w:rPr>
        <w:t>根据“关于进一步加强畜禽养殖污染防治工作的通知（环水体[2016]144号）”可知，</w:t>
      </w:r>
      <w:r>
        <w:rPr>
          <w:rFonts w:cs="Times New Roman"/>
          <w:color w:val="000000" w:themeColor="text1"/>
          <w:kern w:val="0"/>
          <w:szCs w:val="24"/>
          <w14:textFill>
            <w14:solidFill>
              <w14:schemeClr w14:val="tx1"/>
            </w14:solidFill>
          </w14:textFill>
        </w:rPr>
        <w:t>要大力推进养殖废弃物综合利用，发展多种形式的畜禽生态养殖，推广农牧结合、种养平衡、生态循环的发展模式，促进粪便等废弃物综合利用。根据以上通知的核心思想，特提出以下各项固体废弃物应采取的措施。</w:t>
      </w:r>
    </w:p>
    <w:p>
      <w:pPr>
        <w:pStyle w:val="5"/>
        <w:rPr>
          <w:color w:val="000000" w:themeColor="text1"/>
          <w14:textFill>
            <w14:solidFill>
              <w14:schemeClr w14:val="tx1"/>
            </w14:solidFill>
          </w14:textFill>
        </w:rPr>
      </w:pPr>
      <w:r>
        <w:rPr>
          <w:color w:val="000000" w:themeColor="text1"/>
          <w14:textFill>
            <w14:solidFill>
              <w14:schemeClr w14:val="tx1"/>
            </w14:solidFill>
          </w14:textFill>
        </w:rPr>
        <w:t>5.6.3.1猪粪、沼渣、固体残余物（无害化处理）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猪粪中含有大量的氮磷化合物，未经处理的粪便中的一部分氮以氨的形式挥发到大气中，增加了大气中氨的含量，氨可转化为氮氧化物，使空气质量下降，严重时导致酸雨，危害环境。畜禽粪便中的氮磷流失量大于化肥氮磷流失量，是造成农村污染的主要原因之一。若不及时清理，就会通过地表径流，汇入地表水体，大量的氮、磷流入会导致水体富营养化。</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项目猪粪产生量1501.91 t/a，猪粪中含有大量的有机物和丰富的氮、磷、钾等营养物质，是农业可持续发展的宝贵资源。猪粪经固液分离机分离，分离出90%的猪粪收集后运至有机肥粪棚堆肥。剩余的10%进入粪污处理区进行厌氧发酵，厌氧发酵沼渣产生量为750.95 t/a，沼渣收集后运至有机肥粪棚堆肥。</w:t>
      </w:r>
    </w:p>
    <w:p>
      <w:pPr>
        <w:pStyle w:val="5"/>
        <w:rPr>
          <w:color w:val="000000" w:themeColor="text1"/>
          <w14:textFill>
            <w14:solidFill>
              <w14:schemeClr w14:val="tx1"/>
            </w14:solidFill>
          </w14:textFill>
        </w:rPr>
      </w:pPr>
      <w:r>
        <w:rPr>
          <w:color w:val="000000" w:themeColor="text1"/>
          <w14:textFill>
            <w14:solidFill>
              <w14:schemeClr w14:val="tx1"/>
            </w14:solidFill>
          </w14:textFill>
        </w:rPr>
        <w:t>5.6.3.2病死猪、母猪胎盘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本项目病死猪及母猪胎盘年产生量为13.09 t/a，病死猪处理间设1台处理能力为1.3t/d的无害化降解机，对病死猪及分娩物进行分切、绞碎、发酵、杀菌、干燥五大步骤，在专用微生物菌的作用下，将动物尸体及其废弃物转化为无害粉状有机原料。本项目无害化处理机年处理能力为1.3 t/d，可以随时对病死猪等有机废弃物进行无害化处理，处理能力可满足项目需求。</w:t>
      </w:r>
    </w:p>
    <w:p>
      <w:pPr>
        <w:pStyle w:val="5"/>
        <w:rPr>
          <w:color w:val="000000" w:themeColor="text1"/>
          <w14:textFill>
            <w14:solidFill>
              <w14:schemeClr w14:val="tx1"/>
            </w14:solidFill>
          </w14:textFill>
        </w:rPr>
      </w:pPr>
      <w:r>
        <w:rPr>
          <w:color w:val="000000" w:themeColor="text1"/>
          <w14:textFill>
            <w14:solidFill>
              <w14:schemeClr w14:val="tx1"/>
            </w14:solidFill>
          </w14:textFill>
        </w:rPr>
        <w:t>5.6.3.3医疗垃圾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项目医疗垃圾的产生量约0.075 t/a，主要为防治动物传染病而需要收集和处置的废物（危险废物类别HW01，代码900-001-01）。</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评要求建设单位设医疗废物暂存间用来储存医疗废物，对其产生的医疗垃圾采取分类收集，装入专用的密封袋中，置于医疗废物暂存间，最终由有资质的单位处置，不得用于其他任何用途。本项目危险废物汇总情况详见表5.6-2。</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表5.6-2 项目运营期危险废物汇总表</w:t>
      </w:r>
    </w:p>
    <w:p>
      <w:pPr>
        <w:kinsoku w:val="0"/>
        <w:overflowPunct w:val="0"/>
        <w:autoSpaceDE w:val="0"/>
        <w:autoSpaceDN w:val="0"/>
        <w:adjustRightInd w:val="0"/>
        <w:spacing w:line="240" w:lineRule="auto"/>
        <w:ind w:firstLine="0" w:firstLineChars="0"/>
        <w:jc w:val="left"/>
        <w:rPr>
          <w:rFonts w:cs="Times New Roman"/>
          <w:color w:val="000000" w:themeColor="text1"/>
          <w:kern w:val="0"/>
          <w:sz w:val="6"/>
          <w:szCs w:val="6"/>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000000" w:sz="4" w:space="0"/>
        </w:tblBorders>
        <w:tblLayout w:type="autofit"/>
        <w:tblCellMar>
          <w:top w:w="0" w:type="dxa"/>
          <w:left w:w="0" w:type="dxa"/>
          <w:bottom w:w="0" w:type="dxa"/>
          <w:right w:w="0" w:type="dxa"/>
        </w:tblCellMar>
      </w:tblPr>
      <w:tblGrid>
        <w:gridCol w:w="545"/>
        <w:gridCol w:w="576"/>
        <w:gridCol w:w="715"/>
        <w:gridCol w:w="856"/>
        <w:gridCol w:w="998"/>
        <w:gridCol w:w="714"/>
        <w:gridCol w:w="858"/>
        <w:gridCol w:w="858"/>
        <w:gridCol w:w="572"/>
        <w:gridCol w:w="570"/>
        <w:gridCol w:w="1839"/>
      </w:tblGrid>
      <w:tr>
        <w:tblPrEx>
          <w:tblBorders>
            <w:top w:val="single" w:color="auto" w:sz="12" w:space="0"/>
            <w:left w:val="single" w:color="auto" w:sz="12" w:space="0"/>
            <w:bottom w:val="single" w:color="auto" w:sz="12" w:space="0"/>
            <w:right w:val="single" w:color="auto" w:sz="12" w:space="0"/>
            <w:insideH w:val="single" w:color="auto" w:sz="12" w:space="0"/>
            <w:insideV w:val="single" w:color="000000" w:sz="4" w:space="0"/>
          </w:tblBorders>
          <w:tblCellMar>
            <w:top w:w="0" w:type="dxa"/>
            <w:left w:w="0" w:type="dxa"/>
            <w:bottom w:w="0" w:type="dxa"/>
            <w:right w:w="0" w:type="dxa"/>
          </w:tblCellMar>
        </w:tblPrEx>
        <w:trPr>
          <w:trHeight w:val="397" w:hRule="atLeast"/>
        </w:trPr>
        <w:tc>
          <w:tcPr>
            <w:tcW w:w="30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危废名称</w:t>
            </w:r>
          </w:p>
        </w:tc>
        <w:tc>
          <w:tcPr>
            <w:tcW w:w="31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危废</w:t>
            </w:r>
            <w:r>
              <w:rPr>
                <w:color w:val="000000" w:themeColor="text1"/>
                <w:spacing w:val="-103"/>
                <w14:textFill>
                  <w14:solidFill>
                    <w14:schemeClr w14:val="tx1"/>
                  </w14:solidFill>
                </w14:textFill>
              </w:rPr>
              <w:t xml:space="preserve"> </w:t>
            </w:r>
            <w:r>
              <w:rPr>
                <w:color w:val="000000" w:themeColor="text1"/>
                <w14:textFill>
                  <w14:solidFill>
                    <w14:schemeClr w14:val="tx1"/>
                  </w14:solidFill>
                </w14:textFill>
              </w:rPr>
              <w:t>类别</w:t>
            </w:r>
          </w:p>
        </w:tc>
        <w:tc>
          <w:tcPr>
            <w:tcW w:w="39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危废代码</w:t>
            </w: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产生量</w:t>
            </w:r>
          </w:p>
          <w:p>
            <w:pPr>
              <w:pStyle w:val="332"/>
              <w:rPr>
                <w:color w:val="000000" w:themeColor="text1"/>
                <w14:textFill>
                  <w14:solidFill>
                    <w14:schemeClr w14:val="tx1"/>
                  </w14:solidFill>
                </w14:textFill>
              </w:rPr>
            </w:pPr>
            <w:r>
              <w:rPr>
                <w:color w:val="000000" w:themeColor="text1"/>
                <w14:textFill>
                  <w14:solidFill>
                    <w14:schemeClr w14:val="tx1"/>
                  </w14:solidFill>
                </w14:textFill>
              </w:rPr>
              <w:t>（t/a）</w:t>
            </w:r>
          </w:p>
        </w:tc>
        <w:tc>
          <w:tcPr>
            <w:tcW w:w="5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产生工序及装置</w:t>
            </w:r>
          </w:p>
        </w:tc>
        <w:tc>
          <w:tcPr>
            <w:tcW w:w="39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形态</w:t>
            </w: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主要</w:t>
            </w:r>
            <w:r>
              <w:rPr>
                <w:color w:val="000000" w:themeColor="text1"/>
                <w:spacing w:val="-103"/>
                <w14:textFill>
                  <w14:solidFill>
                    <w14:schemeClr w14:val="tx1"/>
                  </w14:solidFill>
                </w14:textFill>
              </w:rPr>
              <w:t xml:space="preserve"> </w:t>
            </w:r>
            <w:r>
              <w:rPr>
                <w:color w:val="000000" w:themeColor="text1"/>
                <w14:textFill>
                  <w14:solidFill>
                    <w14:schemeClr w14:val="tx1"/>
                  </w14:solidFill>
                </w14:textFill>
              </w:rPr>
              <w:t>成分</w:t>
            </w: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有害成分</w:t>
            </w:r>
          </w:p>
        </w:tc>
        <w:tc>
          <w:tcPr>
            <w:tcW w:w="31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产废周期</w:t>
            </w:r>
          </w:p>
        </w:tc>
        <w:tc>
          <w:tcPr>
            <w:tcW w:w="31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101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污染防</w:t>
            </w:r>
            <w:r>
              <w:rPr>
                <w:color w:val="000000" w:themeColor="text1"/>
                <w:spacing w:val="-102"/>
                <w14:textFill>
                  <w14:solidFill>
                    <w14:schemeClr w14:val="tx1"/>
                  </w14:solidFill>
                </w14:textFill>
              </w:rPr>
              <w:t xml:space="preserve"> </w:t>
            </w:r>
            <w:r>
              <w:rPr>
                <w:color w:val="000000" w:themeColor="text1"/>
                <w14:textFill>
                  <w14:solidFill>
                    <w14:schemeClr w14:val="tx1"/>
                  </w14:solidFill>
                </w14:textFill>
              </w:rPr>
              <w:t>治措施</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000000" w:sz="4" w:space="0"/>
          </w:tblBorders>
          <w:tblCellMar>
            <w:top w:w="0" w:type="dxa"/>
            <w:left w:w="0" w:type="dxa"/>
            <w:bottom w:w="0" w:type="dxa"/>
            <w:right w:w="0" w:type="dxa"/>
          </w:tblCellMar>
        </w:tblPrEx>
        <w:trPr>
          <w:trHeight w:val="397" w:hRule="atLeast"/>
        </w:trPr>
        <w:tc>
          <w:tcPr>
            <w:tcW w:w="30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医疗</w:t>
            </w:r>
            <w:r>
              <w:rPr>
                <w:color w:val="000000" w:themeColor="text1"/>
                <w:spacing w:val="-103"/>
                <w14:textFill>
                  <w14:solidFill>
                    <w14:schemeClr w14:val="tx1"/>
                  </w14:solidFill>
                </w14:textFill>
              </w:rPr>
              <w:t xml:space="preserve"> </w:t>
            </w:r>
            <w:r>
              <w:rPr>
                <w:color w:val="000000" w:themeColor="text1"/>
                <w14:textFill>
                  <w14:solidFill>
                    <w14:schemeClr w14:val="tx1"/>
                  </w14:solidFill>
                </w14:textFill>
              </w:rPr>
              <w:t>废物</w:t>
            </w:r>
          </w:p>
        </w:tc>
        <w:tc>
          <w:tcPr>
            <w:tcW w:w="31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HW01</w:t>
            </w:r>
          </w:p>
        </w:tc>
        <w:tc>
          <w:tcPr>
            <w:tcW w:w="39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900-001-01</w:t>
            </w:r>
          </w:p>
        </w:tc>
        <w:tc>
          <w:tcPr>
            <w:tcW w:w="4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0.075</w:t>
            </w:r>
          </w:p>
        </w:tc>
        <w:tc>
          <w:tcPr>
            <w:tcW w:w="54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病猪治疗及常规检测过程中</w:t>
            </w:r>
          </w:p>
        </w:tc>
        <w:tc>
          <w:tcPr>
            <w:tcW w:w="39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固态</w:t>
            </w: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医疗纱布、针头等</w:t>
            </w:r>
          </w:p>
        </w:tc>
        <w:tc>
          <w:tcPr>
            <w:tcW w:w="4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有害细菌和病毒、药物等</w:t>
            </w:r>
          </w:p>
        </w:tc>
        <w:tc>
          <w:tcPr>
            <w:tcW w:w="31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养殖过</w:t>
            </w:r>
            <w:r>
              <w:rPr>
                <w:color w:val="000000" w:themeColor="text1"/>
                <w:spacing w:val="-102"/>
                <w14:textFill>
                  <w14:solidFill>
                    <w14:schemeClr w14:val="tx1"/>
                  </w14:solidFill>
                </w14:textFill>
              </w:rPr>
              <w:t xml:space="preserve"> </w:t>
            </w:r>
            <w:r>
              <w:rPr>
                <w:color w:val="000000" w:themeColor="text1"/>
                <w14:textFill>
                  <w14:solidFill>
                    <w14:schemeClr w14:val="tx1"/>
                  </w14:solidFill>
                </w14:textFill>
              </w:rPr>
              <w:t>程间歇</w:t>
            </w:r>
            <w:r>
              <w:rPr>
                <w:color w:val="000000" w:themeColor="text1"/>
                <w:spacing w:val="-102"/>
                <w14:textFill>
                  <w14:solidFill>
                    <w14:schemeClr w14:val="tx1"/>
                  </w14:solidFill>
                </w14:textFill>
              </w:rPr>
              <w:t xml:space="preserve"> </w:t>
            </w:r>
            <w:r>
              <w:rPr>
                <w:color w:val="000000" w:themeColor="text1"/>
                <w14:textFill>
                  <w14:solidFill>
                    <w14:schemeClr w14:val="tx1"/>
                  </w14:solidFill>
                </w14:textFill>
              </w:rPr>
              <w:t>产生</w:t>
            </w:r>
          </w:p>
        </w:tc>
        <w:tc>
          <w:tcPr>
            <w:tcW w:w="31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I</w:t>
            </w:r>
          </w:p>
        </w:tc>
        <w:tc>
          <w:tcPr>
            <w:tcW w:w="101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贮存于医疗废物暂存间，委托有资质</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单位定期回收处理</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根据《建设项目危险废物环境影响评价指南》（环保部公告2017年第43号），医疗废物环境影响分析及相关措施如下：医疗废物暂存间布置于办公楼南侧，建筑面积10m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，完全可满足医疗废物至少40 d的贮存量，能满足《危险废物贮存污染控制标准》（GB18597-2001）及2013修改单的要求；医疗废物从场区内产生工艺环节运输到医疗废物暂存间可能产生散落、泄漏，对散落、泄漏的医疗废物要及时收集并运至医疗废物暂存间，防止对土壤及地下水产生影响；医疗废物委托有相应资质的单位安全处置，并与其签订处置协议；医疗废物暂存间应采取四防措施，即防风、防雨、防晒、防渗漏，并设置警示标志。</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本项目医疗废物暂存间基本情况见表5.6-3。</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表5.6-3 本项目医疗废物暂存间及暂存设施基本情况表</w:t>
      </w:r>
    </w:p>
    <w:p>
      <w:pPr>
        <w:kinsoku w:val="0"/>
        <w:overflowPunct w:val="0"/>
        <w:autoSpaceDE w:val="0"/>
        <w:autoSpaceDN w:val="0"/>
        <w:adjustRightInd w:val="0"/>
        <w:spacing w:before="7" w:line="240" w:lineRule="auto"/>
        <w:ind w:firstLine="0" w:firstLineChars="0"/>
        <w:jc w:val="left"/>
        <w:rPr>
          <w:rFonts w:cs="Times New Roman"/>
          <w:color w:val="000000" w:themeColor="text1"/>
          <w:kern w:val="0"/>
          <w:sz w:val="9"/>
          <w:szCs w:val="9"/>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526"/>
        <w:gridCol w:w="1170"/>
        <w:gridCol w:w="857"/>
        <w:gridCol w:w="1058"/>
        <w:gridCol w:w="892"/>
        <w:gridCol w:w="1090"/>
        <w:gridCol w:w="841"/>
        <w:gridCol w:w="1542"/>
        <w:gridCol w:w="572"/>
        <w:gridCol w:w="553"/>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643"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471"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危险废物名称</w:t>
            </w:r>
          </w:p>
        </w:tc>
        <w:tc>
          <w:tcPr>
            <w:tcW w:w="581"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危险废物类别</w:t>
            </w:r>
          </w:p>
        </w:tc>
        <w:tc>
          <w:tcPr>
            <w:tcW w:w="490"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危险废物代码</w:t>
            </w:r>
          </w:p>
        </w:tc>
        <w:tc>
          <w:tcPr>
            <w:tcW w:w="59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位置</w:t>
            </w:r>
          </w:p>
        </w:tc>
        <w:tc>
          <w:tcPr>
            <w:tcW w:w="46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占地</w:t>
            </w:r>
          </w:p>
          <w:p>
            <w:pPr>
              <w:pStyle w:val="332"/>
              <w:rPr>
                <w:color w:val="000000" w:themeColor="text1"/>
                <w14:textFill>
                  <w14:solidFill>
                    <w14:schemeClr w14:val="tx1"/>
                  </w14:solidFill>
                </w14:textFill>
              </w:rPr>
            </w:pPr>
            <w:r>
              <w:rPr>
                <w:color w:val="000000" w:themeColor="text1"/>
                <w14:textFill>
                  <w14:solidFill>
                    <w14:schemeClr w14:val="tx1"/>
                  </w14:solidFill>
                </w14:textFill>
              </w:rPr>
              <w:t>面积</w:t>
            </w:r>
          </w:p>
        </w:tc>
        <w:tc>
          <w:tcPr>
            <w:tcW w:w="84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贮存方式</w:t>
            </w:r>
          </w:p>
        </w:tc>
        <w:tc>
          <w:tcPr>
            <w:tcW w:w="31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贮存能力</w:t>
            </w:r>
          </w:p>
        </w:tc>
        <w:tc>
          <w:tcPr>
            <w:tcW w:w="30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贮存周期</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89"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643"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医疗废物暂存间</w:t>
            </w:r>
          </w:p>
        </w:tc>
        <w:tc>
          <w:tcPr>
            <w:tcW w:w="471"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防疫垃圾</w:t>
            </w:r>
          </w:p>
        </w:tc>
        <w:tc>
          <w:tcPr>
            <w:tcW w:w="581"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HW01</w:t>
            </w:r>
          </w:p>
        </w:tc>
        <w:tc>
          <w:tcPr>
            <w:tcW w:w="490"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HW900-001-01</w:t>
            </w:r>
          </w:p>
        </w:tc>
        <w:tc>
          <w:tcPr>
            <w:tcW w:w="599"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办公楼南侧</w:t>
            </w:r>
          </w:p>
        </w:tc>
        <w:tc>
          <w:tcPr>
            <w:tcW w:w="46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10m</w:t>
            </w:r>
            <w:r>
              <w:rPr>
                <w:color w:val="000000" w:themeColor="text1"/>
                <w:vertAlign w:val="superscript"/>
                <w14:textFill>
                  <w14:solidFill>
                    <w14:schemeClr w14:val="tx1"/>
                  </w14:solidFill>
                </w14:textFill>
              </w:rPr>
              <w:t>2</w:t>
            </w:r>
          </w:p>
        </w:tc>
        <w:tc>
          <w:tcPr>
            <w:tcW w:w="84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专用收集桶收集</w:t>
            </w:r>
          </w:p>
        </w:tc>
        <w:tc>
          <w:tcPr>
            <w:tcW w:w="31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0.50 t</w:t>
            </w:r>
          </w:p>
        </w:tc>
        <w:tc>
          <w:tcPr>
            <w:tcW w:w="30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1月</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医疗废物的贮存、转移、管理应符合《危险废物贮存污染控制标准》（GB18597-2001）及《危险废物转移联单管理办法》（国家环境保护总局令第5号）的要求，结合《医疗废物集中处置技术规范（试行）》（环发[2003]206号）规定，医疗废物暂存间应满足下述要求：</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1、医疗废物暂存间的建设要求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本项目设置1间医疗废物暂存间。是专门用来储存医疗废物，不得用于其他任何用途。根据《医疗废物集中处置技术规范》规定，医疗废物暂存间应满足下述要求：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A、必须与生活垃圾存放地分开，贮存设施应封闭，以防风、防雨、防日晒；</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B、设置灭火器等防火设备，做好火灾的预防工作；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C、应有严密的封闭措施，设专人管理，避免非工作人员进出，以及防盗等安全措施；在医疗废物暂存间内应有安全照明设施及安全防护设施，环保部门应对贮存设施及危险废物进行定期检查。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D、地面和墙裙须进行防渗处理；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E、应按GB15562.2 和卫生、环保部门制定的专用医疗废物警示标识要求，在医疗废物暂存间外的明显处同时设置医疗废物的警示标识。</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2、医疗废物收集方法</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医疗废物收集采用专用容器，明确各类废物标识，分类包装，分类堆放，并本着及时、方便、安全、快捷的原则，进行收集。感染性废物、药物性废物及化学性废物等不能混合收集。放入包装物或者容器内的感染性废物、病理性废物、损伤性废物不得取出。当盛装的医疗废物达到包装物或者容器的3/4时，应当使用有效的封口方式，使包装物或者容器的封口紧实、严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所有锐利物必须单独存放，并同意按医学废物处理。收集锐利物品包装容器必须使用硬质、防漏、防刺破材料。针或刀应保存在有明显标记、防泄漏、防刺破的容器内。处理含有锐利物品的感染性医疗垃圾时应使用防刺破手套。</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另外，有害化学废物不能与一般废物、无害化学废物或感染性废物相混合。稀释通常不能使有害化学废物的毒性减低。有害化学废物在产生后应分别收集、运输、贮存和处理；必需混合时，应注意不兼容性。为保证有害废料在产生、堆积和保存期间不发生意外、泄漏、破损等，应采取必要的控制措施，如：通风措施、相对封闭及隔离系统、安全措施、防火措施和安全通道。在化学废料的产生、处理、堆积和保存期间，对期包装及标签要求如下：根据废物种类使用废物容器、使用“有害废物”的标签或标记、在任何时候都确保废物容器的密闭性。采用有皱的包装材料包装易碎的玻璃和塑料制品，在包装中同时加入吸附性材料。</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D、医疗垃圾分类包装要求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医疗废物严格按《医疗废物集中处置技术规范》及《医疗废物管理条例》进行分类及处置。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对医疗废物的管理应从医疗废物的产生地开始，在废物源头就地分类收集、贴标签、包装。分类收集医疗废物包装袋、容器的要求见表5.6-4。</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表5.6-4 医疗废物包装物和容器的要求</w:t>
      </w:r>
    </w:p>
    <w:p>
      <w:pPr>
        <w:kinsoku w:val="0"/>
        <w:overflowPunct w:val="0"/>
        <w:autoSpaceDE w:val="0"/>
        <w:autoSpaceDN w:val="0"/>
        <w:adjustRightInd w:val="0"/>
        <w:spacing w:before="7" w:line="240" w:lineRule="auto"/>
        <w:ind w:firstLine="0" w:firstLineChars="0"/>
        <w:jc w:val="left"/>
        <w:rPr>
          <w:rFonts w:cs="Times New Roman"/>
          <w:color w:val="000000" w:themeColor="text1"/>
          <w:kern w:val="0"/>
          <w:sz w:val="5"/>
          <w:szCs w:val="5"/>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1840"/>
        <w:gridCol w:w="2709"/>
        <w:gridCol w:w="4552"/>
      </w:tblGrid>
      <w:tr>
        <w:tblPrEx>
          <w:tblCellMar>
            <w:top w:w="0" w:type="dxa"/>
            <w:left w:w="0" w:type="dxa"/>
            <w:bottom w:w="0" w:type="dxa"/>
            <w:right w:w="0" w:type="dxa"/>
          </w:tblCellMar>
        </w:tblPrEx>
        <w:trPr>
          <w:trHeight w:val="397" w:hRule="atLeast"/>
        </w:trPr>
        <w:tc>
          <w:tcPr>
            <w:tcW w:w="1011" w:type="pct"/>
            <w:tcBorders>
              <w:top w:val="single" w:color="auto" w:sz="12" w:space="0"/>
              <w:left w:val="single" w:color="auto"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医疗废物种类</w:t>
            </w:r>
          </w:p>
        </w:tc>
        <w:tc>
          <w:tcPr>
            <w:tcW w:w="1488"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容器标记及颜色</w:t>
            </w:r>
          </w:p>
        </w:tc>
        <w:tc>
          <w:tcPr>
            <w:tcW w:w="2500" w:type="pct"/>
            <w:tcBorders>
              <w:top w:val="single" w:color="auto" w:sz="12" w:space="0"/>
              <w:left w:val="single" w:color="000000" w:sz="6"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容器种类和要求</w:t>
            </w:r>
          </w:p>
        </w:tc>
      </w:tr>
      <w:tr>
        <w:tblPrEx>
          <w:tblCellMar>
            <w:top w:w="0" w:type="dxa"/>
            <w:left w:w="0" w:type="dxa"/>
            <w:bottom w:w="0" w:type="dxa"/>
            <w:right w:w="0" w:type="dxa"/>
          </w:tblCellMar>
        </w:tblPrEx>
        <w:trPr>
          <w:trHeight w:val="397" w:hRule="atLeast"/>
        </w:trPr>
        <w:tc>
          <w:tcPr>
            <w:tcW w:w="1011" w:type="pct"/>
            <w:tcBorders>
              <w:top w:val="single" w:color="auto" w:sz="12"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感染性废物</w:t>
            </w:r>
          </w:p>
        </w:tc>
        <w:tc>
          <w:tcPr>
            <w:tcW w:w="1488" w:type="pct"/>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注明“感染性废物”，黄色</w:t>
            </w:r>
          </w:p>
        </w:tc>
        <w:tc>
          <w:tcPr>
            <w:tcW w:w="2500" w:type="pct"/>
            <w:tcBorders>
              <w:top w:val="single" w:color="auto" w:sz="12"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防渗漏、可封闭的塑料袋或容器</w:t>
            </w:r>
          </w:p>
        </w:tc>
      </w:tr>
      <w:tr>
        <w:tblPrEx>
          <w:tblCellMar>
            <w:top w:w="0" w:type="dxa"/>
            <w:left w:w="0" w:type="dxa"/>
            <w:bottom w:w="0" w:type="dxa"/>
            <w:right w:w="0" w:type="dxa"/>
          </w:tblCellMar>
        </w:tblPrEx>
        <w:trPr>
          <w:trHeight w:val="397" w:hRule="atLeast"/>
        </w:trPr>
        <w:tc>
          <w:tcPr>
            <w:tcW w:w="1011" w:type="pct"/>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病理性废物</w:t>
            </w:r>
          </w:p>
        </w:tc>
        <w:tc>
          <w:tcPr>
            <w:tcW w:w="1488"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注明“病理性废物”，黄色</w:t>
            </w:r>
          </w:p>
        </w:tc>
        <w:tc>
          <w:tcPr>
            <w:tcW w:w="2500"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防渗漏、可封闭的塑料袋或容器</w:t>
            </w:r>
          </w:p>
        </w:tc>
      </w:tr>
      <w:tr>
        <w:tblPrEx>
          <w:tblCellMar>
            <w:top w:w="0" w:type="dxa"/>
            <w:left w:w="0" w:type="dxa"/>
            <w:bottom w:w="0" w:type="dxa"/>
            <w:right w:w="0" w:type="dxa"/>
          </w:tblCellMar>
        </w:tblPrEx>
        <w:trPr>
          <w:trHeight w:val="397" w:hRule="atLeast"/>
        </w:trPr>
        <w:tc>
          <w:tcPr>
            <w:tcW w:w="1011" w:type="pct"/>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锐器</w:t>
            </w:r>
          </w:p>
        </w:tc>
        <w:tc>
          <w:tcPr>
            <w:tcW w:w="1488"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注明“锐器”，黄色</w:t>
            </w:r>
          </w:p>
        </w:tc>
        <w:tc>
          <w:tcPr>
            <w:tcW w:w="2500"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不易刺破，防渗漏、可封闭的容器（锐器盒）</w:t>
            </w:r>
          </w:p>
        </w:tc>
      </w:tr>
      <w:tr>
        <w:tblPrEx>
          <w:tblCellMar>
            <w:top w:w="0" w:type="dxa"/>
            <w:left w:w="0" w:type="dxa"/>
            <w:bottom w:w="0" w:type="dxa"/>
            <w:right w:w="0" w:type="dxa"/>
          </w:tblCellMar>
        </w:tblPrEx>
        <w:trPr>
          <w:trHeight w:val="397" w:hRule="atLeast"/>
        </w:trPr>
        <w:tc>
          <w:tcPr>
            <w:tcW w:w="1011" w:type="pct"/>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药物性废物</w:t>
            </w:r>
          </w:p>
        </w:tc>
        <w:tc>
          <w:tcPr>
            <w:tcW w:w="1488"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注明“药物性废物”，褐色</w:t>
            </w:r>
          </w:p>
        </w:tc>
        <w:tc>
          <w:tcPr>
            <w:tcW w:w="2500"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塑料袋或容器</w:t>
            </w:r>
          </w:p>
        </w:tc>
      </w:tr>
      <w:tr>
        <w:tblPrEx>
          <w:tblCellMar>
            <w:top w:w="0" w:type="dxa"/>
            <w:left w:w="0" w:type="dxa"/>
            <w:bottom w:w="0" w:type="dxa"/>
            <w:right w:w="0" w:type="dxa"/>
          </w:tblCellMar>
        </w:tblPrEx>
        <w:trPr>
          <w:trHeight w:val="397" w:hRule="atLeast"/>
        </w:trPr>
        <w:tc>
          <w:tcPr>
            <w:tcW w:w="1011" w:type="pct"/>
            <w:tcBorders>
              <w:top w:val="single" w:color="000000" w:sz="4" w:space="0"/>
              <w:left w:val="single" w:color="auto"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化学性废物</w:t>
            </w:r>
          </w:p>
        </w:tc>
        <w:tc>
          <w:tcPr>
            <w:tcW w:w="1488" w:type="pct"/>
            <w:tcBorders>
              <w:top w:val="single" w:color="000000" w:sz="4"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注明“化学性废物”，黄色</w:t>
            </w:r>
          </w:p>
        </w:tc>
        <w:tc>
          <w:tcPr>
            <w:tcW w:w="2500" w:type="pct"/>
            <w:tcBorders>
              <w:top w:val="single" w:color="000000" w:sz="4" w:space="0"/>
              <w:left w:val="single" w:color="000000" w:sz="6"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容器</w:t>
            </w: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3、管理、转运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（1）作好危险废物记录，记录上须注明危险废物的名称、来源、数量、特性和包装容器的类别、入库日期、存放库位、废物出库日期及接收单位名称；危险废物的记录和货单在危险废物回取后应继续保留三年。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建设单位必须如实填写联单中产生单位栏目，加盖公章，经交付危险废物运输单位核实验收签字后，将联单第一联副联自留存档，将联单第二联交当地环境保护“行政主管部门，联单第一联正联及其余各联交付运输单位随危险废物转移运行。联单保存期限为五年；贮存危险废物的，其联单保存期限与危险废物贮存期限相同。</w:t>
      </w:r>
    </w:p>
    <w:p>
      <w:pPr>
        <w:pStyle w:val="5"/>
        <w:rPr>
          <w:color w:val="000000" w:themeColor="text1"/>
          <w14:textFill>
            <w14:solidFill>
              <w14:schemeClr w14:val="tx1"/>
            </w14:solidFill>
          </w14:textFill>
        </w:rPr>
      </w:pPr>
      <w:r>
        <w:rPr>
          <w:color w:val="000000" w:themeColor="text1"/>
          <w14:textFill>
            <w14:solidFill>
              <w14:schemeClr w14:val="tx1"/>
            </w14:solidFill>
          </w14:textFill>
        </w:rPr>
        <w:t>5.6.3.4废脱硫剂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沼气脱硫装置中失去活性的废脱硫剂由生产厂家统一回收，年产生量约为0.039 t/a。</w:t>
      </w:r>
    </w:p>
    <w:p>
      <w:pPr>
        <w:pStyle w:val="5"/>
        <w:rPr>
          <w:color w:val="000000" w:themeColor="text1"/>
          <w14:textFill>
            <w14:solidFill>
              <w14:schemeClr w14:val="tx1"/>
            </w14:solidFill>
          </w14:textFill>
        </w:rPr>
      </w:pPr>
      <w:r>
        <w:rPr>
          <w:color w:val="000000" w:themeColor="text1"/>
          <w14:textFill>
            <w14:solidFill>
              <w14:schemeClr w14:val="tx1"/>
            </w14:solidFill>
          </w14:textFill>
        </w:rPr>
        <w:t>5.6.3.5生活垃圾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本项生活垃圾的产生量为5.48 t/a，评价要求在场区内设垃圾桶临时收集，运至当地环卫部门指定地点。</w:t>
      </w:r>
    </w:p>
    <w:p>
      <w:pPr>
        <w:pStyle w:val="4"/>
        <w:rPr>
          <w:rFonts w:cs="Times New Roman"/>
          <w:color w:val="000000" w:themeColor="text1"/>
          <w14:textFill>
            <w14:solidFill>
              <w14:schemeClr w14:val="tx1"/>
            </w14:solidFill>
          </w14:textFill>
        </w:rPr>
      </w:pPr>
      <w:bookmarkStart w:id="580" w:name="_Toc91163941"/>
      <w:r>
        <w:rPr>
          <w:rFonts w:cs="Times New Roman"/>
          <w:color w:val="000000" w:themeColor="text1"/>
          <w14:textFill>
            <w14:solidFill>
              <w14:schemeClr w14:val="tx1"/>
            </w14:solidFill>
          </w14:textFill>
        </w:rPr>
        <w:t>5.6.4 评价结论</w:t>
      </w:r>
      <w:bookmarkEnd w:id="580"/>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本项目采取的各项固体废弃物处置措施基本可行，体现了固体废物资源化、无害化、减量化的处理原则，只要在工作中，将各项处理措施落实到实处，认真执行，可将固体废弃物对环境的污染降低到最小程度。</w:t>
      </w:r>
    </w:p>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Pr>
        <w:pStyle w:val="3"/>
        <w:spacing w:before="120" w:after="120"/>
        <w:rPr>
          <w:rFonts w:cs="Times New Roman"/>
          <w:color w:val="000000" w:themeColor="text1"/>
          <w14:textFill>
            <w14:solidFill>
              <w14:schemeClr w14:val="tx1"/>
            </w14:solidFill>
          </w14:textFill>
        </w:rPr>
      </w:pPr>
      <w:bookmarkStart w:id="581" w:name="_Toc91163942"/>
      <w:bookmarkStart w:id="582" w:name="_Toc47619235"/>
      <w:bookmarkStart w:id="583" w:name="_Toc47619374"/>
      <w:bookmarkStart w:id="584" w:name="_Toc47619480"/>
      <w:bookmarkStart w:id="585" w:name="_Toc47619897"/>
      <w:bookmarkStart w:id="586" w:name="_Toc47620083"/>
      <w:bookmarkStart w:id="587" w:name="_Toc52791951"/>
      <w:bookmarkStart w:id="588" w:name="_Toc58362857"/>
      <w:r>
        <w:rPr>
          <w:rFonts w:cs="Times New Roman"/>
          <w:color w:val="000000" w:themeColor="text1"/>
          <w14:textFill>
            <w14:solidFill>
              <w14:schemeClr w14:val="tx1"/>
            </w14:solidFill>
          </w14:textFill>
        </w:rPr>
        <w:t>5.7  运营期土壤环境影响评价</w:t>
      </w:r>
      <w:bookmarkEnd w:id="581"/>
    </w:p>
    <w:p>
      <w:pPr>
        <w:pStyle w:val="4"/>
        <w:rPr>
          <w:rFonts w:cs="Times New Roman"/>
          <w:color w:val="000000" w:themeColor="text1"/>
          <w14:textFill>
            <w14:solidFill>
              <w14:schemeClr w14:val="tx1"/>
            </w14:solidFill>
          </w14:textFill>
        </w:rPr>
      </w:pPr>
      <w:bookmarkStart w:id="589" w:name="_Toc91163943"/>
      <w:r>
        <w:rPr>
          <w:rFonts w:cs="Times New Roman"/>
          <w:color w:val="000000" w:themeColor="text1"/>
          <w14:textFill>
            <w14:solidFill>
              <w14:schemeClr w14:val="tx1"/>
            </w14:solidFill>
          </w14:textFill>
        </w:rPr>
        <w:t>5.7.1 土壤环境影响类型与影响途径识别</w:t>
      </w:r>
      <w:bookmarkEnd w:id="589"/>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本项目养殖场以污染影响为主，沼液还田区以生态影响为主，本项目属于复合型项目。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项目工程分析，本项目主要大气污染源为养殖过程、粪污处理过程产生的恶臭气体、无害化处理设备废气、沼气发电机废气，可能因大气沉降造成土壤环境污染，且根据大气影响预测结论，本项目各污染源正常排放情况下污染物短期浓度贡献值的最大浓度占标率P</w:t>
      </w:r>
      <w:r>
        <w:rPr>
          <w:rFonts w:cs="Times New Roman"/>
          <w:color w:val="000000" w:themeColor="text1"/>
          <w:vertAlign w:val="subscript"/>
          <w14:textFill>
            <w14:solidFill>
              <w14:schemeClr w14:val="tx1"/>
            </w14:solidFill>
          </w14:textFill>
        </w:rPr>
        <w:t>max</w:t>
      </w:r>
      <w:r>
        <w:rPr>
          <w:rFonts w:cs="Times New Roman"/>
          <w:color w:val="000000" w:themeColor="text1"/>
          <w14:textFill>
            <w14:solidFill>
              <w14:schemeClr w14:val="tx1"/>
            </w14:solidFill>
          </w14:textFill>
        </w:rPr>
        <w:t>值为6.28%，小于10%；本项目食堂废水经隔油处理后与生活污水、养殖区废水进入粪污处理区处理，废水处理采用“预处理+厌氧处理+沼液暂存+沼液返田”工艺，处理后的沼液用于周围农田旱作施肥，沼渣运至有机肥粪棚堆肥，实现了场区废水零排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土壤环境影响类型与影响识别见表5.7-1。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表5.7-1 土壤环境影响识别一览表</w:t>
      </w:r>
    </w:p>
    <w:p>
      <w:pPr>
        <w:kinsoku w:val="0"/>
        <w:overflowPunct w:val="0"/>
        <w:autoSpaceDE w:val="0"/>
        <w:autoSpaceDN w:val="0"/>
        <w:adjustRightInd w:val="0"/>
        <w:spacing w:before="3" w:line="240" w:lineRule="auto"/>
        <w:ind w:firstLine="0" w:firstLineChars="0"/>
        <w:jc w:val="left"/>
        <w:rPr>
          <w:rFonts w:cs="Times New Roman"/>
          <w:color w:val="000000" w:themeColor="text1"/>
          <w:kern w:val="0"/>
          <w:sz w:val="6"/>
          <w:szCs w:val="6"/>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1656"/>
        <w:gridCol w:w="2065"/>
        <w:gridCol w:w="2065"/>
        <w:gridCol w:w="2065"/>
        <w:gridCol w:w="1246"/>
      </w:tblGrid>
      <w:tr>
        <w:tblPrEx>
          <w:tblCellMar>
            <w:top w:w="0" w:type="dxa"/>
            <w:left w:w="0" w:type="dxa"/>
            <w:bottom w:w="0" w:type="dxa"/>
            <w:right w:w="0" w:type="dxa"/>
          </w:tblCellMar>
        </w:tblPrEx>
        <w:trPr>
          <w:trHeight w:val="397" w:hRule="atLeast"/>
        </w:trPr>
        <w:tc>
          <w:tcPr>
            <w:tcW w:w="910" w:type="pct"/>
            <w:tcBorders>
              <w:top w:val="single" w:color="000000" w:sz="10"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污染源</w:t>
            </w:r>
          </w:p>
        </w:tc>
        <w:tc>
          <w:tcPr>
            <w:tcW w:w="1135" w:type="pct"/>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污染途径</w:t>
            </w:r>
          </w:p>
        </w:tc>
        <w:tc>
          <w:tcPr>
            <w:tcW w:w="1135" w:type="pct"/>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污染指标</w:t>
            </w:r>
          </w:p>
        </w:tc>
        <w:tc>
          <w:tcPr>
            <w:tcW w:w="1135" w:type="pct"/>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特征因子</w:t>
            </w:r>
          </w:p>
        </w:tc>
        <w:tc>
          <w:tcPr>
            <w:tcW w:w="684" w:type="pct"/>
            <w:tcBorders>
              <w:top w:val="single" w:color="000000" w:sz="10"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备注</w:t>
            </w:r>
          </w:p>
        </w:tc>
      </w:tr>
      <w:tr>
        <w:tblPrEx>
          <w:tblCellMar>
            <w:top w:w="0" w:type="dxa"/>
            <w:left w:w="0" w:type="dxa"/>
            <w:bottom w:w="0" w:type="dxa"/>
            <w:right w:w="0" w:type="dxa"/>
          </w:tblCellMar>
        </w:tblPrEx>
        <w:trPr>
          <w:trHeight w:val="397" w:hRule="atLeast"/>
        </w:trPr>
        <w:tc>
          <w:tcPr>
            <w:tcW w:w="910"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养殖区</w:t>
            </w:r>
          </w:p>
        </w:tc>
        <w:tc>
          <w:tcPr>
            <w:tcW w:w="113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大气沉降</w:t>
            </w:r>
          </w:p>
        </w:tc>
        <w:tc>
          <w:tcPr>
            <w:tcW w:w="113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氨、硫化氢</w:t>
            </w:r>
          </w:p>
        </w:tc>
        <w:tc>
          <w:tcPr>
            <w:tcW w:w="113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84"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连续</w:t>
            </w:r>
          </w:p>
        </w:tc>
      </w:tr>
      <w:tr>
        <w:tblPrEx>
          <w:tblCellMar>
            <w:top w:w="0" w:type="dxa"/>
            <w:left w:w="0" w:type="dxa"/>
            <w:bottom w:w="0" w:type="dxa"/>
            <w:right w:w="0" w:type="dxa"/>
          </w:tblCellMar>
        </w:tblPrEx>
        <w:trPr>
          <w:trHeight w:val="397" w:hRule="atLeast"/>
        </w:trPr>
        <w:tc>
          <w:tcPr>
            <w:tcW w:w="910"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生活区</w:t>
            </w:r>
          </w:p>
        </w:tc>
        <w:tc>
          <w:tcPr>
            <w:tcW w:w="113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大气沉降</w:t>
            </w:r>
          </w:p>
        </w:tc>
        <w:tc>
          <w:tcPr>
            <w:tcW w:w="113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颗粒物、SO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、NOx</w:t>
            </w:r>
          </w:p>
        </w:tc>
        <w:tc>
          <w:tcPr>
            <w:tcW w:w="113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84"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连续</w:t>
            </w:r>
          </w:p>
        </w:tc>
      </w:tr>
      <w:tr>
        <w:tblPrEx>
          <w:tblCellMar>
            <w:top w:w="0" w:type="dxa"/>
            <w:left w:w="0" w:type="dxa"/>
            <w:bottom w:w="0" w:type="dxa"/>
            <w:right w:w="0" w:type="dxa"/>
          </w:tblCellMar>
        </w:tblPrEx>
        <w:trPr>
          <w:trHeight w:val="397" w:hRule="atLeast"/>
        </w:trPr>
        <w:tc>
          <w:tcPr>
            <w:tcW w:w="910"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治污区</w:t>
            </w:r>
          </w:p>
        </w:tc>
        <w:tc>
          <w:tcPr>
            <w:tcW w:w="113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垂直渗入</w:t>
            </w:r>
          </w:p>
        </w:tc>
        <w:tc>
          <w:tcPr>
            <w:tcW w:w="113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COD、氨氮</w:t>
            </w:r>
          </w:p>
        </w:tc>
        <w:tc>
          <w:tcPr>
            <w:tcW w:w="113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84"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事故状态</w:t>
            </w:r>
          </w:p>
        </w:tc>
      </w:tr>
      <w:tr>
        <w:tblPrEx>
          <w:tblCellMar>
            <w:top w:w="0" w:type="dxa"/>
            <w:left w:w="0" w:type="dxa"/>
            <w:bottom w:w="0" w:type="dxa"/>
            <w:right w:w="0" w:type="dxa"/>
          </w:tblCellMar>
        </w:tblPrEx>
        <w:trPr>
          <w:trHeight w:val="397" w:hRule="atLeast"/>
        </w:trPr>
        <w:tc>
          <w:tcPr>
            <w:tcW w:w="910" w:type="pct"/>
            <w:tcBorders>
              <w:top w:val="single" w:color="000000" w:sz="4"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沼液消纳区</w:t>
            </w:r>
          </w:p>
        </w:tc>
        <w:tc>
          <w:tcPr>
            <w:tcW w:w="1135"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垂直渗入</w:t>
            </w:r>
          </w:p>
        </w:tc>
        <w:tc>
          <w:tcPr>
            <w:tcW w:w="1135"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COD、氨氮</w:t>
            </w:r>
          </w:p>
        </w:tc>
        <w:tc>
          <w:tcPr>
            <w:tcW w:w="1135"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84" w:type="pct"/>
            <w:tcBorders>
              <w:top w:val="single" w:color="000000" w:sz="4" w:space="0"/>
              <w:left w:val="single" w:color="000000" w:sz="4" w:space="0"/>
              <w:bottom w:val="single" w:color="000000" w:sz="10"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事故状态</w:t>
            </w:r>
          </w:p>
        </w:tc>
      </w:tr>
    </w:tbl>
    <w:p>
      <w:pPr>
        <w:pStyle w:val="4"/>
        <w:rPr>
          <w:rFonts w:cs="Times New Roman"/>
          <w:color w:val="000000" w:themeColor="text1"/>
          <w:kern w:val="0"/>
          <w:szCs w:val="24"/>
          <w14:textFill>
            <w14:solidFill>
              <w14:schemeClr w14:val="tx1"/>
            </w14:solidFill>
          </w14:textFill>
        </w:rPr>
      </w:pPr>
      <w:bookmarkStart w:id="590" w:name="_Toc91163944"/>
      <w:r>
        <w:rPr>
          <w:rFonts w:cs="Times New Roman"/>
          <w:color w:val="000000" w:themeColor="text1"/>
          <w14:textFill>
            <w14:solidFill>
              <w14:schemeClr w14:val="tx1"/>
            </w14:solidFill>
          </w14:textFill>
        </w:rPr>
        <w:t>5.7.2 区域</w:t>
      </w:r>
      <w:r>
        <w:rPr>
          <w:rFonts w:cs="Times New Roman"/>
          <w:color w:val="000000" w:themeColor="text1"/>
          <w:kern w:val="0"/>
          <w:szCs w:val="24"/>
          <w14:textFill>
            <w14:solidFill>
              <w14:schemeClr w14:val="tx1"/>
            </w14:solidFill>
          </w14:textFill>
        </w:rPr>
        <w:t>土地利用现状</w:t>
      </w:r>
      <w:bookmarkEnd w:id="590"/>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根据现场调查，项目场地及周边均为农田。</w:t>
      </w:r>
    </w:p>
    <w:p>
      <w:pPr>
        <w:pStyle w:val="4"/>
        <w:rPr>
          <w:rFonts w:cs="Times New Roman"/>
          <w:color w:val="000000" w:themeColor="text1"/>
          <w14:textFill>
            <w14:solidFill>
              <w14:schemeClr w14:val="tx1"/>
            </w14:solidFill>
          </w14:textFill>
        </w:rPr>
      </w:pPr>
      <w:bookmarkStart w:id="591" w:name="_Toc91163945"/>
      <w:r>
        <w:rPr>
          <w:rFonts w:cs="Times New Roman"/>
          <w:color w:val="000000" w:themeColor="text1"/>
          <w14:textFill>
            <w14:solidFill>
              <w14:schemeClr w14:val="tx1"/>
            </w14:solidFill>
          </w14:textFill>
        </w:rPr>
        <w:t>5.7.3 土壤环境影响分析</w:t>
      </w:r>
      <w:bookmarkEnd w:id="591"/>
    </w:p>
    <w:p>
      <w:pPr>
        <w:pStyle w:val="5"/>
        <w:rPr>
          <w:color w:val="000000" w:themeColor="text1"/>
          <w14:textFill>
            <w14:solidFill>
              <w14:schemeClr w14:val="tx1"/>
            </w14:solidFill>
          </w14:textFill>
        </w:rPr>
      </w:pPr>
      <w:r>
        <w:rPr>
          <w:color w:val="000000" w:themeColor="text1"/>
          <w14:textFill>
            <w14:solidFill>
              <w14:schemeClr w14:val="tx1"/>
            </w14:solidFill>
          </w14:textFill>
        </w:rPr>
        <w:t>5.7.3.1土壤理化性质影响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根据资料介绍，黑龙江海林农场沼肥田间实验表明，连续2年的施用沼肥，施用量为15000 kg/hm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（1000 kg/亩），土壤有机质、全氮、全钾和碱解氮含量均有所增加，表明沼肥能在一定程度上改善土壤化学性质。连年施用沼肥，土壤pH有所增加，在一定程度上防止土壤酸化。</w:t>
      </w:r>
    </w:p>
    <w:p>
      <w:pPr>
        <w:pStyle w:val="5"/>
        <w:rPr>
          <w:color w:val="000000" w:themeColor="text1"/>
          <w14:textFill>
            <w14:solidFill>
              <w14:schemeClr w14:val="tx1"/>
            </w14:solidFill>
          </w14:textFill>
        </w:rPr>
      </w:pPr>
      <w:r>
        <w:rPr>
          <w:color w:val="000000" w:themeColor="text1"/>
          <w14:textFill>
            <w14:solidFill>
              <w14:schemeClr w14:val="tx1"/>
            </w14:solidFill>
          </w14:textFill>
        </w:rPr>
        <w:t>5.7.3.2沼液施肥存在的潜在风险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根据赖星等“连续施用沼液对土壤性质的影响及重金属污染风险评价“（水土保持学报，2018年32卷第6期）研究，当3年沼液施用总量为（546.25~626.00）×10</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kg/hm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时，能显著提高土壤肥力，改善土壤结构，防止土壤生态功能遭到破坏，保障农业安全生产，但需合理配施氮肥，防止土壤养分失衡。单因子污染指数显示，土壤重金属Cd、As、Cr、Hg为轻度污染，Pb较安全。综合潜在生态污染风险程度属轻度。沼液还田引起土壤重金属污染的风险较小，需合理管控Hg和As可能引起的土壤环境污染问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除了沼液中的重金属可能会给环境带来污染风险，沼液中的抗生素同样值得关注，禽畜粪便发酵过程中虽可降解某些抗生素，但仍会有少数抗生素留存于沼液中，沼肥施用后，抗生素会残存在土壤中，甚至被植物所吸收，对整体生物链产生不良作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本项目施用沼液量为144×10</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 xml:space="preserve"> kg/hm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，仅为以上研究文献的1/3~1/4，故存在土壤重金属污染的潜在风险较小。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本项目使用双胞胎公司自配饲料，饲料中微量元素添加均符合国家相关标准，沼液中重金属含量较低，对土壤生态环境影响较小。</w:t>
      </w:r>
    </w:p>
    <w:p>
      <w:pPr>
        <w:pStyle w:val="4"/>
        <w:rPr>
          <w:rFonts w:cs="Times New Roman"/>
          <w:color w:val="000000" w:themeColor="text1"/>
          <w14:textFill>
            <w14:solidFill>
              <w14:schemeClr w14:val="tx1"/>
            </w14:solidFill>
          </w14:textFill>
        </w:rPr>
      </w:pPr>
      <w:bookmarkStart w:id="592" w:name="_Toc91163946"/>
      <w:r>
        <w:rPr>
          <w:rFonts w:cs="Times New Roman"/>
          <w:color w:val="000000" w:themeColor="text1"/>
          <w14:textFill>
            <w14:solidFill>
              <w14:schemeClr w14:val="tx1"/>
            </w14:solidFill>
          </w14:textFill>
        </w:rPr>
        <w:t>5.7.4 土壤环境保护措施</w:t>
      </w:r>
      <w:bookmarkEnd w:id="592"/>
    </w:p>
    <w:p>
      <w:pPr>
        <w:pStyle w:val="5"/>
        <w:rPr>
          <w:color w:val="000000" w:themeColor="text1"/>
          <w14:textFill>
            <w14:solidFill>
              <w14:schemeClr w14:val="tx1"/>
            </w14:solidFill>
          </w14:textFill>
        </w:rPr>
      </w:pPr>
      <w:r>
        <w:rPr>
          <w:color w:val="000000" w:themeColor="text1"/>
          <w14:textFill>
            <w14:solidFill>
              <w14:schemeClr w14:val="tx1"/>
            </w14:solidFill>
          </w14:textFill>
        </w:rPr>
        <w:t>5.7.4.1源头控制措施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减少项目排放的废气、废水污染物对土壤的不利影响，关键在于尽量从源头减少污染物的产生量。另外，对职工加强环境保护意识的教育，采取严格的污染防治措施，对每个排污环节加强控制、管理，尽量将污染物排放降至最低限度。</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项目主要废气为恶臭气体H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S和NH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。主要采用设置过滤除臭装置及喷洒除臭剂，场区进行绿化等方式进行治理，保证各污染源达标排放，降低废气污染物进入土壤对土壤环境的影响。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项目营运期废水采用“预处理+厌氧处理+沼液暂存+沼液返田”工艺。污水输送管道加强防渗漏措施，同时施工过程中保证高质量安装，运营过程中要加强管理，杜绝废水跑、冒、滴、漏现象。</w:t>
      </w:r>
    </w:p>
    <w:p>
      <w:pPr>
        <w:pStyle w:val="5"/>
        <w:rPr>
          <w:color w:val="000000" w:themeColor="text1"/>
          <w14:textFill>
            <w14:solidFill>
              <w14:schemeClr w14:val="tx1"/>
            </w14:solidFill>
          </w14:textFill>
        </w:rPr>
      </w:pPr>
      <w:r>
        <w:rPr>
          <w:color w:val="000000" w:themeColor="text1"/>
          <w14:textFill>
            <w14:solidFill>
              <w14:schemeClr w14:val="tx1"/>
            </w14:solidFill>
          </w14:textFill>
        </w:rPr>
        <w:t>5.7.4.2过程防控措施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1、场区绿化</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充分利用植物对污染物的净化作用，通过绿化来降低大气污染物通过大气沉降进入土壤中的量，在污染环境条件下生长的植物，都能不同程度地拦截、吸附和富集污染物质。有的污染物质被吸收后，经过植物代谢作用还能逐渐解毒。因此，植物对大气环境具有一定的净化作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2、地面硬化和废水收集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场区地面采取硬化措施，同时设置完善的废水收集系统，将废水收集在储存设施内，防止漫流进入土壤。</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3、场区防渗</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根据场区各生产功能单元可能泄漏至地面区域的污染物性质和生产单元的构筑方式，同地下水污染防渗漏措施一致，将全厂划分为重点防渗区、一般防渗区和简单防渗区。</w:t>
      </w:r>
    </w:p>
    <w:p>
      <w:pPr>
        <w:pStyle w:val="5"/>
        <w:rPr>
          <w:color w:val="000000" w:themeColor="text1"/>
          <w14:textFill>
            <w14:solidFill>
              <w14:schemeClr w14:val="tx1"/>
            </w14:solidFill>
          </w14:textFill>
        </w:rPr>
      </w:pPr>
      <w:r>
        <w:rPr>
          <w:color w:val="000000" w:themeColor="text1"/>
          <w14:textFill>
            <w14:solidFill>
              <w14:schemeClr w14:val="tx1"/>
            </w14:solidFill>
          </w14:textFill>
        </w:rPr>
        <w:t>5.7.4.3轮灌</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连续多年使用沼液施肥可能会造成土壤中营养元素相对过剩，使耕层土壤富营养化。沼液施用连续5年以上可根据土地监测情况，制订轮灌期限。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沼液施用过程中，对有每天产生量、施用量、施用日期、施用时间、施用农田编号、施用农田面积以及操作人员等进行记录。</w:t>
      </w:r>
    </w:p>
    <w:p>
      <w:pPr>
        <w:pStyle w:val="5"/>
        <w:rPr>
          <w:color w:val="000000" w:themeColor="text1"/>
          <w14:textFill>
            <w14:solidFill>
              <w14:schemeClr w14:val="tx1"/>
            </w14:solidFill>
          </w14:textFill>
        </w:rPr>
      </w:pPr>
      <w:r>
        <w:rPr>
          <w:color w:val="000000" w:themeColor="text1"/>
          <w14:textFill>
            <w14:solidFill>
              <w14:schemeClr w14:val="tx1"/>
            </w14:solidFill>
          </w14:textFill>
        </w:rPr>
        <w:t>5.7.4.4沼液还田的保障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有机质和氮、磷、钾三要素是衡量土壤肥力的主要指标。蛋白质是一种宝贵的资源，蛋白质进入土壤后，在土壤微生物的作用下，分解为可被植物吸收的土壤有机质。富含有机质的土壤不但可以持续供给作物生长所需要的养分，而且会充分供给土壤微生物养分，增加土壤微生物数量，提高其活性，从而改善土壤结构，增加土壤孔隙度，降低土壤容重，增强土壤保水抗旱能力。</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由农业部门定期测定肥水中有机质，速效氮、磷、钾及pH值等含量是否符合要求；</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在不同茬口种植地块，设定对照区和实验区，分别在每次生长收获后测定土壤养分含量（速效氮、磷、钾含量）、pH 值、有机质含量、土壤容重是否符合要求；</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t>定期对比施用沼液种植的作物品质、产量与普通化肥种植的作物品质、产量有无差别，能否促进作物品质、产量；同时对施用地土壤盐分含量不增加，土壤有无酸化、板结（即容重降低或无变化）现象。</w:t>
      </w:r>
    </w:p>
    <w:p>
      <w:pPr>
        <w:pStyle w:val="5"/>
        <w:rPr>
          <w:color w:val="000000" w:themeColor="text1"/>
          <w14:textFill>
            <w14:solidFill>
              <w14:schemeClr w14:val="tx1"/>
            </w14:solidFill>
          </w14:textFill>
        </w:rPr>
      </w:pPr>
      <w:r>
        <w:rPr>
          <w:color w:val="000000" w:themeColor="text1"/>
          <w14:textFill>
            <w14:solidFill>
              <w14:schemeClr w14:val="tx1"/>
            </w14:solidFill>
          </w14:textFill>
        </w:rPr>
        <w:t>5.7.4.5补救措施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若出现土壤容量下降，立即停止施用沼液，并采取以下措施：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土壤板结，土壤容重明显增加时，说明已出现板结倾向，应采用复合微生物肥料进行治理。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对土壤盐化，采取农业改良措施（平整土地、改良耕作、施客土、施肥、播种、轮作、间种套种等）；生物改良措施（种植耐盐植物和牧草、绿肥、植树造林等）；和化学改良措施（施用改良物质，如石膏、磷石膏、亚硫酸钙等）四个方面。</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定期对土壤样品的化验分析，确保所有样品检测值均低于《土壤环境质量农用地土壤污染风险管控标准（试行）》（GB15618-2018）中农用地土壤污染风险筛选值时，才能继续施用沼液</w:t>
      </w:r>
    </w:p>
    <w:p>
      <w:pPr>
        <w:pStyle w:val="4"/>
        <w:rPr>
          <w:rFonts w:cs="Times New Roman"/>
          <w:color w:val="000000" w:themeColor="text1"/>
          <w14:textFill>
            <w14:solidFill>
              <w14:schemeClr w14:val="tx1"/>
            </w14:solidFill>
          </w14:textFill>
        </w:rPr>
      </w:pPr>
      <w:bookmarkStart w:id="593" w:name="_Toc91163947"/>
      <w:r>
        <w:rPr>
          <w:rFonts w:cs="Times New Roman"/>
          <w:color w:val="000000" w:themeColor="text1"/>
          <w14:textFill>
            <w14:solidFill>
              <w14:schemeClr w14:val="tx1"/>
            </w14:solidFill>
          </w14:textFill>
        </w:rPr>
        <w:t>5.7.5 评价结论</w:t>
      </w:r>
      <w:bookmarkEnd w:id="593"/>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1、本项目在建设期和运营期不涉及及《土壤环境质量农用地土壤污染风险管控标准》（GB15618-2018）中的镉、汞、砷、铅、铬、铜、镍、锌等重金属。</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2、本项目产生的粪污经处理后全部作为肥料综合利用，减少当地化肥的施用，降低化肥中含有的重金属对土壤环境的影响，改良土壤。</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本项目土壤环境影响评价自查表见表5.7-2。</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表5.7-2</w:t>
      </w:r>
      <w:r>
        <w:rPr>
          <w:rFonts w:eastAsia="TimesNewRomanPS-BoldMT" w:cs="Times New Roman"/>
          <w:bCs/>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土壤环境影响评价自查表</w:t>
      </w:r>
    </w:p>
    <w:p>
      <w:pPr>
        <w:kinsoku w:val="0"/>
        <w:overflowPunct w:val="0"/>
        <w:autoSpaceDE w:val="0"/>
        <w:autoSpaceDN w:val="0"/>
        <w:adjustRightInd w:val="0"/>
        <w:spacing w:before="2" w:line="240" w:lineRule="auto"/>
        <w:ind w:firstLine="0" w:firstLineChars="0"/>
        <w:jc w:val="left"/>
        <w:rPr>
          <w:rFonts w:cs="Times New Roman"/>
          <w:color w:val="000000" w:themeColor="text1"/>
          <w:kern w:val="0"/>
          <w:sz w:val="2"/>
          <w:szCs w:val="2"/>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71"/>
        <w:gridCol w:w="1611"/>
        <w:gridCol w:w="1551"/>
        <w:gridCol w:w="513"/>
        <w:gridCol w:w="1127"/>
        <w:gridCol w:w="1027"/>
        <w:gridCol w:w="613"/>
        <w:gridCol w:w="1163"/>
        <w:gridCol w:w="11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9" w:type="pct"/>
            <w:gridSpan w:val="2"/>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工作内容</w:t>
            </w:r>
          </w:p>
        </w:tc>
        <w:tc>
          <w:tcPr>
            <w:tcW w:w="3293" w:type="pct"/>
            <w:gridSpan w:val="6"/>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完成情况</w:t>
            </w:r>
          </w:p>
        </w:tc>
        <w:tc>
          <w:tcPr>
            <w:tcW w:w="61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影</w:t>
            </w:r>
            <w:r>
              <w:rPr>
                <w:color w:val="000000" w:themeColor="text1"/>
                <w:w w:val="99"/>
                <w14:textFill>
                  <w14:solidFill>
                    <w14:schemeClr w14:val="tx1"/>
                  </w14:solidFill>
                </w14:textFill>
              </w:rPr>
              <w:t xml:space="preserve"> </w:t>
            </w:r>
            <w:r>
              <w:rPr>
                <w:color w:val="000000" w:themeColor="text1"/>
                <w14:textFill>
                  <w14:solidFill>
                    <w14:schemeClr w14:val="tx1"/>
                  </w14:solidFill>
                </w14:textFill>
              </w:rPr>
              <w:t>响</w:t>
            </w:r>
            <w:r>
              <w:rPr>
                <w:color w:val="000000" w:themeColor="text1"/>
                <w:w w:val="99"/>
                <w14:textFill>
                  <w14:solidFill>
                    <w14:schemeClr w14:val="tx1"/>
                  </w14:solidFill>
                </w14:textFill>
              </w:rPr>
              <w:t xml:space="preserve"> </w:t>
            </w:r>
            <w:r>
              <w:rPr>
                <w:color w:val="000000" w:themeColor="text1"/>
                <w14:textFill>
                  <w14:solidFill>
                    <w14:schemeClr w14:val="tx1"/>
                  </w14:solidFill>
                </w14:textFill>
              </w:rPr>
              <w:t>识</w:t>
            </w:r>
            <w:r>
              <w:rPr>
                <w:color w:val="000000" w:themeColor="text1"/>
                <w:w w:val="99"/>
                <w14:textFill>
                  <w14:solidFill>
                    <w14:schemeClr w14:val="tx1"/>
                  </w14:solidFill>
                </w14:textFill>
              </w:rPr>
              <w:t xml:space="preserve"> </w:t>
            </w:r>
            <w:r>
              <w:rPr>
                <w:color w:val="000000" w:themeColor="text1"/>
                <w14:textFill>
                  <w14:solidFill>
                    <w14:schemeClr w14:val="tx1"/>
                  </w14:solidFill>
                </w14:textFill>
              </w:rPr>
              <w:t>别</w:t>
            </w:r>
          </w:p>
        </w:tc>
        <w:tc>
          <w:tcPr>
            <w:tcW w:w="885"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影响类型</w:t>
            </w:r>
          </w:p>
        </w:tc>
        <w:tc>
          <w:tcPr>
            <w:tcW w:w="3293" w:type="pct"/>
            <w:gridSpan w:val="6"/>
            <w:tcBorders>
              <w:top w:val="single" w:color="auto" w:sz="1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污染影响型；生态影响型；两种兼有</w:t>
            </w:r>
          </w:p>
        </w:tc>
        <w:tc>
          <w:tcPr>
            <w:tcW w:w="618" w:type="pct"/>
            <w:tcBorders>
              <w:top w:val="single" w:color="auto" w:sz="12" w:space="0"/>
            </w:tcBorders>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土地利用类型</w:t>
            </w:r>
          </w:p>
        </w:tc>
        <w:tc>
          <w:tcPr>
            <w:tcW w:w="3293" w:type="pct"/>
            <w:gridSpan w:val="6"/>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建设用地；农用地；未利用地</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占地规模</w:t>
            </w:r>
          </w:p>
        </w:tc>
        <w:tc>
          <w:tcPr>
            <w:tcW w:w="3293" w:type="pct"/>
            <w:gridSpan w:val="6"/>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（5.30）hm</w:t>
            </w:r>
            <w:r>
              <w:rPr>
                <w:color w:val="000000" w:themeColor="text1"/>
                <w:position w:val="7"/>
                <w:sz w:val="13"/>
                <w:szCs w:val="13"/>
                <w14:textFill>
                  <w14:solidFill>
                    <w14:schemeClr w14:val="tx1"/>
                  </w14:solidFill>
                </w14:textFill>
              </w:rPr>
              <w:t>2</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敏感目标信息</w:t>
            </w:r>
          </w:p>
        </w:tc>
        <w:tc>
          <w:tcPr>
            <w:tcW w:w="3293" w:type="pct"/>
            <w:gridSpan w:val="6"/>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敏感目标（耕地）、方位（四周）、距离（紧邻）</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影响途径</w:t>
            </w:r>
          </w:p>
        </w:tc>
        <w:tc>
          <w:tcPr>
            <w:tcW w:w="3293" w:type="pct"/>
            <w:gridSpan w:val="6"/>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大气沉降；地面漫流；垂直入渗；地下水位；其他（）</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全部污染物</w:t>
            </w:r>
          </w:p>
        </w:tc>
        <w:tc>
          <w:tcPr>
            <w:tcW w:w="3293" w:type="pct"/>
            <w:gridSpan w:val="6"/>
            <w:vAlign w:val="center"/>
          </w:tcPr>
          <w:p>
            <w:pPr>
              <w:pStyle w:val="332"/>
              <w:jc w:val="both"/>
              <w:rPr>
                <w:color w:val="000000" w:themeColor="text1"/>
                <w14:textFill>
                  <w14:solidFill>
                    <w14:schemeClr w14:val="tx1"/>
                  </w14:solidFill>
                </w14:textFill>
              </w:rPr>
            </w:pPr>
            <w:r>
              <w:rPr>
                <w:color w:val="000000" w:themeColor="text1"/>
                <w:position w:val="2"/>
                <w14:textFill>
                  <w14:solidFill>
                    <w14:schemeClr w14:val="tx1"/>
                  </w14:solidFill>
                </w14:textFill>
              </w:rPr>
              <w:t>氨、硫化氢、颗粒物、SO</w:t>
            </w:r>
            <w:r>
              <w:rPr>
                <w:color w:val="000000" w:themeColor="text1"/>
                <w:sz w:val="13"/>
                <w:szCs w:val="13"/>
                <w14:textFill>
                  <w14:solidFill>
                    <w14:schemeClr w14:val="tx1"/>
                  </w14:solidFill>
                </w14:textFill>
              </w:rPr>
              <w:t>2</w:t>
            </w:r>
            <w:r>
              <w:rPr>
                <w:color w:val="000000" w:themeColor="text1"/>
                <w:position w:val="2"/>
                <w14:textFill>
                  <w14:solidFill>
                    <w14:schemeClr w14:val="tx1"/>
                  </w14:solidFill>
                </w14:textFill>
              </w:rPr>
              <w:t>、NOx、pH、COD、氨氮</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bookmarkStart w:id="594" w:name="5.2.6固体废物环境影响预测与评价"/>
            <w:bookmarkEnd w:id="594"/>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特征因子</w:t>
            </w:r>
          </w:p>
        </w:tc>
        <w:tc>
          <w:tcPr>
            <w:tcW w:w="3293"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pH</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所属土壤环境影响评价项目类别</w:t>
            </w:r>
          </w:p>
        </w:tc>
        <w:tc>
          <w:tcPr>
            <w:tcW w:w="3293" w:type="pct"/>
            <w:gridSpan w:val="6"/>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I</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类；Ⅱ类；Ⅲ类；Ⅳ类</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敏感程度</w:t>
            </w:r>
          </w:p>
        </w:tc>
        <w:tc>
          <w:tcPr>
            <w:tcW w:w="3293" w:type="pct"/>
            <w:gridSpan w:val="6"/>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敏感；较敏感；不敏感</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9"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评价工作等级</w:t>
            </w:r>
          </w:p>
        </w:tc>
        <w:tc>
          <w:tcPr>
            <w:tcW w:w="3293" w:type="pct"/>
            <w:gridSpan w:val="6"/>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一级；二级；三级</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现状调查内容</w:t>
            </w: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资料收集</w:t>
            </w:r>
          </w:p>
        </w:tc>
        <w:tc>
          <w:tcPr>
            <w:tcW w:w="3293" w:type="pct"/>
            <w:gridSpan w:val="6"/>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a)；b)；c) ；d)</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理化特性</w:t>
            </w:r>
          </w:p>
        </w:tc>
        <w:tc>
          <w:tcPr>
            <w:tcW w:w="3293" w:type="pct"/>
            <w:gridSpan w:val="6"/>
            <w:vAlign w:val="center"/>
          </w:tcPr>
          <w:p>
            <w:pPr>
              <w:pStyle w:val="332"/>
              <w:rPr>
                <w:color w:val="000000" w:themeColor="text1"/>
                <w14:textFill>
                  <w14:solidFill>
                    <w14:schemeClr w14:val="tx1"/>
                  </w14:solidFill>
                </w14:textFill>
              </w:rPr>
            </w:pPr>
          </w:p>
        </w:tc>
        <w:tc>
          <w:tcPr>
            <w:tcW w:w="61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同附录</w:t>
            </w:r>
            <w:r>
              <w:rPr>
                <w:color w:val="000000" w:themeColor="text1"/>
                <w:spacing w:val="-51"/>
                <w14:textFill>
                  <w14:solidFill>
                    <w14:schemeClr w14:val="tx1"/>
                  </w14:solidFill>
                </w14:textFill>
              </w:rPr>
              <w:t xml:space="preserve"> </w:t>
            </w:r>
            <w:r>
              <w:rPr>
                <w:color w:val="000000" w:themeColor="text1"/>
                <w14:textFill>
                  <w14:solidFill>
                    <w14:schemeClr w14:val="tx1"/>
                  </w14:solidFill>
                </w14:textFill>
              </w:rPr>
              <w:t>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现状监测点位</w:t>
            </w:r>
          </w:p>
        </w:tc>
        <w:tc>
          <w:tcPr>
            <w:tcW w:w="852" w:type="pct"/>
            <w:vAlign w:val="center"/>
          </w:tcPr>
          <w:p>
            <w:pPr>
              <w:pStyle w:val="332"/>
              <w:rPr>
                <w:color w:val="000000" w:themeColor="text1"/>
                <w14:textFill>
                  <w14:solidFill>
                    <w14:schemeClr w14:val="tx1"/>
                  </w14:solidFill>
                </w14:textFill>
              </w:rPr>
            </w:pPr>
          </w:p>
        </w:tc>
        <w:tc>
          <w:tcPr>
            <w:tcW w:w="901"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占地范围内</w:t>
            </w:r>
          </w:p>
        </w:tc>
        <w:tc>
          <w:tcPr>
            <w:tcW w:w="901"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占地范围外</w:t>
            </w:r>
          </w:p>
        </w:tc>
        <w:tc>
          <w:tcPr>
            <w:tcW w:w="63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深度</w:t>
            </w:r>
          </w:p>
        </w:tc>
        <w:tc>
          <w:tcPr>
            <w:tcW w:w="618"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点位布置图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Merge w:val="continue"/>
            <w:vAlign w:val="center"/>
          </w:tcPr>
          <w:p>
            <w:pPr>
              <w:pStyle w:val="332"/>
              <w:rPr>
                <w:color w:val="000000" w:themeColor="text1"/>
                <w14:textFill>
                  <w14:solidFill>
                    <w14:schemeClr w14:val="tx1"/>
                  </w14:solidFill>
                </w14:textFill>
              </w:rPr>
            </w:pPr>
          </w:p>
        </w:tc>
        <w:tc>
          <w:tcPr>
            <w:tcW w:w="85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表层样点数</w:t>
            </w:r>
          </w:p>
        </w:tc>
        <w:tc>
          <w:tcPr>
            <w:tcW w:w="901" w:type="pct"/>
            <w:gridSpan w:val="2"/>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3</w:t>
            </w:r>
          </w:p>
        </w:tc>
        <w:tc>
          <w:tcPr>
            <w:tcW w:w="901" w:type="pct"/>
            <w:gridSpan w:val="2"/>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1</w:t>
            </w:r>
          </w:p>
        </w:tc>
        <w:tc>
          <w:tcPr>
            <w:tcW w:w="63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0.2m</w:t>
            </w:r>
          </w:p>
        </w:tc>
        <w:tc>
          <w:tcPr>
            <w:tcW w:w="618"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Merge w:val="continue"/>
            <w:vAlign w:val="center"/>
          </w:tcPr>
          <w:p>
            <w:pPr>
              <w:pStyle w:val="332"/>
              <w:rPr>
                <w:color w:val="000000" w:themeColor="text1"/>
                <w14:textFill>
                  <w14:solidFill>
                    <w14:schemeClr w14:val="tx1"/>
                  </w14:solidFill>
                </w14:textFill>
              </w:rPr>
            </w:pPr>
          </w:p>
        </w:tc>
        <w:tc>
          <w:tcPr>
            <w:tcW w:w="85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柱状样点数</w:t>
            </w:r>
          </w:p>
        </w:tc>
        <w:tc>
          <w:tcPr>
            <w:tcW w:w="901"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901"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3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18"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现状监测因子</w:t>
            </w:r>
          </w:p>
        </w:tc>
        <w:tc>
          <w:tcPr>
            <w:tcW w:w="3293"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pH、镉、汞、砷、铅、铬、铜、镍、锌、</w:t>
            </w:r>
            <w:r>
              <w:rPr>
                <w:color w:val="000000" w:themeColor="text1"/>
                <w:kern w:val="0"/>
                <w:szCs w:val="21"/>
                <w14:textFill>
                  <w14:solidFill>
                    <w14:schemeClr w14:val="tx1"/>
                  </w14:solidFill>
                </w14:textFill>
              </w:rPr>
              <w:t>六六六、滴滴涕</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restart"/>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现</w:t>
            </w:r>
            <w:r>
              <w:rPr>
                <w:color w:val="000000" w:themeColor="text1"/>
                <w14:textFill>
                  <w14:solidFill>
                    <w14:schemeClr w14:val="tx1"/>
                  </w14:solidFill>
                </w14:textFill>
              </w:rPr>
              <w:t>状评价</w:t>
            </w: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评价因子</w:t>
            </w:r>
          </w:p>
        </w:tc>
        <w:tc>
          <w:tcPr>
            <w:tcW w:w="3293"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镉、汞、砷、铅、铬、铜、镍、锌、</w:t>
            </w:r>
            <w:r>
              <w:rPr>
                <w:color w:val="000000" w:themeColor="text1"/>
                <w:kern w:val="0"/>
                <w:szCs w:val="21"/>
                <w14:textFill>
                  <w14:solidFill>
                    <w14:schemeClr w14:val="tx1"/>
                  </w14:solidFill>
                </w14:textFill>
              </w:rPr>
              <w:t>六六六、滴滴涕</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评价标准</w:t>
            </w:r>
          </w:p>
        </w:tc>
        <w:tc>
          <w:tcPr>
            <w:tcW w:w="3293"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GB15618；GB36600；表</w:t>
            </w:r>
            <w:r>
              <w:rPr>
                <w:color w:val="000000" w:themeColor="text1"/>
                <w:spacing w:val="-51"/>
                <w14:textFill>
                  <w14:solidFill>
                    <w14:schemeClr w14:val="tx1"/>
                  </w14:solidFill>
                </w14:textFill>
              </w:rPr>
              <w:t xml:space="preserve"> </w:t>
            </w:r>
            <w:r>
              <w:rPr>
                <w:color w:val="000000" w:themeColor="text1"/>
                <w14:textFill>
                  <w14:solidFill>
                    <w14:schemeClr w14:val="tx1"/>
                  </w14:solidFill>
                </w14:textFill>
              </w:rPr>
              <w:t>D.1；表</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D.2；其他（）</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现状评价结论</w:t>
            </w:r>
          </w:p>
        </w:tc>
        <w:tc>
          <w:tcPr>
            <w:tcW w:w="3293"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满足</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GB15618中用地标准</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影响预测</w:t>
            </w: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预测因子</w:t>
            </w:r>
          </w:p>
        </w:tc>
        <w:tc>
          <w:tcPr>
            <w:tcW w:w="3293" w:type="pct"/>
            <w:gridSpan w:val="6"/>
            <w:vAlign w:val="center"/>
          </w:tcPr>
          <w:p>
            <w:pPr>
              <w:pStyle w:val="332"/>
              <w:rPr>
                <w:color w:val="000000" w:themeColor="text1"/>
                <w14:textFill>
                  <w14:solidFill>
                    <w14:schemeClr w14:val="tx1"/>
                  </w14:solidFill>
                </w14:textFill>
              </w:rPr>
            </w:pP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预测方法</w:t>
            </w:r>
          </w:p>
        </w:tc>
        <w:tc>
          <w:tcPr>
            <w:tcW w:w="3293"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附录</w:t>
            </w:r>
            <w:r>
              <w:rPr>
                <w:color w:val="000000" w:themeColor="text1"/>
                <w:spacing w:val="-51"/>
                <w14:textFill>
                  <w14:solidFill>
                    <w14:schemeClr w14:val="tx1"/>
                  </w14:solidFill>
                </w14:textFill>
              </w:rPr>
              <w:t xml:space="preserve"> </w:t>
            </w:r>
            <w:r>
              <w:rPr>
                <w:color w:val="000000" w:themeColor="text1"/>
                <w14:textFill>
                  <w14:solidFill>
                    <w14:schemeClr w14:val="tx1"/>
                  </w14:solidFill>
                </w14:textFill>
              </w:rPr>
              <w:t>E；附图</w:t>
            </w:r>
            <w:r>
              <w:rPr>
                <w:color w:val="000000" w:themeColor="text1"/>
                <w:spacing w:val="-51"/>
                <w14:textFill>
                  <w14:solidFill>
                    <w14:schemeClr w14:val="tx1"/>
                  </w14:solidFill>
                </w14:textFill>
              </w:rPr>
              <w:t xml:space="preserve"> </w:t>
            </w:r>
            <w:r>
              <w:rPr>
                <w:color w:val="000000" w:themeColor="text1"/>
                <w14:textFill>
                  <w14:solidFill>
                    <w14:schemeClr w14:val="tx1"/>
                  </w14:solidFill>
                </w14:textFill>
              </w:rPr>
              <w:t>F；其他（）</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预测分析内容</w:t>
            </w:r>
          </w:p>
        </w:tc>
        <w:tc>
          <w:tcPr>
            <w:tcW w:w="3293"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影响范围（）影响程度（）</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预测结论</w:t>
            </w:r>
          </w:p>
        </w:tc>
        <w:tc>
          <w:tcPr>
            <w:tcW w:w="3293" w:type="pct"/>
            <w:gridSpan w:val="6"/>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达标结论；a)；b)；c)  不达标结论；a)；b)</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防治措施</w:t>
            </w: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防控措施</w:t>
            </w:r>
          </w:p>
        </w:tc>
        <w:tc>
          <w:tcPr>
            <w:tcW w:w="3293" w:type="pct"/>
            <w:gridSpan w:val="6"/>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土壤环境质量现状保障；源头控制；过程防控；其他（）</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跟踪监测</w:t>
            </w:r>
          </w:p>
        </w:tc>
        <w:tc>
          <w:tcPr>
            <w:tcW w:w="1134"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监测点数</w:t>
            </w:r>
          </w:p>
        </w:tc>
        <w:tc>
          <w:tcPr>
            <w:tcW w:w="1183"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监测指标</w:t>
            </w:r>
          </w:p>
        </w:tc>
        <w:tc>
          <w:tcPr>
            <w:tcW w:w="97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监测频次</w:t>
            </w:r>
          </w:p>
        </w:tc>
        <w:tc>
          <w:tcPr>
            <w:tcW w:w="618" w:type="pct"/>
            <w:vMerge w:val="restar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Merge w:val="continue"/>
            <w:vAlign w:val="center"/>
          </w:tcPr>
          <w:p>
            <w:pPr>
              <w:pStyle w:val="332"/>
              <w:rPr>
                <w:color w:val="000000" w:themeColor="text1"/>
                <w14:textFill>
                  <w14:solidFill>
                    <w14:schemeClr w14:val="tx1"/>
                  </w14:solidFill>
                </w14:textFill>
              </w:rPr>
            </w:pPr>
          </w:p>
        </w:tc>
        <w:tc>
          <w:tcPr>
            <w:tcW w:w="1134" w:type="pct"/>
            <w:gridSpan w:val="2"/>
            <w:vAlign w:val="center"/>
          </w:tcPr>
          <w:p>
            <w:pPr>
              <w:pStyle w:val="332"/>
              <w:rPr>
                <w:color w:val="000000" w:themeColor="text1"/>
                <w14:textFill>
                  <w14:solidFill>
                    <w14:schemeClr w14:val="tx1"/>
                  </w14:solidFill>
                </w14:textFill>
              </w:rPr>
            </w:pPr>
          </w:p>
        </w:tc>
        <w:tc>
          <w:tcPr>
            <w:tcW w:w="1183" w:type="pct"/>
            <w:gridSpan w:val="2"/>
            <w:vAlign w:val="center"/>
          </w:tcPr>
          <w:p>
            <w:pPr>
              <w:pStyle w:val="332"/>
              <w:rPr>
                <w:color w:val="000000" w:themeColor="text1"/>
                <w14:textFill>
                  <w14:solidFill>
                    <w14:schemeClr w14:val="tx1"/>
                  </w14:solidFill>
                </w14:textFill>
              </w:rPr>
            </w:pPr>
          </w:p>
        </w:tc>
        <w:tc>
          <w:tcPr>
            <w:tcW w:w="976" w:type="pct"/>
            <w:gridSpan w:val="2"/>
            <w:vAlign w:val="center"/>
          </w:tcPr>
          <w:p>
            <w:pPr>
              <w:pStyle w:val="332"/>
              <w:rPr>
                <w:color w:val="000000" w:themeColor="text1"/>
                <w14:textFill>
                  <w14:solidFill>
                    <w14:schemeClr w14:val="tx1"/>
                  </w14:solidFill>
                </w14:textFill>
              </w:rPr>
            </w:pPr>
          </w:p>
        </w:tc>
        <w:tc>
          <w:tcPr>
            <w:tcW w:w="618"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4" w:type="pct"/>
            <w:vMerge w:val="continue"/>
            <w:vAlign w:val="center"/>
          </w:tcPr>
          <w:p>
            <w:pPr>
              <w:pStyle w:val="332"/>
              <w:rPr>
                <w:color w:val="000000" w:themeColor="text1"/>
                <w14:textFill>
                  <w14:solidFill>
                    <w14:schemeClr w14:val="tx1"/>
                  </w14:solidFill>
                </w14:textFill>
              </w:rPr>
            </w:pPr>
          </w:p>
        </w:tc>
        <w:tc>
          <w:tcPr>
            <w:tcW w:w="88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信息公开指标</w:t>
            </w:r>
          </w:p>
        </w:tc>
        <w:tc>
          <w:tcPr>
            <w:tcW w:w="3293" w:type="pct"/>
            <w:gridSpan w:val="6"/>
            <w:vAlign w:val="center"/>
          </w:tcPr>
          <w:p>
            <w:pPr>
              <w:pStyle w:val="332"/>
              <w:rPr>
                <w:color w:val="000000" w:themeColor="text1"/>
                <w14:textFill>
                  <w14:solidFill>
                    <w14:schemeClr w14:val="tx1"/>
                  </w14:solidFill>
                </w14:textFill>
              </w:rPr>
            </w:pPr>
          </w:p>
        </w:tc>
        <w:tc>
          <w:tcPr>
            <w:tcW w:w="618"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89"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评价结论</w:t>
            </w:r>
          </w:p>
        </w:tc>
        <w:tc>
          <w:tcPr>
            <w:tcW w:w="3293" w:type="pct"/>
            <w:gridSpan w:val="6"/>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项目建设对场区及周围土壤环境的影响可接受</w:t>
            </w:r>
          </w:p>
        </w:tc>
        <w:tc>
          <w:tcPr>
            <w:tcW w:w="618" w:type="pct"/>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000" w:type="pct"/>
            <w:gridSpan w:val="9"/>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注</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1：“□”为勾选项，可打√；“（）”为内容填写项；“备注”为其他补充内容。</w:t>
            </w:r>
          </w:p>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注</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2：需要分别开展土壤环境影响评级工作的，分别填写自查表</w:t>
            </w:r>
          </w:p>
        </w:tc>
      </w:tr>
    </w:tbl>
    <w:p>
      <w:pPr>
        <w:pStyle w:val="3"/>
        <w:spacing w:before="120" w:after="120"/>
        <w:rPr>
          <w:rFonts w:cs="Times New Roman"/>
          <w:color w:val="000000" w:themeColor="text1"/>
          <w14:textFill>
            <w14:solidFill>
              <w14:schemeClr w14:val="tx1"/>
            </w14:solidFill>
          </w14:textFill>
        </w:rPr>
      </w:pPr>
      <w:bookmarkStart w:id="595" w:name="_Toc91163948"/>
      <w:r>
        <w:rPr>
          <w:rFonts w:cs="Times New Roman"/>
          <w:color w:val="000000" w:themeColor="text1"/>
          <w14:textFill>
            <w14:solidFill>
              <w14:schemeClr w14:val="tx1"/>
            </w14:solidFill>
          </w14:textFill>
        </w:rPr>
        <w:t>5.8  运营期生态影响分析</w:t>
      </w:r>
      <w:bookmarkEnd w:id="59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根据现场调查，项目所在地为周边多为耕地，周围以农业生态环境为主。</w:t>
      </w:r>
    </w:p>
    <w:p>
      <w:pPr>
        <w:pStyle w:val="4"/>
        <w:rPr>
          <w:rFonts w:cs="Times New Roman"/>
          <w:color w:val="000000" w:themeColor="text1"/>
          <w14:textFill>
            <w14:solidFill>
              <w14:schemeClr w14:val="tx1"/>
            </w14:solidFill>
          </w14:textFill>
        </w:rPr>
      </w:pPr>
      <w:bookmarkStart w:id="596" w:name="_Toc91163949"/>
      <w:r>
        <w:rPr>
          <w:rFonts w:cs="Times New Roman"/>
          <w:color w:val="000000" w:themeColor="text1"/>
          <w14:textFill>
            <w14:solidFill>
              <w14:schemeClr w14:val="tx1"/>
            </w14:solidFill>
          </w14:textFill>
        </w:rPr>
        <w:t>5.8.1 影响分析</w:t>
      </w:r>
      <w:bookmarkEnd w:id="596"/>
    </w:p>
    <w:p>
      <w:pPr>
        <w:pStyle w:val="5"/>
        <w:rPr>
          <w:color w:val="000000" w:themeColor="text1"/>
          <w14:textFill>
            <w14:solidFill>
              <w14:schemeClr w14:val="tx1"/>
            </w14:solidFill>
          </w14:textFill>
        </w:rPr>
      </w:pPr>
      <w:r>
        <w:rPr>
          <w:color w:val="000000" w:themeColor="text1"/>
          <w14:textFill>
            <w14:solidFill>
              <w14:schemeClr w14:val="tx1"/>
            </w14:solidFill>
          </w14:textFill>
        </w:rPr>
        <w:t>5.8.1.1对农业生态环境影响</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1、废水对农业生态环境影响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运营期间生产废水、生活污水经“预处理+厌氧处理+沼液暂存+沼液返田”后产生的沼液用于农田施肥，沼渣运至有机肥粪棚堆肥，在企业严格按照操作规程进行的情况下，不会对区域的生态环境造成严重影响。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沼液用于周围农田施肥。沼液在保持和提高土壤肥力的效果上远远超过化肥。其中的磷属有机磷，肥效优于磷酸钙，不易被固定，相对提高了磷肥肥效；其中含有大量腐殖质，可改良土壤并提高产量；能提高土壤水分、温度、空气和肥效，适时满足作物生长发育的需要。由此可见，本工程沼液的有效利用可使周围农作物增产，对其产生有利的影响。</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2、固废对农业生态环境的影响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1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不利影响分析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本项目运营期固体废物主要包括猪粪便、病死猪尸体及生活垃圾等。根据工程分析可知，对所有固体废物均采用了合理的综合利用和处置措施，不会对土壤造成不利影响。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2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有利影响分析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堆肥发酵后的猪粪和沼渣是一种优质高效有机肥，养分含量高而全，富含农作物生长所必需的氮、磷、钾等元素，施入农田，可使农田植株健壮、叶片嫩绿而厚实，并且堆肥由于发酵将大部分病菌虫卵被杀死，减少了病虫源，使植物健康生长。</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猪粪富含丰富的有机质和较多的腐殖酸，对改良土壤起着重要作用。长期使用能使土壤疏松，肥力增强，每亩增产10%-12%，并可改善长年施用化肥所致的土壤板结现象，调解土壤理化性状培肥地力。</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本工程猪粪便等堆肥发酵后有效利用可使周围农作物增产，对其产生有利的影响。</w:t>
      </w:r>
    </w:p>
    <w:p>
      <w:pPr>
        <w:pStyle w:val="5"/>
        <w:rPr>
          <w:color w:val="000000" w:themeColor="text1"/>
          <w14:textFill>
            <w14:solidFill>
              <w14:schemeClr w14:val="tx1"/>
            </w14:solidFill>
          </w14:textFill>
        </w:rPr>
      </w:pPr>
      <w:r>
        <w:rPr>
          <w:color w:val="000000" w:themeColor="text1"/>
          <w14:textFill>
            <w14:solidFill>
              <w14:schemeClr w14:val="tx1"/>
            </w14:solidFill>
          </w14:textFill>
        </w:rPr>
        <w:t>5.8.1.2对动植物影响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项目所在地为周边多为耕地，周围以农业生态环境为主，建成后对植被、植物种类和群落分布以及动物区系的基本组成和性质不会发生变化。这是因为：</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评价区内主要生态过程过去、现在和将来都将以人为控制为主。自然植被、村庄、乡镇企业、农田、经济林和保护林等景观格局也不会明显改变。</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运营期间生产废水、生活污水经厌氧发酵后用于农田施肥，在企业严格按照操作规程进行的情况下，不会对区域的生态环境造成严重影响。</w:t>
      </w:r>
    </w:p>
    <w:p>
      <w:pPr>
        <w:pStyle w:val="5"/>
        <w:rPr>
          <w:color w:val="000000" w:themeColor="text1"/>
          <w14:textFill>
            <w14:solidFill>
              <w14:schemeClr w14:val="tx1"/>
            </w14:solidFill>
          </w14:textFill>
        </w:rPr>
      </w:pPr>
      <w:r>
        <w:rPr>
          <w:color w:val="000000" w:themeColor="text1"/>
          <w14:textFill>
            <w14:solidFill>
              <w14:schemeClr w14:val="tx1"/>
            </w14:solidFill>
          </w14:textFill>
        </w:rPr>
        <w:t>5.8.1.3对人体建康影响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臭味有害于人体健康，恶臭对人的大脑皮层是一种恶性刺激，长期呆在恶臭环境里，会使人产生恶心、头晕、疲劳、食欲不振等症状。恶臭环境还会使某疾病恶化。</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评价提出通过饲料添加剂、在猪舍等产生恶臭的场所周围和粪便中添加掩臭剂等措施降低臭气排放强度，减少对周围人群健康的影响。</w:t>
      </w:r>
    </w:p>
    <w:p>
      <w:pPr>
        <w:pStyle w:val="4"/>
        <w:rPr>
          <w:rFonts w:cs="Times New Roman"/>
          <w:color w:val="000000" w:themeColor="text1"/>
          <w14:textFill>
            <w14:solidFill>
              <w14:schemeClr w14:val="tx1"/>
            </w14:solidFill>
          </w14:textFill>
        </w:rPr>
      </w:pPr>
      <w:bookmarkStart w:id="597" w:name="_Toc91163950"/>
      <w:r>
        <w:rPr>
          <w:rFonts w:cs="Times New Roman"/>
          <w:color w:val="000000" w:themeColor="text1"/>
          <w14:textFill>
            <w14:solidFill>
              <w14:schemeClr w14:val="tx1"/>
            </w14:solidFill>
          </w14:textFill>
        </w:rPr>
        <w:t>5.8.2 防护措施</w:t>
      </w:r>
      <w:bookmarkEnd w:id="59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加强建设项目自身的污染治理，采用先进、高效的防治措施减少全场“三废”排放对当地生态环境影响。本项目投产运营后各项污染物做到了达标排放，但排放总量仍然会对当地环境造成一定影响。因此应从全场范围进行严格管理，使全场污染物排放总量进一步削减，减轻对区域环境污染。</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运营期废水经厌氧发酵处理后的沼液用于周围农田施肥，应根据当地农作物施肥规律进行施肥，控制施肥量，在非施肥期及雨季禁止施肥。同时，运营期应对沼液施肥进行调查，提高沼液的利用率，避免过度施肥带来的环境问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为进一步改善区域生态环境，建设单位在加强场内“三废”治理同时，还应加强场内绿化和硬化工作，保证项目建成后，地面硬化。利用植物作为治理工业污染的一种经济手段，发挥它们在吸收有害气体、净化空气、降低噪声、改善环境、保持生态平衡方面的作用。重点为：生产区、办公生活区和道路两侧，应以乔木绿化为主，乔、灌、草合理配置；在厂界四周根据实际条件营造防护林，用以防止污染物对周边生态环境的影响。绿色植物具有多种环境生态效应，如调节空气、温度、湿度，阻挡风沙、滞留空气中的灰尘、吸收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等有害气体等，有些植物还有一定的杀菌能力，此外，树本身还有降噪隔声的功能。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4、随着项目建设，场内应健全管理体制，加强生态意识教育，以利于生态环境资源保护。</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5、严格保护项目周边的农田生态系统，不得向外扩张和多占土地，所有设施和道路建设不能妨碍农田基本设施的正常运行和周边居民的正常的生产生活活动。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6、粪污处理区的各种污水池、管道沟等处底部均须进行防渗、硬化处理，并定期进行检查、维修。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7、加强对职工的素质教育，增强清洁生产的自觉性，加强生产过程管理，节能降耗，从源头治理开始，把污染降低到最低程度。</w:t>
      </w:r>
    </w:p>
    <w:p>
      <w:pPr>
        <w:pStyle w:val="4"/>
        <w:rPr>
          <w:rFonts w:cs="Times New Roman"/>
          <w:color w:val="000000" w:themeColor="text1"/>
          <w14:textFill>
            <w14:solidFill>
              <w14:schemeClr w14:val="tx1"/>
            </w14:solidFill>
          </w14:textFill>
        </w:rPr>
      </w:pPr>
      <w:bookmarkStart w:id="598" w:name="_Toc91163951"/>
      <w:r>
        <w:rPr>
          <w:rFonts w:cs="Times New Roman"/>
          <w:color w:val="000000" w:themeColor="text1"/>
          <w14:textFill>
            <w14:solidFill>
              <w14:schemeClr w14:val="tx1"/>
            </w14:solidFill>
          </w14:textFill>
        </w:rPr>
        <w:t>5.8.3 生态环境恢复</w:t>
      </w:r>
      <w:bookmarkEnd w:id="598"/>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绿化是改善生态环境的最重要途径之一。绿化具有蓄水、挡风、固沙、降噪、改善小气候、防止水土流失等功能。因此，在项目建设过程中，应有绿化规划，在单项工程设计中应把绿化设计作为一项重要的环保工程来对待，本项目绿化面积</w:t>
      </w:r>
      <w:r>
        <w:rPr>
          <w:rFonts w:cs="Times New Roman"/>
          <w:color w:val="000000" w:themeColor="text1"/>
          <w:lang w:bidi="en-US"/>
          <w14:textFill>
            <w14:solidFill>
              <w14:schemeClr w14:val="tx1"/>
            </w14:solidFill>
          </w14:textFill>
        </w:rPr>
        <w:t>7076 m</w:t>
      </w:r>
      <w:r>
        <w:rPr>
          <w:rFonts w:cs="Times New Roman"/>
          <w:color w:val="000000" w:themeColor="text1"/>
          <w:vertAlign w:val="superscript"/>
          <w:lang w:bidi="en-US"/>
          <w14:textFill>
            <w14:solidFill>
              <w14:schemeClr w14:val="tx1"/>
            </w14:solidFill>
          </w14:textFill>
        </w:rPr>
        <w:t>2</w:t>
      </w:r>
      <w:r>
        <w:rPr>
          <w:rFonts w:cs="Times New Roman"/>
          <w:color w:val="000000" w:themeColor="text1"/>
          <w:lang w:bidi="en-US"/>
          <w14:textFill>
            <w14:solidFill>
              <w14:schemeClr w14:val="tx1"/>
            </w14:solidFill>
          </w14:textFill>
        </w:rPr>
        <w:t>。</w:t>
      </w:r>
    </w:p>
    <w:p>
      <w:pPr>
        <w:pStyle w:val="4"/>
        <w:rPr>
          <w:rFonts w:cs="Times New Roman"/>
          <w:color w:val="000000" w:themeColor="text1"/>
          <w14:textFill>
            <w14:solidFill>
              <w14:schemeClr w14:val="tx1"/>
            </w14:solidFill>
          </w14:textFill>
        </w:rPr>
      </w:pPr>
      <w:bookmarkStart w:id="599" w:name="_Toc91163952"/>
      <w:r>
        <w:rPr>
          <w:rFonts w:cs="Times New Roman"/>
          <w:color w:val="000000" w:themeColor="text1"/>
          <w14:textFill>
            <w14:solidFill>
              <w14:schemeClr w14:val="tx1"/>
            </w14:solidFill>
          </w14:textFill>
        </w:rPr>
        <w:t>5.8.4 评价结论</w:t>
      </w:r>
      <w:bookmarkEnd w:id="599"/>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本项目运营期对生态环境影响主要表现为废水、固废对周围农作物、植被生长、人群健康的影响方面；本项目产生的猪尿液、粪便对周围土壤、农作物具有有益影响。</w:t>
      </w:r>
    </w:p>
    <w:p>
      <w:pPr>
        <w:pStyle w:val="3"/>
        <w:spacing w:before="120" w:after="120"/>
        <w:rPr>
          <w:rFonts w:cs="Times New Roman"/>
          <w:color w:val="000000" w:themeColor="text1"/>
          <w14:textFill>
            <w14:solidFill>
              <w14:schemeClr w14:val="tx1"/>
            </w14:solidFill>
          </w14:textFill>
        </w:rPr>
      </w:pPr>
      <w:bookmarkStart w:id="600" w:name="_Toc91163953"/>
      <w:r>
        <w:rPr>
          <w:rFonts w:cs="Times New Roman"/>
          <w:color w:val="000000" w:themeColor="text1"/>
          <w14:textFill>
            <w14:solidFill>
              <w14:schemeClr w14:val="tx1"/>
            </w14:solidFill>
          </w14:textFill>
        </w:rPr>
        <w:t>5.9  运营期环境风险预测与评价</w:t>
      </w:r>
      <w:bookmarkEnd w:id="600"/>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建设项目环境风险评价技术导则》（HJ169-2018），环境风险评价基本内容包括风险源调查、环境风险潜势初判、风险识别、风险事故情形分析、风险预测与评价、环境风险管理等。因此本项目的环境风险评价内容如下：</w:t>
      </w:r>
    </w:p>
    <w:p>
      <w:pPr>
        <w:pStyle w:val="4"/>
        <w:rPr>
          <w:rFonts w:cs="Times New Roman"/>
          <w:color w:val="000000" w:themeColor="text1"/>
          <w14:textFill>
            <w14:solidFill>
              <w14:schemeClr w14:val="tx1"/>
            </w14:solidFill>
          </w14:textFill>
        </w:rPr>
      </w:pPr>
      <w:bookmarkStart w:id="601" w:name="_Toc91163954"/>
      <w:r>
        <w:rPr>
          <w:rFonts w:cs="Times New Roman"/>
          <w:color w:val="000000" w:themeColor="text1"/>
          <w14:textFill>
            <w14:solidFill>
              <w14:schemeClr w14:val="tx1"/>
            </w14:solidFill>
          </w14:textFill>
        </w:rPr>
        <w:t>5.9.1 风险调查</w:t>
      </w:r>
      <w:bookmarkEnd w:id="601"/>
    </w:p>
    <w:p>
      <w:pPr>
        <w:pStyle w:val="5"/>
        <w:rPr>
          <w:color w:val="000000" w:themeColor="text1"/>
          <w14:textFill>
            <w14:solidFill>
              <w14:schemeClr w14:val="tx1"/>
            </w14:solidFill>
          </w14:textFill>
        </w:rPr>
      </w:pPr>
      <w:r>
        <w:rPr>
          <w:color w:val="000000" w:themeColor="text1"/>
          <w14:textFill>
            <w14:solidFill>
              <w14:schemeClr w14:val="tx1"/>
            </w14:solidFill>
          </w14:textFill>
        </w:rPr>
        <w:t>5.9.1.1风险源调查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本项目项目涉及到的主要危险物质为沼气（主要成分为甲烷〉和高浓度有机废水(COD≥10000 mg/L)。根据《建设项目环境风险评价技术导则》(H/T169-2018）附录B，拟建项目涉及的主要危险物质为沼气和高浓度有机废水（COD&gt;10000 mg/L)。</w:t>
      </w:r>
    </w:p>
    <w:p>
      <w:pPr>
        <w:pStyle w:val="5"/>
        <w:rPr>
          <w:color w:val="000000" w:themeColor="text1"/>
          <w14:textFill>
            <w14:solidFill>
              <w14:schemeClr w14:val="tx1"/>
            </w14:solidFill>
          </w14:textFill>
        </w:rPr>
      </w:pPr>
      <w:r>
        <w:rPr>
          <w:color w:val="000000" w:themeColor="text1"/>
          <w14:textFill>
            <w14:solidFill>
              <w14:schemeClr w14:val="tx1"/>
            </w14:solidFill>
          </w14:textFill>
        </w:rPr>
        <w:t>5.9.1.2环境敏感目标调查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本项目周边未发现国家和省级重点保护及珍稀、濒危动植物，无重要的景观资源、自然保护区、风景名胜区、文物古迹等。</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表5.9-1 本项目环境敏感目标</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1298"/>
        <w:gridCol w:w="217"/>
        <w:gridCol w:w="1504"/>
        <w:gridCol w:w="312"/>
        <w:gridCol w:w="453"/>
        <w:gridCol w:w="1059"/>
        <w:gridCol w:w="908"/>
        <w:gridCol w:w="909"/>
        <w:gridCol w:w="11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5000" w:type="pct"/>
            <w:gridSpan w:val="10"/>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环境空气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805"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1626" w:type="pct"/>
            <w:gridSpan w:val="3"/>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坐标</w:t>
            </w:r>
          </w:p>
        </w:tc>
        <w:tc>
          <w:tcPr>
            <w:tcW w:w="412" w:type="pct"/>
            <w:gridSpan w:val="2"/>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保护对象</w:t>
            </w:r>
          </w:p>
        </w:tc>
        <w:tc>
          <w:tcPr>
            <w:tcW w:w="570"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保护内容/人</w:t>
            </w:r>
          </w:p>
        </w:tc>
        <w:tc>
          <w:tcPr>
            <w:tcW w:w="489"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环境功能区</w:t>
            </w:r>
          </w:p>
        </w:tc>
        <w:tc>
          <w:tcPr>
            <w:tcW w:w="489"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相对工程方位</w:t>
            </w:r>
          </w:p>
        </w:tc>
        <w:tc>
          <w:tcPr>
            <w:tcW w:w="609"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相对工程距离/m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805" w:type="pct"/>
            <w:vMerge w:val="continue"/>
            <w:vAlign w:val="center"/>
          </w:tcPr>
          <w:p>
            <w:pPr>
              <w:pStyle w:val="332"/>
              <w:rPr>
                <w:color w:val="000000" w:themeColor="text1"/>
                <w14:textFill>
                  <w14:solidFill>
                    <w14:schemeClr w14:val="tx1"/>
                  </w14:solidFill>
                </w14:textFill>
              </w:rPr>
            </w:pPr>
          </w:p>
        </w:tc>
        <w:tc>
          <w:tcPr>
            <w:tcW w:w="81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E/°</w:t>
            </w:r>
          </w:p>
        </w:tc>
        <w:tc>
          <w:tcPr>
            <w:tcW w:w="81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w:t>
            </w:r>
          </w:p>
        </w:tc>
        <w:tc>
          <w:tcPr>
            <w:tcW w:w="412" w:type="pct"/>
            <w:gridSpan w:val="2"/>
            <w:vMerge w:val="continue"/>
            <w:vAlign w:val="center"/>
          </w:tcPr>
          <w:p>
            <w:pPr>
              <w:pStyle w:val="332"/>
              <w:rPr>
                <w:color w:val="000000" w:themeColor="text1"/>
                <w14:textFill>
                  <w14:solidFill>
                    <w14:schemeClr w14:val="tx1"/>
                  </w14:solidFill>
                </w14:textFill>
              </w:rPr>
            </w:pPr>
          </w:p>
        </w:tc>
        <w:tc>
          <w:tcPr>
            <w:tcW w:w="570" w:type="pct"/>
            <w:vMerge w:val="continue"/>
            <w:vAlign w:val="center"/>
          </w:tcPr>
          <w:p>
            <w:pPr>
              <w:pStyle w:val="332"/>
              <w:rPr>
                <w:color w:val="000000" w:themeColor="text1"/>
                <w14:textFill>
                  <w14:solidFill>
                    <w14:schemeClr w14:val="tx1"/>
                  </w14:solidFill>
                </w14:textFill>
              </w:rPr>
            </w:pPr>
          </w:p>
        </w:tc>
        <w:tc>
          <w:tcPr>
            <w:tcW w:w="489" w:type="pct"/>
            <w:vMerge w:val="continue"/>
            <w:vAlign w:val="center"/>
          </w:tcPr>
          <w:p>
            <w:pPr>
              <w:pStyle w:val="332"/>
              <w:rPr>
                <w:color w:val="000000" w:themeColor="text1"/>
                <w14:textFill>
                  <w14:solidFill>
                    <w14:schemeClr w14:val="tx1"/>
                  </w14:solidFill>
                </w14:textFill>
              </w:rPr>
            </w:pPr>
          </w:p>
        </w:tc>
        <w:tc>
          <w:tcPr>
            <w:tcW w:w="489" w:type="pct"/>
            <w:vMerge w:val="continue"/>
            <w:vAlign w:val="center"/>
          </w:tcPr>
          <w:p>
            <w:pPr>
              <w:pStyle w:val="332"/>
              <w:rPr>
                <w:color w:val="000000" w:themeColor="text1"/>
                <w14:textFill>
                  <w14:solidFill>
                    <w14:schemeClr w14:val="tx1"/>
                  </w14:solidFill>
                </w14:textFill>
              </w:rPr>
            </w:pPr>
          </w:p>
        </w:tc>
        <w:tc>
          <w:tcPr>
            <w:tcW w:w="609"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杨家湾村</w:t>
            </w:r>
          </w:p>
        </w:tc>
        <w:tc>
          <w:tcPr>
            <w:tcW w:w="81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112.824522</w:t>
            </w:r>
          </w:p>
        </w:tc>
        <w:tc>
          <w:tcPr>
            <w:tcW w:w="81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36.292518</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557人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牛角川村</w:t>
            </w:r>
          </w:p>
        </w:tc>
        <w:tc>
          <w:tcPr>
            <w:tcW w:w="81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112.842546</w:t>
            </w:r>
          </w:p>
        </w:tc>
        <w:tc>
          <w:tcPr>
            <w:tcW w:w="81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36.279128</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980人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NE</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东庄村</w:t>
            </w:r>
          </w:p>
        </w:tc>
        <w:tc>
          <w:tcPr>
            <w:tcW w:w="81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112.838770</w:t>
            </w:r>
          </w:p>
        </w:tc>
        <w:tc>
          <w:tcPr>
            <w:tcW w:w="81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36.265224</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912人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SE</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北部村</w:t>
            </w:r>
          </w:p>
        </w:tc>
        <w:tc>
          <w:tcPr>
            <w:tcW w:w="81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112.840915</w:t>
            </w:r>
          </w:p>
        </w:tc>
        <w:tc>
          <w:tcPr>
            <w:tcW w:w="81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36.254753</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1400人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SE</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杜村</w:t>
            </w:r>
          </w:p>
        </w:tc>
        <w:tc>
          <w:tcPr>
            <w:tcW w:w="81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112.821689</w:t>
            </w:r>
          </w:p>
        </w:tc>
        <w:tc>
          <w:tcPr>
            <w:tcW w:w="81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36.263679</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897人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崔郭村</w:t>
            </w:r>
          </w:p>
        </w:tc>
        <w:tc>
          <w:tcPr>
            <w:tcW w:w="81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112.802635</w:t>
            </w:r>
          </w:p>
        </w:tc>
        <w:tc>
          <w:tcPr>
            <w:tcW w:w="81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36.265224</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1068人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SW</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苗岭村</w:t>
            </w:r>
          </w:p>
        </w:tc>
        <w:tc>
          <w:tcPr>
            <w:tcW w:w="81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112.816969</w:t>
            </w:r>
          </w:p>
        </w:tc>
        <w:tc>
          <w:tcPr>
            <w:tcW w:w="81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36.278785</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90人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NW</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赵家沟村</w:t>
            </w:r>
          </w:p>
        </w:tc>
        <w:tc>
          <w:tcPr>
            <w:tcW w:w="816"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112.807785</w:t>
            </w:r>
          </w:p>
        </w:tc>
        <w:tc>
          <w:tcPr>
            <w:tcW w:w="81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36.281360</w:t>
            </w:r>
          </w:p>
        </w:tc>
        <w:tc>
          <w:tcPr>
            <w:tcW w:w="412"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居民</w:t>
            </w:r>
          </w:p>
        </w:tc>
        <w:tc>
          <w:tcPr>
            <w:tcW w:w="570"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419人</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二类</w:t>
            </w:r>
          </w:p>
        </w:tc>
        <w:tc>
          <w:tcPr>
            <w:tcW w:w="48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NW</w:t>
            </w:r>
          </w:p>
        </w:tc>
        <w:tc>
          <w:tcPr>
            <w:tcW w:w="60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1810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000" w:type="pct"/>
            <w:gridSpan w:val="10"/>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保护对象</w:t>
            </w:r>
          </w:p>
        </w:tc>
        <w:tc>
          <w:tcPr>
            <w:tcW w:w="699"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相对方位</w:t>
            </w:r>
          </w:p>
        </w:tc>
        <w:tc>
          <w:tcPr>
            <w:tcW w:w="1095" w:type="pct"/>
            <w:gridSpan w:val="3"/>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距离</w:t>
            </w:r>
          </w:p>
        </w:tc>
        <w:tc>
          <w:tcPr>
            <w:tcW w:w="2401" w:type="pct"/>
            <w:gridSpan w:val="5"/>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05"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鸡鸣水河</w:t>
            </w:r>
          </w:p>
        </w:tc>
        <w:tc>
          <w:tcPr>
            <w:tcW w:w="699" w:type="pct"/>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w:t>
            </w:r>
          </w:p>
        </w:tc>
        <w:tc>
          <w:tcPr>
            <w:tcW w:w="1095" w:type="pct"/>
            <w:gridSpan w:val="3"/>
            <w:tcBorders>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1.4 km</w:t>
            </w:r>
          </w:p>
        </w:tc>
        <w:tc>
          <w:tcPr>
            <w:tcW w:w="2401" w:type="pct"/>
            <w:gridSpan w:val="5"/>
            <w:tcBorders>
              <w:bottom w:val="single" w:color="auto" w:sz="12" w:space="0"/>
            </w:tcBorders>
            <w:vAlign w:val="center"/>
          </w:tcPr>
          <w:p>
            <w:pPr>
              <w:pStyle w:val="332"/>
              <w:rPr>
                <w:color w:val="000000" w:themeColor="text1"/>
                <w14:textFill>
                  <w14:solidFill>
                    <w14:schemeClr w14:val="tx1"/>
                  </w14:solidFill>
                </w14:textFill>
              </w:rPr>
            </w:pPr>
            <w:r>
              <w:rPr>
                <w:bCs/>
                <w:color w:val="000000" w:themeColor="text1"/>
                <w14:textFill>
                  <w14:solidFill>
                    <w14:schemeClr w14:val="tx1"/>
                  </w14:solidFill>
                </w14:textFill>
              </w:rPr>
              <w:t>《地表水环境质量标准》（GB3838-2002）</w:t>
            </w:r>
            <w:r>
              <w:rPr>
                <w:color w:val="000000" w:themeColor="text1"/>
                <w14:textFill>
                  <w14:solidFill>
                    <w14:schemeClr w14:val="tx1"/>
                  </w14:solidFill>
                </w14:textFill>
              </w:rPr>
              <w:t>Ⅱ</w:t>
            </w:r>
            <w:r>
              <w:rPr>
                <w:bCs/>
                <w:color w:val="000000" w:themeColor="text1"/>
                <w14:textFill>
                  <w14:solidFill>
                    <w14:schemeClr w14:val="tx1"/>
                  </w14:solidFill>
                </w14:textFill>
              </w:rPr>
              <w:t>类标准</w:t>
            </w:r>
          </w:p>
        </w:tc>
      </w:tr>
    </w:tbl>
    <w:p>
      <w:pPr>
        <w:pStyle w:val="4"/>
        <w:rPr>
          <w:rFonts w:cs="Times New Roman"/>
          <w:color w:val="000000" w:themeColor="text1"/>
          <w14:textFill>
            <w14:solidFill>
              <w14:schemeClr w14:val="tx1"/>
            </w14:solidFill>
          </w14:textFill>
        </w:rPr>
      </w:pPr>
      <w:bookmarkStart w:id="602" w:name="_Toc91163955"/>
      <w:r>
        <w:rPr>
          <w:rFonts w:cs="Times New Roman"/>
          <w:color w:val="000000" w:themeColor="text1"/>
          <w14:textFill>
            <w14:solidFill>
              <w14:schemeClr w14:val="tx1"/>
            </w14:solidFill>
          </w14:textFill>
        </w:rPr>
        <w:t>5.9.2 风险潜势初判</w:t>
      </w:r>
      <w:bookmarkEnd w:id="602"/>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析建设项目生产、使用、储存过程中涉及的有毒有害、易燃易爆物质，参见附录B确定危险物质的临界量。定量分析危险物质数量与临界量的比值（Q）和所属行业及生产工艺特点(M)，按附录C对危险物质及工艺系统危险性(P)等级进行判断。</w:t>
      </w:r>
    </w:p>
    <w:p>
      <w:pPr>
        <w:pStyle w:val="5"/>
        <w:rPr>
          <w:color w:val="000000" w:themeColor="text1"/>
          <w14:textFill>
            <w14:solidFill>
              <w14:schemeClr w14:val="tx1"/>
            </w14:solidFill>
          </w14:textFill>
        </w:rPr>
      </w:pPr>
      <w:r>
        <w:rPr>
          <w:color w:val="000000" w:themeColor="text1"/>
          <w14:textFill>
            <w14:solidFill>
              <w14:schemeClr w14:val="tx1"/>
            </w14:solidFill>
          </w14:textFill>
        </w:rPr>
        <w:t>5.9.2.1P的分级确定</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1、危险物质数量与临界量比值（Q)</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依据HJ169-2018 来进行临界量比值计算。</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当只涉及一种危险物质时，计算该物质的总量与其临界量比值，即为Q；</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当存在多种危险物质时，计算该物质的总量与其临界量比值，即为Q：</w:t>
      </w:r>
    </w:p>
    <w:p>
      <w:pPr>
        <w:ind w:firstLine="480"/>
        <w:rPr>
          <w:rFonts w:cs="Times New Roman"/>
          <w:color w:val="000000" w:themeColor="text1"/>
          <w14:textFill>
            <w14:solidFill>
              <w14:schemeClr w14:val="tx1"/>
            </w14:solidFill>
          </w14:textFill>
        </w:rPr>
      </w:pPr>
      <m:oMathPara>
        <m:oMath>
          <m:r>
            <m:rPr>
              <m:sty m:val="p"/>
            </m:rPr>
            <w:rPr>
              <w:rFonts w:ascii="Cambria Math" w:hAnsi="Cambria Math" w:cs="Times New Roman"/>
              <w:color w:val="000000" w:themeColor="text1"/>
              <w14:textFill>
                <w14:solidFill>
                  <w14:schemeClr w14:val="tx1"/>
                </w14:solidFill>
              </w14:textFill>
            </w:rPr>
            <m:t>Q=</m:t>
          </m:r>
          <m:f>
            <m:fPr>
              <m:ctrlPr>
                <w:rPr>
                  <w:rFonts w:ascii="Cambria Math" w:hAnsi="Cambria Math" w:cs="Times New Roman"/>
                  <w:color w:val="000000" w:themeColor="text1"/>
                  <w14:textFill>
                    <w14:solidFill>
                      <w14:schemeClr w14:val="tx1"/>
                    </w14:solidFill>
                  </w14:textFill>
                </w:rPr>
              </m:ctrlPr>
            </m:fPr>
            <m:num>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q</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1</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Q</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1</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den>
          </m:f>
          <m:r>
            <m:rPr>
              <m:sty m:val="p"/>
            </m:rPr>
            <w:rPr>
              <w:rFonts w:ascii="Cambria Math" w:hAnsi="Cambria Math" w:cs="Times New Roman"/>
              <w:color w:val="000000" w:themeColor="text1"/>
              <w14:textFill>
                <w14:solidFill>
                  <w14:schemeClr w14:val="tx1"/>
                </w14:solidFill>
              </w14:textFill>
            </w:rPr>
            <m:t>+</m:t>
          </m:r>
          <m:f>
            <m:fPr>
              <m:ctrlPr>
                <w:rPr>
                  <w:rFonts w:ascii="Cambria Math" w:hAnsi="Cambria Math" w:cs="Times New Roman"/>
                  <w:color w:val="000000" w:themeColor="text1"/>
                  <w14:textFill>
                    <w14:solidFill>
                      <w14:schemeClr w14:val="tx1"/>
                    </w14:solidFill>
                  </w14:textFill>
                </w:rPr>
              </m:ctrlPr>
            </m:fPr>
            <m:num>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q</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2</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Q</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2</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den>
          </m:f>
          <m:r>
            <m:rPr>
              <m:sty m:val="p"/>
            </m:rPr>
            <w:rPr>
              <w:rFonts w:ascii="Cambria Math" w:hAnsi="Cambria Math" w:cs="Times New Roman"/>
              <w:color w:val="000000" w:themeColor="text1"/>
              <w14:textFill>
                <w14:solidFill>
                  <w14:schemeClr w14:val="tx1"/>
                </w14:solidFill>
              </w14:textFill>
            </w:rPr>
            <m:t>+⋯+</m:t>
          </m:r>
          <m:f>
            <m:fPr>
              <m:ctrlPr>
                <w:rPr>
                  <w:rFonts w:ascii="Cambria Math" w:hAnsi="Cambria Math" w:cs="Times New Roman"/>
                  <w:color w:val="000000" w:themeColor="text1"/>
                  <w14:textFill>
                    <w14:solidFill>
                      <w14:schemeClr w14:val="tx1"/>
                    </w14:solidFill>
                  </w14:textFill>
                </w:rPr>
              </m:ctrlPr>
            </m:fPr>
            <m:num>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q</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n</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num>
            <m:den>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Q</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n</m:t>
                  </m:r>
                  <m:ctrlPr>
                    <w:rPr>
                      <w:rFonts w:ascii="Cambria Math" w:hAnsi="Cambria Math" w:cs="Times New Roman"/>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den>
          </m:f>
        </m:oMath>
      </m:oMathPara>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w:t>
      </w: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q</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1</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w:t>
      </w: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q</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2</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w:t>
      </w:r>
      <m:oMath>
        <m:sSub>
          <m:sSubPr>
            <m:ctrlPr>
              <w:rPr>
                <w:rFonts w:ascii="Cambria Math" w:hAnsi="Cambria Math" w:cs="Times New Roman"/>
                <w:color w:val="000000" w:themeColor="text1"/>
                <w14:textFill>
                  <w14:solidFill>
                    <w14:schemeClr w14:val="tx1"/>
                  </w14:solidFill>
                </w14:textFill>
              </w:rPr>
            </m:ctrlPr>
          </m:sSubPr>
          <m:e>
            <m:r>
              <m:rPr>
                <m:sty m:val="p"/>
              </m:rPr>
              <w:rPr>
                <w:rFonts w:ascii="Cambria Math" w:hAnsi="Cambria Math" w:cs="Times New Roman"/>
                <w:color w:val="000000" w:themeColor="text1"/>
                <w14:textFill>
                  <w14:solidFill>
                    <w14:schemeClr w14:val="tx1"/>
                  </w14:solidFill>
                </w14:textFill>
              </w:rPr>
              <m:t>q</m:t>
            </m:r>
            <m:ctrlPr>
              <w:rPr>
                <w:rFonts w:ascii="Cambria Math" w:hAnsi="Cambria Math" w:cs="Times New Roman"/>
                <w:color w:val="000000" w:themeColor="text1"/>
                <w14:textFill>
                  <w14:solidFill>
                    <w14:schemeClr w14:val="tx1"/>
                  </w14:solidFill>
                </w14:textFill>
              </w:rPr>
            </m:ctrlPr>
          </m:e>
          <m:sub>
            <m:r>
              <m:rPr>
                <m:sty m:val="p"/>
              </m:rPr>
              <w:rPr>
                <w:rFonts w:ascii="Cambria Math" w:hAnsi="Cambria Math" w:cs="Times New Roman"/>
                <w:color w:val="000000" w:themeColor="text1"/>
                <w14:textFill>
                  <w14:solidFill>
                    <w14:schemeClr w14:val="tx1"/>
                  </w14:solidFill>
                </w14:textFill>
              </w:rPr>
              <m:t>n</m:t>
            </m:r>
            <m:ctrlPr>
              <w:rPr>
                <w:rFonts w:ascii="Cambria Math" w:hAnsi="Cambria Math" w:cs="Times New Roman"/>
                <w:color w:val="000000" w:themeColor="text1"/>
                <w14:textFill>
                  <w14:solidFill>
                    <w14:schemeClr w14:val="tx1"/>
                  </w14:solidFill>
                </w14:textFill>
              </w:rPr>
            </m:ctrlPr>
          </m:sub>
        </m:sSub>
      </m:oMath>
      <w:r>
        <w:rPr>
          <w:rFonts w:cs="Times New Roman"/>
          <w:color w:val="000000" w:themeColor="text1"/>
          <w14:textFill>
            <w14:solidFill>
              <w14:schemeClr w14:val="tx1"/>
            </w14:solidFill>
          </w14:textFill>
        </w:rPr>
        <w:t>—每种危险物的最大存在总量（t）；</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Q</w:t>
      </w:r>
      <w:r>
        <w:rPr>
          <w:rFonts w:cs="Times New Roman"/>
          <w:color w:val="000000" w:themeColor="text1"/>
          <w:vertAlign w:val="subscript"/>
          <w14:textFill>
            <w14:solidFill>
              <w14:schemeClr w14:val="tx1"/>
            </w14:solidFill>
          </w14:textFill>
        </w:rPr>
        <w:t>1</w:t>
      </w:r>
      <w:r>
        <w:rPr>
          <w:rFonts w:cs="Times New Roman"/>
          <w:color w:val="000000" w:themeColor="text1"/>
          <w14:textFill>
            <w14:solidFill>
              <w14:schemeClr w14:val="tx1"/>
            </w14:solidFill>
          </w14:textFill>
        </w:rPr>
        <w:t>，Q</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…Q</w:t>
      </w:r>
      <w:r>
        <w:rPr>
          <w:rFonts w:cs="Times New Roman"/>
          <w:color w:val="000000" w:themeColor="text1"/>
          <w:vertAlign w:val="subscript"/>
          <w14:textFill>
            <w14:solidFill>
              <w14:schemeClr w14:val="tx1"/>
            </w14:solidFill>
          </w14:textFill>
        </w:rPr>
        <w:t>n</w:t>
      </w:r>
      <w:r>
        <w:rPr>
          <w:rFonts w:cs="Times New Roman"/>
          <w:color w:val="000000" w:themeColor="text1"/>
          <w14:textFill>
            <w14:solidFill>
              <w14:schemeClr w14:val="tx1"/>
            </w14:solidFill>
          </w14:textFill>
        </w:rPr>
        <w:t>—每种危险物质的临界量（t）。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当Q＜1时，该项目环境风险潜势为Ⅰ。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当Q≥1时，将Q值划分为（1）1≤Q＜10；（2）Q＜100；（3）Q≥100。</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根据项目特性，风险物质主要为沼气(以甲烷计)和养殖废水(COD≥10000 mg/L)，项目场区设黑膜沼气池一座，黑膜沼气池容积约为5000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，上层沼气储存量约2500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，甲烷密度按0.67 kg/Nm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计，因此其CH</w:t>
      </w:r>
      <w:r>
        <w:rPr>
          <w:rFonts w:cs="Times New Roman"/>
          <w:color w:val="000000" w:themeColor="text1"/>
          <w:vertAlign w:val="subscript"/>
          <w14:textFill>
            <w14:solidFill>
              <w14:schemeClr w14:val="tx1"/>
            </w14:solidFill>
          </w14:textFill>
        </w:rPr>
        <w:t>4</w:t>
      </w:r>
      <w:r>
        <w:rPr>
          <w:rFonts w:cs="Times New Roman"/>
          <w:color w:val="000000" w:themeColor="text1"/>
          <w14:textFill>
            <w14:solidFill>
              <w14:schemeClr w14:val="tx1"/>
            </w14:solidFill>
          </w14:textFill>
        </w:rPr>
        <w:t>的最大存储量为1.13 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项目场区内黑膜沼气池，收集池高浓度有机废水按照收集池容积为5000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，有效容积为2119.05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，则高浓度有机废水约为39.84 t（未经处理的混合废水浓度约为18800 mg/L)，Q值确定见下表。</w:t>
      </w:r>
      <w:r>
        <w:rPr>
          <w:rFonts w:cs="Times New Roman"/>
          <w:color w:val="000000" w:themeColor="text1"/>
          <w14:textFill>
            <w14:solidFill>
              <w14:schemeClr w14:val="tx1"/>
            </w14:solidFill>
          </w14:textFill>
        </w:rPr>
        <w:br w:type="page"/>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表5.9-2主要风险物质情况一览表</w:t>
      </w:r>
    </w:p>
    <w:p>
      <w:pPr>
        <w:kinsoku w:val="0"/>
        <w:overflowPunct w:val="0"/>
        <w:autoSpaceDE w:val="0"/>
        <w:autoSpaceDN w:val="0"/>
        <w:adjustRightInd w:val="0"/>
        <w:spacing w:before="5" w:line="240" w:lineRule="auto"/>
        <w:ind w:firstLine="0" w:firstLineChars="0"/>
        <w:jc w:val="left"/>
        <w:rPr>
          <w:rFonts w:cs="Times New Roman"/>
          <w:color w:val="000000" w:themeColor="text1"/>
          <w:kern w:val="0"/>
          <w:sz w:val="4"/>
          <w:szCs w:val="4"/>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413"/>
        <w:gridCol w:w="2232"/>
        <w:gridCol w:w="1278"/>
        <w:gridCol w:w="1686"/>
        <w:gridCol w:w="1318"/>
        <w:gridCol w:w="217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22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危险物质名称</w:t>
            </w:r>
          </w:p>
        </w:tc>
        <w:tc>
          <w:tcPr>
            <w:tcW w:w="70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CAS 号</w:t>
            </w:r>
          </w:p>
        </w:tc>
        <w:tc>
          <w:tcPr>
            <w:tcW w:w="92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最大存在总量 t</w:t>
            </w:r>
          </w:p>
        </w:tc>
        <w:tc>
          <w:tcPr>
            <w:tcW w:w="72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临界量 t</w:t>
            </w:r>
          </w:p>
        </w:tc>
        <w:tc>
          <w:tcPr>
            <w:tcW w:w="119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危险物质 Q 值</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2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沼气（甲烷）</w:t>
            </w:r>
          </w:p>
        </w:tc>
        <w:tc>
          <w:tcPr>
            <w:tcW w:w="70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74-82-8</w:t>
            </w:r>
          </w:p>
        </w:tc>
        <w:tc>
          <w:tcPr>
            <w:tcW w:w="92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1.13</w:t>
            </w:r>
          </w:p>
        </w:tc>
        <w:tc>
          <w:tcPr>
            <w:tcW w:w="72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19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0.11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122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养殖废水</w:t>
            </w:r>
          </w:p>
          <w:p>
            <w:pPr>
              <w:pStyle w:val="332"/>
              <w:rPr>
                <w:color w:val="000000" w:themeColor="text1"/>
                <w14:textFill>
                  <w14:solidFill>
                    <w14:schemeClr w14:val="tx1"/>
                  </w14:solidFill>
                </w14:textFill>
              </w:rPr>
            </w:pPr>
            <w:r>
              <w:rPr>
                <w:color w:val="000000" w:themeColor="text1"/>
                <w14:textFill>
                  <w14:solidFill>
                    <w14:schemeClr w14:val="tx1"/>
                  </w14:solidFill>
                </w14:textFill>
              </w:rPr>
              <w:t>（COD&gt;10000 mg/L）</w:t>
            </w:r>
          </w:p>
        </w:tc>
        <w:tc>
          <w:tcPr>
            <w:tcW w:w="702"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92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39.84</w:t>
            </w:r>
          </w:p>
        </w:tc>
        <w:tc>
          <w:tcPr>
            <w:tcW w:w="72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19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3.98</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通过计算，Q=4.09；1≤Q＜10。</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2、行业及生产工艺（M）</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析项目所属行业及生产工艺特点，按照表C.1评估生产工艺情况。具有多套工艺单元的项目，对每套生产工艺分别评分并求和。将M划分为（1）M＞20；（2）10＜M≤20；（3）5＜M≤10；（4）M=5，分别以M1、M2、M3和M4表示。</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表5.9-3行业及生产工艺（</w:t>
      </w:r>
      <w:r>
        <w:rPr>
          <w:rFonts w:cs="Times New Roman"/>
          <w:bCs/>
          <w:color w:val="000000" w:themeColor="text1"/>
          <w14:textFill>
            <w14:solidFill>
              <w14:schemeClr w14:val="tx1"/>
            </w14:solidFill>
          </w14:textFill>
        </w:rPr>
        <w:t>M</w:t>
      </w:r>
      <w:r>
        <w:rPr>
          <w:rFonts w:cs="Times New Roman"/>
          <w:color w:val="000000" w:themeColor="text1"/>
          <w14:textFill>
            <w14:solidFill>
              <w14:schemeClr w14:val="tx1"/>
            </w14:solidFill>
          </w14:textFill>
        </w:rPr>
        <w:t>）</w:t>
      </w:r>
    </w:p>
    <w:p>
      <w:pPr>
        <w:kinsoku w:val="0"/>
        <w:overflowPunct w:val="0"/>
        <w:autoSpaceDE w:val="0"/>
        <w:autoSpaceDN w:val="0"/>
        <w:adjustRightInd w:val="0"/>
        <w:spacing w:before="8" w:line="240" w:lineRule="auto"/>
        <w:ind w:firstLine="0" w:firstLineChars="0"/>
        <w:jc w:val="left"/>
        <w:rPr>
          <w:rFonts w:cs="Times New Roman"/>
          <w:color w:val="000000" w:themeColor="text1"/>
          <w:kern w:val="0"/>
          <w:sz w:val="4"/>
          <w:szCs w:val="4"/>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1129"/>
        <w:gridCol w:w="6603"/>
        <w:gridCol w:w="1365"/>
      </w:tblGrid>
      <w:tr>
        <w:tblPrEx>
          <w:tblCellMar>
            <w:top w:w="0" w:type="dxa"/>
            <w:left w:w="0" w:type="dxa"/>
            <w:bottom w:w="0" w:type="dxa"/>
            <w:right w:w="0" w:type="dxa"/>
          </w:tblCellMar>
        </w:tblPrEx>
        <w:trPr>
          <w:trHeight w:val="397" w:hRule="atLeast"/>
        </w:trPr>
        <w:tc>
          <w:tcPr>
            <w:tcW w:w="621" w:type="pct"/>
            <w:tcBorders>
              <w:top w:val="single" w:color="000000" w:sz="10"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行业</w:t>
            </w:r>
          </w:p>
        </w:tc>
        <w:tc>
          <w:tcPr>
            <w:tcW w:w="3629" w:type="pct"/>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评估依据</w:t>
            </w:r>
          </w:p>
        </w:tc>
        <w:tc>
          <w:tcPr>
            <w:tcW w:w="750" w:type="pct"/>
            <w:tcBorders>
              <w:top w:val="single" w:color="000000" w:sz="10"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分值</w:t>
            </w:r>
          </w:p>
        </w:tc>
      </w:tr>
      <w:tr>
        <w:tblPrEx>
          <w:tblCellMar>
            <w:top w:w="0" w:type="dxa"/>
            <w:left w:w="0" w:type="dxa"/>
            <w:bottom w:w="0" w:type="dxa"/>
            <w:right w:w="0" w:type="dxa"/>
          </w:tblCellMar>
        </w:tblPrEx>
        <w:trPr>
          <w:trHeight w:val="397" w:hRule="atLeast"/>
        </w:trPr>
        <w:tc>
          <w:tcPr>
            <w:tcW w:w="621" w:type="pct"/>
            <w:vMerge w:val="restar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石化、化工、医药、轻工、化纤、有色冶炼等</w:t>
            </w:r>
          </w:p>
        </w:tc>
        <w:tc>
          <w:tcPr>
            <w:tcW w:w="3629" w:type="pct"/>
            <w:tcBorders>
              <w:top w:val="single" w:color="000000" w:sz="4" w:space="0"/>
              <w:left w:val="single" w:color="000000" w:sz="4" w:space="0"/>
              <w:bottom w:val="single" w:color="000000" w:sz="4" w:space="0"/>
              <w:right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750"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10/套</w:t>
            </w:r>
          </w:p>
        </w:tc>
      </w:tr>
      <w:tr>
        <w:tblPrEx>
          <w:tblCellMar>
            <w:top w:w="0" w:type="dxa"/>
            <w:left w:w="0" w:type="dxa"/>
            <w:bottom w:w="0" w:type="dxa"/>
            <w:right w:w="0" w:type="dxa"/>
          </w:tblCellMar>
        </w:tblPrEx>
        <w:trPr>
          <w:trHeight w:val="397" w:hRule="atLeast"/>
        </w:trPr>
        <w:tc>
          <w:tcPr>
            <w:tcW w:w="621" w:type="pct"/>
            <w:vMerge w:val="continue"/>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3629" w:type="pct"/>
            <w:tcBorders>
              <w:top w:val="single" w:color="000000" w:sz="4" w:space="0"/>
              <w:left w:val="single" w:color="000000" w:sz="4" w:space="0"/>
              <w:bottom w:val="single" w:color="000000" w:sz="4" w:space="0"/>
              <w:right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无机酸制酸工艺、焦化工艺</w:t>
            </w:r>
          </w:p>
        </w:tc>
        <w:tc>
          <w:tcPr>
            <w:tcW w:w="750"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5/套</w:t>
            </w:r>
          </w:p>
        </w:tc>
      </w:tr>
      <w:tr>
        <w:tblPrEx>
          <w:tblCellMar>
            <w:top w:w="0" w:type="dxa"/>
            <w:left w:w="0" w:type="dxa"/>
            <w:bottom w:w="0" w:type="dxa"/>
            <w:right w:w="0" w:type="dxa"/>
          </w:tblCellMar>
        </w:tblPrEx>
        <w:trPr>
          <w:trHeight w:val="397" w:hRule="atLeast"/>
        </w:trPr>
        <w:tc>
          <w:tcPr>
            <w:tcW w:w="621" w:type="pct"/>
            <w:vMerge w:val="continue"/>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3629" w:type="pct"/>
            <w:tcBorders>
              <w:top w:val="single" w:color="000000" w:sz="4" w:space="0"/>
              <w:left w:val="single" w:color="000000" w:sz="4" w:space="0"/>
              <w:bottom w:val="single" w:color="000000" w:sz="4" w:space="0"/>
              <w:right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其他高温或高压，且涉及危险物质的工艺过程 a、危险物质贮存罐区</w:t>
            </w:r>
          </w:p>
        </w:tc>
        <w:tc>
          <w:tcPr>
            <w:tcW w:w="750"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5/套（罐区）</w:t>
            </w:r>
          </w:p>
        </w:tc>
      </w:tr>
      <w:tr>
        <w:tblPrEx>
          <w:tblCellMar>
            <w:top w:w="0" w:type="dxa"/>
            <w:left w:w="0" w:type="dxa"/>
            <w:bottom w:w="0" w:type="dxa"/>
            <w:right w:w="0" w:type="dxa"/>
          </w:tblCellMar>
        </w:tblPrEx>
        <w:trPr>
          <w:trHeight w:val="397" w:hRule="atLeast"/>
        </w:trPr>
        <w:tc>
          <w:tcPr>
            <w:tcW w:w="621"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管道、港口/码头等</w:t>
            </w:r>
          </w:p>
        </w:tc>
        <w:tc>
          <w:tcPr>
            <w:tcW w:w="3629" w:type="pct"/>
            <w:tcBorders>
              <w:top w:val="single" w:color="000000" w:sz="4" w:space="0"/>
              <w:left w:val="single" w:color="000000" w:sz="4" w:space="0"/>
              <w:bottom w:val="single" w:color="000000" w:sz="4" w:space="0"/>
              <w:right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涉及危险物质管道运输项目、港口/码头等</w:t>
            </w:r>
          </w:p>
        </w:tc>
        <w:tc>
          <w:tcPr>
            <w:tcW w:w="750"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CellMar>
            <w:top w:w="0" w:type="dxa"/>
            <w:left w:w="0" w:type="dxa"/>
            <w:bottom w:w="0" w:type="dxa"/>
            <w:right w:w="0" w:type="dxa"/>
          </w:tblCellMar>
        </w:tblPrEx>
        <w:trPr>
          <w:trHeight w:val="397" w:hRule="atLeast"/>
        </w:trPr>
        <w:tc>
          <w:tcPr>
            <w:tcW w:w="621"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石油天然</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气</w:t>
            </w:r>
          </w:p>
        </w:tc>
        <w:tc>
          <w:tcPr>
            <w:tcW w:w="3629" w:type="pct"/>
            <w:tcBorders>
              <w:top w:val="single" w:color="000000" w:sz="4" w:space="0"/>
              <w:left w:val="single" w:color="000000" w:sz="4" w:space="0"/>
              <w:bottom w:val="single" w:color="000000" w:sz="4" w:space="0"/>
              <w:right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石油、天然气、页岩气开采（含净化），气库（不含加气站的气库，油库（不含加气站的油库）、油气管线 b（不含城镇燃气管线）</w:t>
            </w:r>
          </w:p>
        </w:tc>
        <w:tc>
          <w:tcPr>
            <w:tcW w:w="750"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CellMar>
            <w:top w:w="0" w:type="dxa"/>
            <w:left w:w="0" w:type="dxa"/>
            <w:bottom w:w="0" w:type="dxa"/>
            <w:right w:w="0" w:type="dxa"/>
          </w:tblCellMar>
        </w:tblPrEx>
        <w:trPr>
          <w:trHeight w:val="397" w:hRule="atLeast"/>
        </w:trPr>
        <w:tc>
          <w:tcPr>
            <w:tcW w:w="621"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其他</w:t>
            </w:r>
          </w:p>
        </w:tc>
        <w:tc>
          <w:tcPr>
            <w:tcW w:w="3629" w:type="pct"/>
            <w:tcBorders>
              <w:top w:val="single" w:color="000000" w:sz="4" w:space="0"/>
              <w:left w:val="single" w:color="000000" w:sz="4" w:space="0"/>
              <w:bottom w:val="single" w:color="000000" w:sz="4" w:space="0"/>
              <w:right w:val="single" w:color="000000"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涉及危险物质使用、贮存的项目</w:t>
            </w:r>
          </w:p>
        </w:tc>
        <w:tc>
          <w:tcPr>
            <w:tcW w:w="750"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CellMar>
            <w:top w:w="0" w:type="dxa"/>
            <w:left w:w="0" w:type="dxa"/>
            <w:bottom w:w="0" w:type="dxa"/>
            <w:right w:w="0" w:type="dxa"/>
          </w:tblCellMar>
        </w:tblPrEx>
        <w:trPr>
          <w:trHeight w:val="397" w:hRule="atLeast"/>
        </w:trPr>
        <w:tc>
          <w:tcPr>
            <w:tcW w:w="5000" w:type="pct"/>
            <w:gridSpan w:val="3"/>
            <w:tcBorders>
              <w:top w:val="single" w:color="000000" w:sz="4" w:space="0"/>
              <w:left w:val="single" w:color="000000" w:sz="10" w:space="0"/>
              <w:bottom w:val="single" w:color="000000" w:sz="10"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a 高温指工艺温度≥300℃，高压指压力容器的设计压力（P）≥10.0 MPa；</w:t>
            </w:r>
          </w:p>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b 长输管道运输项目应按站场、管线分段进行评价。</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本项目生产过程中不涉及危险工艺，涉及危险物质使用、贮存，M=5，属于M4级别。</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3、危险物质及工艺系统危险性（P）分级</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根据危险物质数量与临界量比值（Q）和行业及生产工艺（M），按照表C.2确定危险物质及工艺系统危险性等级（P），分别以P1、P2、P3、P4表示。本项目属于P4级。</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 w:val="0"/>
          <w:bCs/>
          <w:color w:val="000000" w:themeColor="text1"/>
          <w14:textFill>
            <w14:solidFill>
              <w14:schemeClr w14:val="tx1"/>
            </w14:solidFill>
          </w14:textFill>
        </w:rPr>
        <w:t xml:space="preserve">5.9-4 </w:t>
      </w:r>
      <w:r>
        <w:rPr>
          <w:rFonts w:cs="Times New Roman"/>
          <w:color w:val="000000" w:themeColor="text1"/>
          <w14:textFill>
            <w14:solidFill>
              <w14:schemeClr w14:val="tx1"/>
            </w14:solidFill>
          </w14:textFill>
        </w:rPr>
        <w:t>危险物质及工艺系统危险性等级判断（</w:t>
      </w:r>
      <w:r>
        <w:rPr>
          <w:rFonts w:cs="Times New Roman"/>
          <w:b w:val="0"/>
          <w:bCs/>
          <w:color w:val="000000" w:themeColor="text1"/>
          <w14:textFill>
            <w14:solidFill>
              <w14:schemeClr w14:val="tx1"/>
            </w14:solidFill>
          </w14:textFill>
        </w:rPr>
        <w:t>P</w:t>
      </w:r>
      <w:r>
        <w:rPr>
          <w:rFonts w:cs="Times New Roman"/>
          <w:color w:val="000000" w:themeColor="text1"/>
          <w14:textFill>
            <w14:solidFill>
              <w14:schemeClr w14:val="tx1"/>
            </w14:solidFill>
          </w14:textFill>
        </w:rPr>
        <w:t>）</w:t>
      </w:r>
    </w:p>
    <w:p>
      <w:pPr>
        <w:kinsoku w:val="0"/>
        <w:overflowPunct w:val="0"/>
        <w:autoSpaceDE w:val="0"/>
        <w:autoSpaceDN w:val="0"/>
        <w:adjustRightInd w:val="0"/>
        <w:spacing w:before="11" w:line="240" w:lineRule="auto"/>
        <w:ind w:firstLine="0" w:firstLineChars="0"/>
        <w:jc w:val="left"/>
        <w:rPr>
          <w:rFonts w:cs="Times New Roman"/>
          <w:color w:val="000000" w:themeColor="text1"/>
          <w:kern w:val="0"/>
          <w:sz w:val="2"/>
          <w:szCs w:val="2"/>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2168"/>
        <w:gridCol w:w="1748"/>
        <w:gridCol w:w="1929"/>
        <w:gridCol w:w="1927"/>
        <w:gridCol w:w="1325"/>
      </w:tblGrid>
      <w:tr>
        <w:tblPrEx>
          <w:tblCellMar>
            <w:top w:w="0" w:type="dxa"/>
            <w:left w:w="0" w:type="dxa"/>
            <w:bottom w:w="0" w:type="dxa"/>
            <w:right w:w="0" w:type="dxa"/>
          </w:tblCellMar>
        </w:tblPrEx>
        <w:trPr>
          <w:trHeight w:val="340" w:hRule="atLeast"/>
        </w:trPr>
        <w:tc>
          <w:tcPr>
            <w:tcW w:w="1192" w:type="pct"/>
            <w:vMerge w:val="restart"/>
            <w:tcBorders>
              <w:top w:val="single" w:color="000000" w:sz="10"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危险物质数量与临界量比值（Q）</w:t>
            </w:r>
          </w:p>
        </w:tc>
        <w:tc>
          <w:tcPr>
            <w:tcW w:w="3808" w:type="pct"/>
            <w:gridSpan w:val="4"/>
            <w:tcBorders>
              <w:top w:val="single" w:color="000000" w:sz="10"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行业及生产工艺（M）</w:t>
            </w:r>
          </w:p>
        </w:tc>
      </w:tr>
      <w:tr>
        <w:tblPrEx>
          <w:tblCellMar>
            <w:top w:w="0" w:type="dxa"/>
            <w:left w:w="0" w:type="dxa"/>
            <w:bottom w:w="0" w:type="dxa"/>
            <w:right w:w="0" w:type="dxa"/>
          </w:tblCellMar>
        </w:tblPrEx>
        <w:trPr>
          <w:trHeight w:val="340" w:hRule="atLeast"/>
        </w:trPr>
        <w:tc>
          <w:tcPr>
            <w:tcW w:w="1192" w:type="pct"/>
            <w:vMerge w:val="continue"/>
            <w:tcBorders>
              <w:top w:val="single" w:color="000000" w:sz="10"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96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M1</w:t>
            </w:r>
          </w:p>
        </w:tc>
        <w:tc>
          <w:tcPr>
            <w:tcW w:w="106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M2</w:t>
            </w:r>
          </w:p>
        </w:tc>
        <w:tc>
          <w:tcPr>
            <w:tcW w:w="1059"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M3</w:t>
            </w:r>
          </w:p>
        </w:tc>
        <w:tc>
          <w:tcPr>
            <w:tcW w:w="728"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M4</w:t>
            </w:r>
          </w:p>
        </w:tc>
      </w:tr>
      <w:tr>
        <w:tblPrEx>
          <w:tblCellMar>
            <w:top w:w="0" w:type="dxa"/>
            <w:left w:w="0" w:type="dxa"/>
            <w:bottom w:w="0" w:type="dxa"/>
            <w:right w:w="0" w:type="dxa"/>
          </w:tblCellMar>
        </w:tblPrEx>
        <w:trPr>
          <w:trHeight w:val="340" w:hRule="atLeast"/>
        </w:trPr>
        <w:tc>
          <w:tcPr>
            <w:tcW w:w="1192"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Q≥100</w:t>
            </w:r>
          </w:p>
        </w:tc>
        <w:tc>
          <w:tcPr>
            <w:tcW w:w="96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P1</w:t>
            </w:r>
          </w:p>
        </w:tc>
        <w:tc>
          <w:tcPr>
            <w:tcW w:w="106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P1</w:t>
            </w:r>
          </w:p>
        </w:tc>
        <w:tc>
          <w:tcPr>
            <w:tcW w:w="1059"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P2</w:t>
            </w:r>
          </w:p>
        </w:tc>
        <w:tc>
          <w:tcPr>
            <w:tcW w:w="728"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P3</w:t>
            </w:r>
          </w:p>
        </w:tc>
      </w:tr>
      <w:tr>
        <w:tblPrEx>
          <w:tblCellMar>
            <w:top w:w="0" w:type="dxa"/>
            <w:left w:w="0" w:type="dxa"/>
            <w:bottom w:w="0" w:type="dxa"/>
            <w:right w:w="0" w:type="dxa"/>
          </w:tblCellMar>
        </w:tblPrEx>
        <w:trPr>
          <w:trHeight w:val="340" w:hRule="atLeast"/>
        </w:trPr>
        <w:tc>
          <w:tcPr>
            <w:tcW w:w="1192"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10≤Q＜100</w:t>
            </w:r>
          </w:p>
        </w:tc>
        <w:tc>
          <w:tcPr>
            <w:tcW w:w="96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P1</w:t>
            </w:r>
          </w:p>
        </w:tc>
        <w:tc>
          <w:tcPr>
            <w:tcW w:w="106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P2</w:t>
            </w:r>
          </w:p>
        </w:tc>
        <w:tc>
          <w:tcPr>
            <w:tcW w:w="1059"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P3</w:t>
            </w:r>
          </w:p>
        </w:tc>
        <w:tc>
          <w:tcPr>
            <w:tcW w:w="728"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P4</w:t>
            </w:r>
          </w:p>
        </w:tc>
      </w:tr>
      <w:tr>
        <w:tblPrEx>
          <w:tblCellMar>
            <w:top w:w="0" w:type="dxa"/>
            <w:left w:w="0" w:type="dxa"/>
            <w:bottom w:w="0" w:type="dxa"/>
            <w:right w:w="0" w:type="dxa"/>
          </w:tblCellMar>
        </w:tblPrEx>
        <w:trPr>
          <w:trHeight w:val="340" w:hRule="atLeast"/>
        </w:trPr>
        <w:tc>
          <w:tcPr>
            <w:tcW w:w="1192" w:type="pct"/>
            <w:tcBorders>
              <w:top w:val="single" w:color="000000" w:sz="4"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1≤Q＜10</w:t>
            </w:r>
          </w:p>
        </w:tc>
        <w:tc>
          <w:tcPr>
            <w:tcW w:w="961"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P2</w:t>
            </w:r>
          </w:p>
        </w:tc>
        <w:tc>
          <w:tcPr>
            <w:tcW w:w="1060"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P3</w:t>
            </w:r>
          </w:p>
        </w:tc>
        <w:tc>
          <w:tcPr>
            <w:tcW w:w="1059"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P4</w:t>
            </w:r>
          </w:p>
        </w:tc>
        <w:tc>
          <w:tcPr>
            <w:tcW w:w="728" w:type="pct"/>
            <w:tcBorders>
              <w:top w:val="single" w:color="000000" w:sz="4" w:space="0"/>
              <w:left w:val="single" w:color="000000" w:sz="4" w:space="0"/>
              <w:bottom w:val="single" w:color="000000" w:sz="10"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shd w:val="pct10" w:color="auto" w:fill="FFFFFF"/>
                <w14:textFill>
                  <w14:solidFill>
                    <w14:schemeClr w14:val="tx1"/>
                  </w14:solidFill>
                </w14:textFill>
              </w:rPr>
              <w:t>P4</w:t>
            </w:r>
          </w:p>
        </w:tc>
      </w:tr>
    </w:tbl>
    <w:p>
      <w:pPr>
        <w:pStyle w:val="5"/>
        <w:rPr>
          <w:color w:val="000000" w:themeColor="text1"/>
          <w14:textFill>
            <w14:solidFill>
              <w14:schemeClr w14:val="tx1"/>
            </w14:solidFill>
          </w14:textFill>
        </w:rPr>
      </w:pPr>
      <w:r>
        <w:rPr>
          <w:rFonts w:eastAsia="TimesNewRomanPS-BoldMT"/>
          <w:bCs/>
          <w:color w:val="000000" w:themeColor="text1"/>
          <w14:textFill>
            <w14:solidFill>
              <w14:schemeClr w14:val="tx1"/>
            </w14:solidFill>
          </w14:textFill>
        </w:rPr>
        <w:t>5.9.2.2</w:t>
      </w:r>
      <w:r>
        <w:rPr>
          <w:color w:val="000000" w:themeColor="text1"/>
          <w14:textFill>
            <w14:solidFill>
              <w14:schemeClr w14:val="tx1"/>
            </w14:solidFill>
          </w14:textFill>
        </w:rPr>
        <w:t>环境敏感程度分级判定（</w:t>
      </w:r>
      <w:r>
        <w:rPr>
          <w:rFonts w:eastAsia="TimesNewRomanPS-BoldMT"/>
          <w:bCs/>
          <w:color w:val="000000" w:themeColor="text1"/>
          <w14:textFill>
            <w14:solidFill>
              <w14:schemeClr w14:val="tx1"/>
            </w14:solidFill>
          </w14:textFill>
        </w:rPr>
        <w:t>E</w:t>
      </w:r>
      <w:r>
        <w:rPr>
          <w:color w:val="000000" w:themeColor="text1"/>
          <w14:textFill>
            <w14:solidFill>
              <w14:schemeClr w14:val="tx1"/>
            </w14:solidFill>
          </w14:textFill>
        </w:rPr>
        <w:t>）</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1、大气环境敏感程度分级</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根据HJ169-2018 附录D表D1，结合本项目环境敏感目标环境敏感性（本项目周围500m 内无固定居民存在），确定本项目大气环境敏感性为E3。</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2、地表水环境敏感程度分级</w:t>
      </w:r>
    </w:p>
    <w:p>
      <w:pPr>
        <w:ind w:firstLine="480"/>
        <w:rPr>
          <w:rFonts w:cs="Times New Roman"/>
          <w:color w:val="000000" w:themeColor="text1"/>
          <w:lang w:bidi="en-US"/>
          <w14:textFill>
            <w14:solidFill>
              <w14:schemeClr w14:val="tx1"/>
            </w14:solidFill>
          </w14:textFill>
        </w:rPr>
      </w:pPr>
      <w:r>
        <w:rPr>
          <w:rFonts w:cs="Times New Roman"/>
          <w:color w:val="000000" w:themeColor="text1"/>
          <w14:textFill>
            <w14:solidFill>
              <w14:schemeClr w14:val="tx1"/>
            </w14:solidFill>
          </w14:textFill>
        </w:rPr>
        <w:t>本项目粪污储存设施周围均设置围堰，并且将项目养殖过程中产生的猪尿、猪舍冲洗废水、</w:t>
      </w:r>
      <w:r>
        <w:rPr>
          <w:rFonts w:cs="Times New Roman"/>
          <w:color w:val="000000" w:themeColor="text1"/>
          <w:lang w:bidi="en-US"/>
          <w14:textFill>
            <w14:solidFill>
              <w14:schemeClr w14:val="tx1"/>
            </w14:solidFill>
          </w14:textFill>
        </w:rPr>
        <w:t>无害化设备冷凝水、堆肥发酵场滤液</w:t>
      </w:r>
      <w:r>
        <w:rPr>
          <w:rFonts w:cs="Times New Roman"/>
          <w:color w:val="000000" w:themeColor="text1"/>
          <w14:textFill>
            <w14:solidFill>
              <w14:schemeClr w14:val="tx1"/>
            </w14:solidFill>
          </w14:textFill>
        </w:rPr>
        <w:t>和食堂废水、生活污水经厌氧发酵处理后综合利用，不外排。若废水处理设施发生故障，应将养殖废水切换至事故应急池。待废水处理设施抢修完毕后，再将应急池内养殖废水逐步纳入污水处理设施。</w:t>
      </w:r>
      <w:r>
        <w:rPr>
          <w:rFonts w:cs="Times New Roman"/>
          <w:color w:val="000000" w:themeColor="text1"/>
          <w:lang w:bidi="en-US"/>
          <w14:textFill>
            <w14:solidFill>
              <w14:schemeClr w14:val="tx1"/>
            </w14:solidFill>
          </w14:textFill>
        </w:rPr>
        <w:t>因此，本项目地表水功能敏感性为低敏感（F3）、环境敏感目标为S3；确定本项目地表水环境敏感性为E3。</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3、地下水环境敏感程度分级</w:t>
      </w:r>
    </w:p>
    <w:p>
      <w:pPr>
        <w:ind w:firstLine="480"/>
        <w:rPr>
          <w:rFonts w:cs="Times New Roman"/>
          <w:color w:val="000000" w:themeColor="text1"/>
          <w:lang w:bidi="en-US"/>
          <w14:textFill>
            <w14:solidFill>
              <w14:schemeClr w14:val="tx1"/>
            </w14:solidFill>
          </w14:textFill>
        </w:rPr>
      </w:pPr>
      <w:r>
        <w:rPr>
          <w:rFonts w:cs="Times New Roman"/>
          <w:color w:val="000000" w:themeColor="text1"/>
          <w14:textFill>
            <w14:solidFill>
              <w14:schemeClr w14:val="tx1"/>
            </w14:solidFill>
          </w14:textFill>
        </w:rPr>
        <w:t>本项目评价范围内村庄均设有分散水井通过管网供水，水井均未划定准保护区，经走访调查单井供水规模均小于1000人，属于分散式饮用水源地。因此，</w:t>
      </w:r>
      <w:r>
        <w:rPr>
          <w:rFonts w:cs="Times New Roman"/>
          <w:color w:val="000000" w:themeColor="text1"/>
          <w:lang w:bidi="en-US"/>
          <w14:textFill>
            <w14:solidFill>
              <w14:schemeClr w14:val="tx1"/>
            </w14:solidFill>
          </w14:textFill>
        </w:rPr>
        <w:t>本项目地下水功能敏感性为低敏感（F2）。</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根据区域水文地质资料，</w:t>
      </w:r>
      <w:r>
        <w:rPr>
          <w:rFonts w:cs="Times New Roman"/>
          <w:color w:val="000000" w:themeColor="text1"/>
          <w14:textFill>
            <w14:solidFill>
              <w14:schemeClr w14:val="tx1"/>
            </w14:solidFill>
          </w14:textFill>
        </w:rPr>
        <w:t>项目所处区域出露地层主要为第四系全新统、上更新统，厚度10~30 m，地质构造简单，无不良地质构造；</w:t>
      </w:r>
      <w:r>
        <w:rPr>
          <w:rFonts w:cs="Times New Roman"/>
          <w:color w:val="000000" w:themeColor="text1"/>
          <w:lang w:bidi="en-US"/>
          <w14:textFill>
            <w14:solidFill>
              <w14:schemeClr w14:val="tx1"/>
            </w14:solidFill>
          </w14:textFill>
        </w:rPr>
        <w:t>土质为粘土、亚粘土，对应渗透系数1.16×10</w:t>
      </w:r>
      <w:r>
        <w:rPr>
          <w:rFonts w:cs="Times New Roman"/>
          <w:color w:val="000000" w:themeColor="text1"/>
          <w:vertAlign w:val="superscript"/>
          <w:lang w:bidi="en-US"/>
          <w14:textFill>
            <w14:solidFill>
              <w14:schemeClr w14:val="tx1"/>
            </w14:solidFill>
          </w14:textFill>
        </w:rPr>
        <w:t>-4</w:t>
      </w:r>
      <w:r>
        <w:rPr>
          <w:rFonts w:cs="Times New Roman"/>
          <w:color w:val="000000" w:themeColor="text1"/>
          <w:lang w:bidi="en-US"/>
          <w14:textFill>
            <w14:solidFill>
              <w14:schemeClr w14:val="tx1"/>
            </w14:solidFill>
          </w14:textFill>
        </w:rPr>
        <w:t>~2.89×10</w:t>
      </w:r>
      <w:r>
        <w:rPr>
          <w:rFonts w:cs="Times New Roman"/>
          <w:color w:val="000000" w:themeColor="text1"/>
          <w:vertAlign w:val="superscript"/>
          <w:lang w:bidi="en-US"/>
          <w14:textFill>
            <w14:solidFill>
              <w14:schemeClr w14:val="tx1"/>
            </w14:solidFill>
          </w14:textFill>
        </w:rPr>
        <w:t>-4</w:t>
      </w:r>
      <w:r>
        <w:rPr>
          <w:rFonts w:cs="Times New Roman"/>
          <w:color w:val="000000" w:themeColor="text1"/>
          <w:lang w:bidi="en-US"/>
          <w14:textFill>
            <w14:solidFill>
              <w14:schemeClr w14:val="tx1"/>
            </w14:solidFill>
          </w14:textFill>
        </w:rPr>
        <w:t xml:space="preserve"> cm/s（附录B）；因此，厂区包气带防污性能分级为D2。确定地下水环境敏感程度为环境中度敏感区（E2）。</w:t>
      </w:r>
    </w:p>
    <w:p>
      <w:pPr>
        <w:pStyle w:val="4"/>
        <w:rPr>
          <w:rFonts w:cs="Times New Roman"/>
          <w:color w:val="000000" w:themeColor="text1"/>
          <w14:textFill>
            <w14:solidFill>
              <w14:schemeClr w14:val="tx1"/>
            </w14:solidFill>
          </w14:textFill>
        </w:rPr>
      </w:pPr>
      <w:bookmarkStart w:id="603" w:name="5.8.4????????"/>
      <w:bookmarkEnd w:id="603"/>
      <w:bookmarkStart w:id="604" w:name="5.8.2.4??????????????????????E??_"/>
      <w:bookmarkEnd w:id="604"/>
      <w:bookmarkStart w:id="605" w:name="5.8.3_????????"/>
      <w:bookmarkEnd w:id="605"/>
      <w:bookmarkStart w:id="606" w:name="_Toc91163956"/>
      <w:r>
        <w:rPr>
          <w:rFonts w:cs="Times New Roman"/>
          <w:color w:val="000000" w:themeColor="text1"/>
          <w14:textFill>
            <w14:solidFill>
              <w14:schemeClr w14:val="tx1"/>
            </w14:solidFill>
          </w14:textFill>
        </w:rPr>
        <w:t>5.9.3评价等级</w:t>
      </w:r>
      <w:bookmarkEnd w:id="606"/>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根据《建设项目环境风险评价技术导则》（HJ169-2018），环境风险评价等级划分见表5.9-5。</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5.9-5 </w:t>
      </w:r>
      <w:r>
        <w:rPr>
          <w:rFonts w:cs="Times New Roman"/>
          <w:color w:val="000000" w:themeColor="text1"/>
          <w14:textFill>
            <w14:solidFill>
              <w14:schemeClr w14:val="tx1"/>
            </w14:solidFill>
          </w14:textFill>
        </w:rPr>
        <w:t>环境风险评价等级划分表</w:t>
      </w:r>
    </w:p>
    <w:p>
      <w:pPr>
        <w:kinsoku w:val="0"/>
        <w:overflowPunct w:val="0"/>
        <w:autoSpaceDE w:val="0"/>
        <w:autoSpaceDN w:val="0"/>
        <w:adjustRightInd w:val="0"/>
        <w:spacing w:before="10" w:line="240" w:lineRule="auto"/>
        <w:ind w:firstLine="0" w:firstLineChars="0"/>
        <w:jc w:val="left"/>
        <w:rPr>
          <w:rFonts w:cs="Times New Roman"/>
          <w:color w:val="000000" w:themeColor="text1"/>
          <w:kern w:val="0"/>
          <w:sz w:val="5"/>
          <w:szCs w:val="5"/>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3089"/>
        <w:gridCol w:w="1503"/>
        <w:gridCol w:w="1503"/>
        <w:gridCol w:w="1505"/>
        <w:gridCol w:w="1501"/>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69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环境风险潜势</w:t>
            </w:r>
          </w:p>
        </w:tc>
        <w:tc>
          <w:tcPr>
            <w:tcW w:w="82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Ⅳ、Ⅳ</w:t>
            </w:r>
            <w:r>
              <w:rPr>
                <w:color w:val="000000" w:themeColor="text1"/>
                <w:vertAlign w:val="superscript"/>
                <w14:textFill>
                  <w14:solidFill>
                    <w14:schemeClr w14:val="tx1"/>
                  </w14:solidFill>
                </w14:textFill>
              </w:rPr>
              <w:t>+</w:t>
            </w:r>
          </w:p>
        </w:tc>
        <w:tc>
          <w:tcPr>
            <w:tcW w:w="82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82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Ⅱ</w:t>
            </w:r>
          </w:p>
        </w:tc>
        <w:tc>
          <w:tcPr>
            <w:tcW w:w="82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Ⅰ</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69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评价工作等级</w:t>
            </w:r>
          </w:p>
        </w:tc>
        <w:tc>
          <w:tcPr>
            <w:tcW w:w="82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w:t>
            </w:r>
          </w:p>
        </w:tc>
        <w:tc>
          <w:tcPr>
            <w:tcW w:w="82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w:t>
            </w:r>
          </w:p>
        </w:tc>
        <w:tc>
          <w:tcPr>
            <w:tcW w:w="82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三</w:t>
            </w:r>
          </w:p>
        </w:tc>
        <w:tc>
          <w:tcPr>
            <w:tcW w:w="82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简单分析</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本项目大气环境、地表水环境风险潜势均为Ⅰ，对大气环境、地表水环境风险影响进行简单分析。地下水环境风险潜势均为Ⅱ，地下水环境风险评价等级为三级。</w:t>
      </w:r>
    </w:p>
    <w:p>
      <w:pPr>
        <w:pStyle w:val="4"/>
        <w:rPr>
          <w:rFonts w:cs="Times New Roman"/>
          <w:color w:val="000000" w:themeColor="text1"/>
          <w14:textFill>
            <w14:solidFill>
              <w14:schemeClr w14:val="tx1"/>
            </w14:solidFill>
          </w14:textFill>
        </w:rPr>
      </w:pPr>
      <w:bookmarkStart w:id="607" w:name="_Toc91163957"/>
      <w:r>
        <w:rPr>
          <w:rFonts w:cs="Times New Roman"/>
          <w:color w:val="000000" w:themeColor="text1"/>
          <w14:textFill>
            <w14:solidFill>
              <w14:schemeClr w14:val="tx1"/>
            </w14:solidFill>
          </w14:textFill>
        </w:rPr>
        <w:t>5.9.4 风险识别</w:t>
      </w:r>
      <w:bookmarkEnd w:id="60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风险识别范围包括生产设施风险识别和生产过程所涉及的物质风险识别。物质风险识别范围：主要原材料及辅助材料、中间产品、最终产品以及生产过程排放的“三废”污染物等。生产设施风险识别范围：主要生产装置、储运工程系统、公用工程系统、环保设施及辅助生产设施等。</w:t>
      </w:r>
    </w:p>
    <w:p>
      <w:pPr>
        <w:pStyle w:val="5"/>
        <w:rPr>
          <w:color w:val="000000" w:themeColor="text1"/>
          <w14:textFill>
            <w14:solidFill>
              <w14:schemeClr w14:val="tx1"/>
            </w14:solidFill>
          </w14:textFill>
        </w:rPr>
      </w:pPr>
      <w:r>
        <w:rPr>
          <w:color w:val="000000" w:themeColor="text1"/>
          <w14:textFill>
            <w14:solidFill>
              <w14:schemeClr w14:val="tx1"/>
            </w14:solidFill>
          </w14:textFill>
        </w:rPr>
        <w:t>5.9.4.1物质风险性识别</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根据《建设项目环境风险评价技术导则》（HJ/T169-2018)中规定物质危险性分类标准见表5.9-6。</w:t>
      </w:r>
    </w:p>
    <w:p>
      <w:pPr>
        <w:pStyle w:val="333"/>
        <w:spacing w:before="12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表5.9-6</w:t>
      </w:r>
      <w:r>
        <w:rPr>
          <w:rFonts w:cs="Times New Roman"/>
          <w:bCs/>
          <w:color w:val="000000" w:themeColor="text1"/>
          <w:lang w:bidi="en-US"/>
          <w14:textFill>
            <w14:solidFill>
              <w14:schemeClr w14:val="tx1"/>
            </w14:solidFill>
          </w14:textFill>
        </w:rPr>
        <w:t xml:space="preserve"> </w:t>
      </w:r>
      <w:r>
        <w:rPr>
          <w:rFonts w:cs="Times New Roman"/>
          <w:color w:val="000000" w:themeColor="text1"/>
          <w:lang w:bidi="en-US"/>
          <w14:textFill>
            <w14:solidFill>
              <w14:schemeClr w14:val="tx1"/>
            </w14:solidFill>
          </w14:textFill>
        </w:rPr>
        <w:t>物质危险性分类一栏表</w:t>
      </w:r>
    </w:p>
    <w:p>
      <w:pPr>
        <w:kinsoku w:val="0"/>
        <w:overflowPunct w:val="0"/>
        <w:autoSpaceDE w:val="0"/>
        <w:autoSpaceDN w:val="0"/>
        <w:adjustRightInd w:val="0"/>
        <w:spacing w:before="9" w:line="240" w:lineRule="auto"/>
        <w:ind w:firstLine="0" w:firstLineChars="0"/>
        <w:jc w:val="left"/>
        <w:rPr>
          <w:rFonts w:cs="Times New Roman"/>
          <w:color w:val="000000" w:themeColor="text1"/>
          <w:kern w:val="0"/>
          <w:sz w:val="2"/>
          <w:szCs w:val="2"/>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413"/>
        <w:gridCol w:w="857"/>
        <w:gridCol w:w="2610"/>
        <w:gridCol w:w="2610"/>
        <w:gridCol w:w="2611"/>
      </w:tblGrid>
      <w:tr>
        <w:tblPrEx>
          <w:tblCellMar>
            <w:top w:w="0" w:type="dxa"/>
            <w:left w:w="0" w:type="dxa"/>
            <w:bottom w:w="0" w:type="dxa"/>
            <w:right w:w="0" w:type="dxa"/>
          </w:tblCellMar>
        </w:tblPrEx>
        <w:trPr>
          <w:trHeight w:val="397" w:hRule="atLeast"/>
        </w:trPr>
        <w:tc>
          <w:tcPr>
            <w:tcW w:w="698" w:type="pct"/>
            <w:gridSpan w:val="2"/>
            <w:tcBorders>
              <w:top w:val="single" w:color="000000" w:sz="12" w:space="0"/>
              <w:left w:val="single" w:color="000000"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bookmarkStart w:id="608" w:name="5.8.4.1生产储存设施危险性识别"/>
            <w:bookmarkEnd w:id="608"/>
            <w:bookmarkStart w:id="609" w:name="5.8.4.2物质风险性识别"/>
            <w:bookmarkEnd w:id="609"/>
            <w:r>
              <w:rPr>
                <w:color w:val="000000" w:themeColor="text1"/>
                <w14:textFill>
                  <w14:solidFill>
                    <w14:schemeClr w14:val="tx1"/>
                  </w14:solidFill>
                </w14:textFill>
              </w:rPr>
              <w:t>类别</w:t>
            </w:r>
          </w:p>
        </w:tc>
        <w:tc>
          <w:tcPr>
            <w:tcW w:w="1434" w:type="pct"/>
            <w:tcBorders>
              <w:top w:val="single" w:color="000000" w:sz="12" w:space="0"/>
              <w:left w:val="single" w:color="000000" w:sz="4" w:space="0"/>
              <w:bottom w:val="single" w:color="auto" w:sz="12" w:space="0"/>
              <w:right w:val="single" w:color="000000" w:sz="4" w:space="0"/>
            </w:tcBorders>
            <w:vAlign w:val="center"/>
          </w:tcPr>
          <w:p>
            <w:pPr>
              <w:pStyle w:val="332"/>
              <w:rPr>
                <w:color w:val="000000" w:themeColor="text1"/>
                <w:position w:val="2"/>
                <w14:textFill>
                  <w14:solidFill>
                    <w14:schemeClr w14:val="tx1"/>
                  </w14:solidFill>
                </w14:textFill>
              </w:rPr>
            </w:pPr>
            <w:r>
              <w:rPr>
                <w:color w:val="000000" w:themeColor="text1"/>
                <w:position w:val="2"/>
                <w14:textFill>
                  <w14:solidFill>
                    <w14:schemeClr w14:val="tx1"/>
                  </w14:solidFill>
                </w14:textFill>
              </w:rPr>
              <w:t>LD</w:t>
            </w:r>
            <w:r>
              <w:rPr>
                <w:color w:val="000000" w:themeColor="text1"/>
                <w:sz w:val="13"/>
                <w:szCs w:val="13"/>
                <w14:textFill>
                  <w14:solidFill>
                    <w14:schemeClr w14:val="tx1"/>
                  </w14:solidFill>
                </w14:textFill>
              </w:rPr>
              <w:t>50</w:t>
            </w:r>
            <w:r>
              <w:rPr>
                <w:color w:val="000000" w:themeColor="text1"/>
                <w:position w:val="2"/>
                <w14:textFill>
                  <w14:solidFill>
                    <w14:schemeClr w14:val="tx1"/>
                  </w14:solidFill>
                </w14:textFill>
              </w:rPr>
              <w:t>（大鼠经口）</w:t>
            </w:r>
          </w:p>
          <w:p>
            <w:pPr>
              <w:pStyle w:val="332"/>
              <w:rPr>
                <w:color w:val="000000" w:themeColor="text1"/>
                <w14:textFill>
                  <w14:solidFill>
                    <w14:schemeClr w14:val="tx1"/>
                  </w14:solidFill>
                </w14:textFill>
              </w:rPr>
            </w:pPr>
            <w:r>
              <w:rPr>
                <w:color w:val="000000" w:themeColor="text1"/>
                <w:position w:val="2"/>
                <w14:textFill>
                  <w14:solidFill>
                    <w14:schemeClr w14:val="tx1"/>
                  </w14:solidFill>
                </w14:textFill>
              </w:rPr>
              <w:t>mg</w:t>
            </w:r>
            <w:r>
              <w:rPr>
                <w:color w:val="000000" w:themeColor="text1"/>
                <w:position w:val="1"/>
                <w14:textFill>
                  <w14:solidFill>
                    <w14:schemeClr w14:val="tx1"/>
                  </w14:solidFill>
                </w14:textFill>
              </w:rPr>
              <w:t>/</w:t>
            </w:r>
            <w:r>
              <w:rPr>
                <w:color w:val="000000" w:themeColor="text1"/>
                <w:position w:val="2"/>
                <w14:textFill>
                  <w14:solidFill>
                    <w14:schemeClr w14:val="tx1"/>
                  </w14:solidFill>
                </w14:textFill>
              </w:rPr>
              <w:t>kg</w:t>
            </w:r>
          </w:p>
        </w:tc>
        <w:tc>
          <w:tcPr>
            <w:tcW w:w="1434" w:type="pct"/>
            <w:tcBorders>
              <w:top w:val="single" w:color="000000" w:sz="12" w:space="0"/>
              <w:left w:val="single" w:color="000000" w:sz="4" w:space="0"/>
              <w:bottom w:val="single" w:color="auto" w:sz="12" w:space="0"/>
              <w:right w:val="single" w:color="000000" w:sz="4" w:space="0"/>
            </w:tcBorders>
            <w:vAlign w:val="center"/>
          </w:tcPr>
          <w:p>
            <w:pPr>
              <w:pStyle w:val="332"/>
              <w:rPr>
                <w:color w:val="000000" w:themeColor="text1"/>
                <w:position w:val="2"/>
                <w14:textFill>
                  <w14:solidFill>
                    <w14:schemeClr w14:val="tx1"/>
                  </w14:solidFill>
                </w14:textFill>
              </w:rPr>
            </w:pPr>
            <w:r>
              <w:rPr>
                <w:color w:val="000000" w:themeColor="text1"/>
                <w:position w:val="2"/>
                <w14:textFill>
                  <w14:solidFill>
                    <w14:schemeClr w14:val="tx1"/>
                  </w14:solidFill>
                </w14:textFill>
              </w:rPr>
              <w:t>LD</w:t>
            </w:r>
            <w:r>
              <w:rPr>
                <w:color w:val="000000" w:themeColor="text1"/>
                <w:sz w:val="13"/>
                <w:szCs w:val="13"/>
                <w14:textFill>
                  <w14:solidFill>
                    <w14:schemeClr w14:val="tx1"/>
                  </w14:solidFill>
                </w14:textFill>
              </w:rPr>
              <w:t>50</w:t>
            </w:r>
            <w:r>
              <w:rPr>
                <w:color w:val="000000" w:themeColor="text1"/>
                <w:position w:val="2"/>
                <w14:textFill>
                  <w14:solidFill>
                    <w14:schemeClr w14:val="tx1"/>
                  </w14:solidFill>
                </w14:textFill>
              </w:rPr>
              <w:t>（大鼠经皮）</w:t>
            </w:r>
          </w:p>
          <w:p>
            <w:pPr>
              <w:pStyle w:val="332"/>
              <w:rPr>
                <w:color w:val="000000" w:themeColor="text1"/>
                <w14:textFill>
                  <w14:solidFill>
                    <w14:schemeClr w14:val="tx1"/>
                  </w14:solidFill>
                </w14:textFill>
              </w:rPr>
            </w:pPr>
            <w:r>
              <w:rPr>
                <w:color w:val="000000" w:themeColor="text1"/>
                <w:position w:val="2"/>
                <w14:textFill>
                  <w14:solidFill>
                    <w14:schemeClr w14:val="tx1"/>
                  </w14:solidFill>
                </w14:textFill>
              </w:rPr>
              <w:t>mg</w:t>
            </w:r>
            <w:r>
              <w:rPr>
                <w:color w:val="000000" w:themeColor="text1"/>
                <w:position w:val="1"/>
                <w14:textFill>
                  <w14:solidFill>
                    <w14:schemeClr w14:val="tx1"/>
                  </w14:solidFill>
                </w14:textFill>
              </w:rPr>
              <w:t>/</w:t>
            </w:r>
            <w:r>
              <w:rPr>
                <w:color w:val="000000" w:themeColor="text1"/>
                <w:position w:val="2"/>
                <w14:textFill>
                  <w14:solidFill>
                    <w14:schemeClr w14:val="tx1"/>
                  </w14:solidFill>
                </w14:textFill>
              </w:rPr>
              <w:t>kg</w:t>
            </w:r>
          </w:p>
        </w:tc>
        <w:tc>
          <w:tcPr>
            <w:tcW w:w="1434" w:type="pct"/>
            <w:tcBorders>
              <w:top w:val="single" w:color="000000" w:sz="12" w:space="0"/>
              <w:left w:val="single" w:color="000000" w:sz="4" w:space="0"/>
              <w:bottom w:val="single" w:color="auto" w:sz="12" w:space="0"/>
              <w:right w:val="single" w:color="000000" w:sz="12" w:space="0"/>
            </w:tcBorders>
            <w:vAlign w:val="center"/>
          </w:tcPr>
          <w:p>
            <w:pPr>
              <w:pStyle w:val="332"/>
              <w:rPr>
                <w:color w:val="000000" w:themeColor="text1"/>
                <w:position w:val="2"/>
                <w14:textFill>
                  <w14:solidFill>
                    <w14:schemeClr w14:val="tx1"/>
                  </w14:solidFill>
                </w14:textFill>
              </w:rPr>
            </w:pPr>
            <w:r>
              <w:rPr>
                <w:color w:val="000000" w:themeColor="text1"/>
                <w:position w:val="2"/>
                <w14:textFill>
                  <w14:solidFill>
                    <w14:schemeClr w14:val="tx1"/>
                  </w14:solidFill>
                </w14:textFill>
              </w:rPr>
              <w:t>LD</w:t>
            </w:r>
            <w:r>
              <w:rPr>
                <w:color w:val="000000" w:themeColor="text1"/>
                <w:sz w:val="13"/>
                <w:szCs w:val="13"/>
                <w14:textFill>
                  <w14:solidFill>
                    <w14:schemeClr w14:val="tx1"/>
                  </w14:solidFill>
                </w14:textFill>
              </w:rPr>
              <w:t>50</w:t>
            </w:r>
            <w:r>
              <w:rPr>
                <w:color w:val="000000" w:themeColor="text1"/>
                <w:position w:val="2"/>
                <w14:textFill>
                  <w14:solidFill>
                    <w14:schemeClr w14:val="tx1"/>
                  </w14:solidFill>
                </w14:textFill>
              </w:rPr>
              <w:t>（大鼠吸入，4小时）</w:t>
            </w:r>
          </w:p>
          <w:p>
            <w:pPr>
              <w:pStyle w:val="332"/>
              <w:rPr>
                <w:color w:val="000000" w:themeColor="text1"/>
                <w14:textFill>
                  <w14:solidFill>
                    <w14:schemeClr w14:val="tx1"/>
                  </w14:solidFill>
                </w14:textFill>
              </w:rPr>
            </w:pPr>
            <w:r>
              <w:rPr>
                <w:color w:val="000000" w:themeColor="text1"/>
                <w14:textFill>
                  <w14:solidFill>
                    <w14:schemeClr w14:val="tx1"/>
                  </w14:solidFill>
                </w14:textFill>
              </w:rPr>
              <w:t>mg/kg</w:t>
            </w:r>
          </w:p>
        </w:tc>
      </w:tr>
      <w:tr>
        <w:tblPrEx>
          <w:tblCellMar>
            <w:top w:w="0" w:type="dxa"/>
            <w:left w:w="0" w:type="dxa"/>
            <w:bottom w:w="0" w:type="dxa"/>
            <w:right w:w="0" w:type="dxa"/>
          </w:tblCellMar>
        </w:tblPrEx>
        <w:trPr>
          <w:trHeight w:val="397" w:hRule="atLeast"/>
        </w:trPr>
        <w:tc>
          <w:tcPr>
            <w:tcW w:w="227" w:type="pct"/>
            <w:vMerge w:val="restart"/>
            <w:tcBorders>
              <w:top w:val="single" w:color="auto" w:sz="12"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有毒物质</w:t>
            </w:r>
          </w:p>
        </w:tc>
        <w:tc>
          <w:tcPr>
            <w:tcW w:w="471"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1</w:t>
            </w:r>
          </w:p>
        </w:tc>
        <w:tc>
          <w:tcPr>
            <w:tcW w:w="1434"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&lt;5</w:t>
            </w:r>
          </w:p>
        </w:tc>
        <w:tc>
          <w:tcPr>
            <w:tcW w:w="1434"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&lt;1</w:t>
            </w:r>
          </w:p>
        </w:tc>
        <w:tc>
          <w:tcPr>
            <w:tcW w:w="1434" w:type="pct"/>
            <w:tcBorders>
              <w:top w:val="single" w:color="auto" w:sz="12"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&lt;0.1</w:t>
            </w:r>
          </w:p>
        </w:tc>
      </w:tr>
      <w:tr>
        <w:tblPrEx>
          <w:tblCellMar>
            <w:top w:w="0" w:type="dxa"/>
            <w:left w:w="0" w:type="dxa"/>
            <w:bottom w:w="0" w:type="dxa"/>
            <w:right w:w="0" w:type="dxa"/>
          </w:tblCellMar>
        </w:tblPrEx>
        <w:trPr>
          <w:trHeight w:val="397" w:hRule="atLeast"/>
        </w:trPr>
        <w:tc>
          <w:tcPr>
            <w:tcW w:w="227" w:type="pct"/>
            <w:vMerge w:val="continue"/>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47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2</w:t>
            </w:r>
          </w:p>
        </w:tc>
        <w:tc>
          <w:tcPr>
            <w:tcW w:w="143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position w:val="2"/>
                <w14:textFill>
                  <w14:solidFill>
                    <w14:schemeClr w14:val="tx1"/>
                  </w14:solidFill>
                </w14:textFill>
              </w:rPr>
              <w:t>5&lt;LD</w:t>
            </w:r>
            <w:r>
              <w:rPr>
                <w:color w:val="000000" w:themeColor="text1"/>
                <w:sz w:val="13"/>
                <w:szCs w:val="13"/>
                <w14:textFill>
                  <w14:solidFill>
                    <w14:schemeClr w14:val="tx1"/>
                  </w14:solidFill>
                </w14:textFill>
              </w:rPr>
              <w:t>50</w:t>
            </w:r>
            <w:r>
              <w:rPr>
                <w:color w:val="000000" w:themeColor="text1"/>
                <w:position w:val="2"/>
                <w14:textFill>
                  <w14:solidFill>
                    <w14:schemeClr w14:val="tx1"/>
                  </w14:solidFill>
                </w14:textFill>
              </w:rPr>
              <w:t>&lt;25</w:t>
            </w:r>
          </w:p>
        </w:tc>
        <w:tc>
          <w:tcPr>
            <w:tcW w:w="143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position w:val="2"/>
                <w14:textFill>
                  <w14:solidFill>
                    <w14:schemeClr w14:val="tx1"/>
                  </w14:solidFill>
                </w14:textFill>
              </w:rPr>
              <w:t>10&lt;LD</w:t>
            </w:r>
            <w:r>
              <w:rPr>
                <w:color w:val="000000" w:themeColor="text1"/>
                <w:sz w:val="13"/>
                <w:szCs w:val="13"/>
                <w14:textFill>
                  <w14:solidFill>
                    <w14:schemeClr w14:val="tx1"/>
                  </w14:solidFill>
                </w14:textFill>
              </w:rPr>
              <w:t>50</w:t>
            </w:r>
            <w:r>
              <w:rPr>
                <w:color w:val="000000" w:themeColor="text1"/>
                <w:position w:val="2"/>
                <w14:textFill>
                  <w14:solidFill>
                    <w14:schemeClr w14:val="tx1"/>
                  </w14:solidFill>
                </w14:textFill>
              </w:rPr>
              <w:t>&lt;50</w:t>
            </w:r>
          </w:p>
        </w:tc>
        <w:tc>
          <w:tcPr>
            <w:tcW w:w="1434"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position w:val="2"/>
                <w14:textFill>
                  <w14:solidFill>
                    <w14:schemeClr w14:val="tx1"/>
                  </w14:solidFill>
                </w14:textFill>
              </w:rPr>
              <w:t>0.1&lt;LD</w:t>
            </w:r>
            <w:r>
              <w:rPr>
                <w:color w:val="000000" w:themeColor="text1"/>
                <w:sz w:val="13"/>
                <w:szCs w:val="13"/>
                <w14:textFill>
                  <w14:solidFill>
                    <w14:schemeClr w14:val="tx1"/>
                  </w14:solidFill>
                </w14:textFill>
              </w:rPr>
              <w:t>50</w:t>
            </w:r>
            <w:r>
              <w:rPr>
                <w:color w:val="000000" w:themeColor="text1"/>
                <w:position w:val="2"/>
                <w14:textFill>
                  <w14:solidFill>
                    <w14:schemeClr w14:val="tx1"/>
                  </w14:solidFill>
                </w14:textFill>
              </w:rPr>
              <w:t>&lt;0.5</w:t>
            </w:r>
          </w:p>
        </w:tc>
      </w:tr>
      <w:tr>
        <w:tblPrEx>
          <w:tblCellMar>
            <w:top w:w="0" w:type="dxa"/>
            <w:left w:w="0" w:type="dxa"/>
            <w:bottom w:w="0" w:type="dxa"/>
            <w:right w:w="0" w:type="dxa"/>
          </w:tblCellMar>
        </w:tblPrEx>
        <w:trPr>
          <w:trHeight w:val="397" w:hRule="atLeast"/>
        </w:trPr>
        <w:tc>
          <w:tcPr>
            <w:tcW w:w="227" w:type="pct"/>
            <w:vMerge w:val="continue"/>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47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3</w:t>
            </w:r>
          </w:p>
        </w:tc>
        <w:tc>
          <w:tcPr>
            <w:tcW w:w="143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position w:val="2"/>
                <w14:textFill>
                  <w14:solidFill>
                    <w14:schemeClr w14:val="tx1"/>
                  </w14:solidFill>
                </w14:textFill>
              </w:rPr>
              <w:t>25&lt;LD</w:t>
            </w:r>
            <w:r>
              <w:rPr>
                <w:color w:val="000000" w:themeColor="text1"/>
                <w:sz w:val="13"/>
                <w:szCs w:val="13"/>
                <w14:textFill>
                  <w14:solidFill>
                    <w14:schemeClr w14:val="tx1"/>
                  </w14:solidFill>
                </w14:textFill>
              </w:rPr>
              <w:t>50</w:t>
            </w:r>
            <w:r>
              <w:rPr>
                <w:color w:val="000000" w:themeColor="text1"/>
                <w:position w:val="2"/>
                <w14:textFill>
                  <w14:solidFill>
                    <w14:schemeClr w14:val="tx1"/>
                  </w14:solidFill>
                </w14:textFill>
              </w:rPr>
              <w:t>&lt;2005</w:t>
            </w:r>
          </w:p>
        </w:tc>
        <w:tc>
          <w:tcPr>
            <w:tcW w:w="143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position w:val="2"/>
                <w14:textFill>
                  <w14:solidFill>
                    <w14:schemeClr w14:val="tx1"/>
                  </w14:solidFill>
                </w14:textFill>
              </w:rPr>
              <w:t>50&lt;LD</w:t>
            </w:r>
            <w:r>
              <w:rPr>
                <w:color w:val="000000" w:themeColor="text1"/>
                <w:sz w:val="13"/>
                <w:szCs w:val="13"/>
                <w14:textFill>
                  <w14:solidFill>
                    <w14:schemeClr w14:val="tx1"/>
                  </w14:solidFill>
                </w14:textFill>
              </w:rPr>
              <w:t>50</w:t>
            </w:r>
            <w:r>
              <w:rPr>
                <w:color w:val="000000" w:themeColor="text1"/>
                <w:position w:val="2"/>
                <w14:textFill>
                  <w14:solidFill>
                    <w14:schemeClr w14:val="tx1"/>
                  </w14:solidFill>
                </w14:textFill>
              </w:rPr>
              <w:t>&lt;400</w:t>
            </w:r>
          </w:p>
        </w:tc>
        <w:tc>
          <w:tcPr>
            <w:tcW w:w="1434"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position w:val="2"/>
                <w14:textFill>
                  <w14:solidFill>
                    <w14:schemeClr w14:val="tx1"/>
                  </w14:solidFill>
                </w14:textFill>
              </w:rPr>
              <w:t>0.5&lt;LD</w:t>
            </w:r>
            <w:r>
              <w:rPr>
                <w:color w:val="000000" w:themeColor="text1"/>
                <w:sz w:val="13"/>
                <w:szCs w:val="13"/>
                <w14:textFill>
                  <w14:solidFill>
                    <w14:schemeClr w14:val="tx1"/>
                  </w14:solidFill>
                </w14:textFill>
              </w:rPr>
              <w:t>50</w:t>
            </w:r>
            <w:r>
              <w:rPr>
                <w:color w:val="000000" w:themeColor="text1"/>
                <w:position w:val="2"/>
                <w14:textFill>
                  <w14:solidFill>
                    <w14:schemeClr w14:val="tx1"/>
                  </w14:solidFill>
                </w14:textFill>
              </w:rPr>
              <w:t>&lt;5</w:t>
            </w:r>
          </w:p>
        </w:tc>
      </w:tr>
      <w:tr>
        <w:tblPrEx>
          <w:tblCellMar>
            <w:top w:w="0" w:type="dxa"/>
            <w:left w:w="0" w:type="dxa"/>
            <w:bottom w:w="0" w:type="dxa"/>
            <w:right w:w="0" w:type="dxa"/>
          </w:tblCellMar>
        </w:tblPrEx>
        <w:trPr>
          <w:trHeight w:val="397" w:hRule="atLeast"/>
        </w:trPr>
        <w:tc>
          <w:tcPr>
            <w:tcW w:w="227" w:type="pct"/>
            <w:vMerge w:val="restar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易燃物质</w:t>
            </w:r>
          </w:p>
        </w:tc>
        <w:tc>
          <w:tcPr>
            <w:tcW w:w="47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1</w:t>
            </w:r>
          </w:p>
        </w:tc>
        <w:tc>
          <w:tcPr>
            <w:tcW w:w="4302" w:type="pct"/>
            <w:gridSpan w:val="3"/>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可燃物质一在常压下以气态存在并与空气混合形成可燃混合物；其沸点(常压下)是20℃或</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20℃以下的物质</w:t>
            </w:r>
          </w:p>
        </w:tc>
      </w:tr>
      <w:tr>
        <w:tblPrEx>
          <w:tblCellMar>
            <w:top w:w="0" w:type="dxa"/>
            <w:left w:w="0" w:type="dxa"/>
            <w:bottom w:w="0" w:type="dxa"/>
            <w:right w:w="0" w:type="dxa"/>
          </w:tblCellMar>
        </w:tblPrEx>
        <w:trPr>
          <w:trHeight w:val="397" w:hRule="atLeast"/>
        </w:trPr>
        <w:tc>
          <w:tcPr>
            <w:tcW w:w="227" w:type="pct"/>
            <w:vMerge w:val="continue"/>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47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2</w:t>
            </w:r>
          </w:p>
        </w:tc>
        <w:tc>
          <w:tcPr>
            <w:tcW w:w="4302" w:type="pct"/>
            <w:gridSpan w:val="3"/>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易燃液体一闪点低于</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21℃，沸点高于</w:t>
            </w:r>
            <w:r>
              <w:rPr>
                <w:color w:val="000000" w:themeColor="text1"/>
                <w:spacing w:val="-51"/>
                <w14:textFill>
                  <w14:solidFill>
                    <w14:schemeClr w14:val="tx1"/>
                  </w14:solidFill>
                </w14:textFill>
              </w:rPr>
              <w:t xml:space="preserve"> </w:t>
            </w:r>
            <w:r>
              <w:rPr>
                <w:color w:val="000000" w:themeColor="text1"/>
                <w14:textFill>
                  <w14:solidFill>
                    <w14:schemeClr w14:val="tx1"/>
                  </w14:solidFill>
                </w14:textFill>
              </w:rPr>
              <w:t>20℃的物质</w:t>
            </w:r>
          </w:p>
        </w:tc>
      </w:tr>
      <w:tr>
        <w:tblPrEx>
          <w:tblCellMar>
            <w:top w:w="0" w:type="dxa"/>
            <w:left w:w="0" w:type="dxa"/>
            <w:bottom w:w="0" w:type="dxa"/>
            <w:right w:w="0" w:type="dxa"/>
          </w:tblCellMar>
        </w:tblPrEx>
        <w:trPr>
          <w:trHeight w:val="397" w:hRule="atLeast"/>
        </w:trPr>
        <w:tc>
          <w:tcPr>
            <w:tcW w:w="227" w:type="pct"/>
            <w:vMerge w:val="continue"/>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471"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3</w:t>
            </w:r>
          </w:p>
        </w:tc>
        <w:tc>
          <w:tcPr>
            <w:tcW w:w="4302" w:type="pct"/>
            <w:gridSpan w:val="3"/>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可燃液体一闪点低于</w:t>
            </w:r>
            <w:r>
              <w:rPr>
                <w:color w:val="000000" w:themeColor="text1"/>
                <w:spacing w:val="-65"/>
                <w14:textFill>
                  <w14:solidFill>
                    <w14:schemeClr w14:val="tx1"/>
                  </w14:solidFill>
                </w14:textFill>
              </w:rPr>
              <w:t xml:space="preserve"> </w:t>
            </w:r>
            <w:r>
              <w:rPr>
                <w:color w:val="000000" w:themeColor="text1"/>
                <w14:textFill>
                  <w14:solidFill>
                    <w14:schemeClr w14:val="tx1"/>
                  </w14:solidFill>
                </w14:textFill>
              </w:rPr>
              <w:t>55℃，压力下保持液态，在实际操作条件下(如高温高压)可以引起重大事故的物质</w:t>
            </w:r>
          </w:p>
        </w:tc>
      </w:tr>
      <w:tr>
        <w:tblPrEx>
          <w:tblCellMar>
            <w:top w:w="0" w:type="dxa"/>
            <w:left w:w="0" w:type="dxa"/>
            <w:bottom w:w="0" w:type="dxa"/>
            <w:right w:w="0" w:type="dxa"/>
          </w:tblCellMar>
        </w:tblPrEx>
        <w:trPr>
          <w:trHeight w:val="397" w:hRule="atLeast"/>
        </w:trPr>
        <w:tc>
          <w:tcPr>
            <w:tcW w:w="698" w:type="pct"/>
            <w:gridSpan w:val="2"/>
            <w:tcBorders>
              <w:top w:val="single" w:color="000000" w:sz="4"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爆炸性物质</w:t>
            </w:r>
          </w:p>
        </w:tc>
        <w:tc>
          <w:tcPr>
            <w:tcW w:w="4302" w:type="pct"/>
            <w:gridSpan w:val="3"/>
            <w:tcBorders>
              <w:top w:val="single" w:color="000000" w:sz="4" w:space="0"/>
              <w:left w:val="single" w:color="000000" w:sz="4" w:space="0"/>
              <w:bottom w:val="single" w:color="000000" w:sz="10"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在火焰影响下可以爆炸，或者对冲击、摩擦比硝基苯更为敏感的物质</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lang w:bidi="en-US"/>
          <w14:textFill>
            <w14:solidFill>
              <w14:schemeClr w14:val="tx1"/>
            </w14:solidFill>
          </w14:textFill>
        </w:rPr>
        <w:t>5.9</w:t>
      </w:r>
      <w:r>
        <w:rPr>
          <w:rFonts w:cs="Times New Roman"/>
          <w:bCs/>
          <w:color w:val="000000" w:themeColor="text1"/>
          <w14:textFill>
            <w14:solidFill>
              <w14:schemeClr w14:val="tx1"/>
            </w14:solidFill>
          </w14:textFill>
        </w:rPr>
        <w:t>-7</w:t>
      </w:r>
      <w:r>
        <w:rPr>
          <w:rFonts w:cs="Times New Roman"/>
          <w:color w:val="000000" w:themeColor="text1"/>
          <w14:textFill>
            <w14:solidFill>
              <w14:schemeClr w14:val="tx1"/>
            </w14:solidFill>
          </w14:textFill>
        </w:rPr>
        <w:t>沼气的理化性质及毒理性质</w:t>
      </w:r>
    </w:p>
    <w:p>
      <w:pPr>
        <w:kinsoku w:val="0"/>
        <w:overflowPunct w:val="0"/>
        <w:autoSpaceDE w:val="0"/>
        <w:autoSpaceDN w:val="0"/>
        <w:adjustRightInd w:val="0"/>
        <w:spacing w:before="1" w:line="240" w:lineRule="auto"/>
        <w:ind w:firstLine="0" w:firstLineChars="0"/>
        <w:jc w:val="left"/>
        <w:rPr>
          <w:rFonts w:cs="Times New Roman"/>
          <w:color w:val="000000" w:themeColor="text1"/>
          <w:kern w:val="0"/>
          <w:sz w:val="6"/>
          <w:szCs w:val="6"/>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1430"/>
        <w:gridCol w:w="1110"/>
        <w:gridCol w:w="871"/>
        <w:gridCol w:w="988"/>
        <w:gridCol w:w="1077"/>
        <w:gridCol w:w="129"/>
        <w:gridCol w:w="500"/>
        <w:gridCol w:w="579"/>
        <w:gridCol w:w="235"/>
        <w:gridCol w:w="795"/>
        <w:gridCol w:w="142"/>
        <w:gridCol w:w="1241"/>
      </w:tblGrid>
      <w:tr>
        <w:tblPrEx>
          <w:tblCellMar>
            <w:top w:w="0" w:type="dxa"/>
            <w:left w:w="0" w:type="dxa"/>
            <w:bottom w:w="0" w:type="dxa"/>
            <w:right w:w="0" w:type="dxa"/>
          </w:tblCellMar>
        </w:tblPrEx>
        <w:trPr>
          <w:trHeight w:val="397" w:hRule="atLeast"/>
        </w:trPr>
        <w:tc>
          <w:tcPr>
            <w:tcW w:w="786" w:type="pct"/>
            <w:tcBorders>
              <w:top w:val="single" w:color="000000" w:sz="10"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中文名称</w:t>
            </w:r>
          </w:p>
        </w:tc>
        <w:tc>
          <w:tcPr>
            <w:tcW w:w="1632" w:type="pct"/>
            <w:gridSpan w:val="3"/>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甲烷</w:t>
            </w:r>
          </w:p>
        </w:tc>
        <w:tc>
          <w:tcPr>
            <w:tcW w:w="663" w:type="pct"/>
            <w:gridSpan w:val="2"/>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英文名称</w:t>
            </w:r>
          </w:p>
        </w:tc>
        <w:tc>
          <w:tcPr>
            <w:tcW w:w="1919" w:type="pct"/>
            <w:gridSpan w:val="6"/>
            <w:tcBorders>
              <w:top w:val="single" w:color="000000" w:sz="10"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Methane</w:t>
            </w:r>
          </w:p>
        </w:tc>
      </w:tr>
      <w:tr>
        <w:tblPrEx>
          <w:tblCellMar>
            <w:top w:w="0" w:type="dxa"/>
            <w:left w:w="0" w:type="dxa"/>
            <w:bottom w:w="0" w:type="dxa"/>
            <w:right w:w="0" w:type="dxa"/>
          </w:tblCellMar>
        </w:tblPrEx>
        <w:trPr>
          <w:trHeight w:val="397" w:hRule="atLeast"/>
        </w:trPr>
        <w:tc>
          <w:tcPr>
            <w:tcW w:w="78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外观与性状</w:t>
            </w:r>
          </w:p>
        </w:tc>
        <w:tc>
          <w:tcPr>
            <w:tcW w:w="1632" w:type="pct"/>
            <w:gridSpan w:val="3"/>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无色、无臭气体</w:t>
            </w:r>
          </w:p>
        </w:tc>
        <w:tc>
          <w:tcPr>
            <w:tcW w:w="663" w:type="pct"/>
            <w:gridSpan w:val="2"/>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侵入途径</w:t>
            </w:r>
          </w:p>
        </w:tc>
        <w:tc>
          <w:tcPr>
            <w:tcW w:w="1919" w:type="pct"/>
            <w:gridSpan w:val="6"/>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吸入</w:t>
            </w:r>
          </w:p>
        </w:tc>
      </w:tr>
      <w:tr>
        <w:tblPrEx>
          <w:tblCellMar>
            <w:top w:w="0" w:type="dxa"/>
            <w:left w:w="0" w:type="dxa"/>
            <w:bottom w:w="0" w:type="dxa"/>
            <w:right w:w="0" w:type="dxa"/>
          </w:tblCellMar>
        </w:tblPrEx>
        <w:trPr>
          <w:trHeight w:val="397" w:hRule="atLeast"/>
        </w:trPr>
        <w:tc>
          <w:tcPr>
            <w:tcW w:w="78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分子式</w:t>
            </w:r>
          </w:p>
        </w:tc>
        <w:tc>
          <w:tcPr>
            <w:tcW w:w="61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分子量</w:t>
            </w:r>
          </w:p>
        </w:tc>
        <w:tc>
          <w:tcPr>
            <w:tcW w:w="54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63" w:type="pct"/>
            <w:gridSpan w:val="2"/>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引燃温度</w:t>
            </w:r>
          </w:p>
        </w:tc>
        <w:tc>
          <w:tcPr>
            <w:tcW w:w="722" w:type="pct"/>
            <w:gridSpan w:val="3"/>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482～632℃</w:t>
            </w:r>
          </w:p>
        </w:tc>
        <w:tc>
          <w:tcPr>
            <w:tcW w:w="437"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闪点</w:t>
            </w:r>
          </w:p>
        </w:tc>
        <w:tc>
          <w:tcPr>
            <w:tcW w:w="759" w:type="pct"/>
            <w:gridSpan w:val="2"/>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无意义</w:t>
            </w:r>
          </w:p>
        </w:tc>
      </w:tr>
      <w:tr>
        <w:tblPrEx>
          <w:tblCellMar>
            <w:top w:w="0" w:type="dxa"/>
            <w:left w:w="0" w:type="dxa"/>
            <w:bottom w:w="0" w:type="dxa"/>
            <w:right w:w="0" w:type="dxa"/>
          </w:tblCellMar>
        </w:tblPrEx>
        <w:trPr>
          <w:trHeight w:val="397" w:hRule="atLeast"/>
        </w:trPr>
        <w:tc>
          <w:tcPr>
            <w:tcW w:w="78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熔点</w:t>
            </w:r>
          </w:p>
        </w:tc>
        <w:tc>
          <w:tcPr>
            <w:tcW w:w="61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479"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沸点</w:t>
            </w:r>
          </w:p>
        </w:tc>
        <w:tc>
          <w:tcPr>
            <w:tcW w:w="54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663" w:type="pct"/>
            <w:gridSpan w:val="2"/>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蒸汽压</w:t>
            </w:r>
          </w:p>
        </w:tc>
        <w:tc>
          <w:tcPr>
            <w:tcW w:w="1919" w:type="pct"/>
            <w:gridSpan w:val="6"/>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CellMar>
            <w:top w:w="0" w:type="dxa"/>
            <w:left w:w="0" w:type="dxa"/>
            <w:bottom w:w="0" w:type="dxa"/>
            <w:right w:w="0" w:type="dxa"/>
          </w:tblCellMar>
        </w:tblPrEx>
        <w:trPr>
          <w:trHeight w:val="397" w:hRule="atLeast"/>
        </w:trPr>
        <w:tc>
          <w:tcPr>
            <w:tcW w:w="786" w:type="pct"/>
            <w:vMerge w:val="restar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相对密度</w:t>
            </w:r>
          </w:p>
        </w:tc>
        <w:tc>
          <w:tcPr>
            <w:tcW w:w="61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水=1</w:t>
            </w:r>
          </w:p>
        </w:tc>
        <w:tc>
          <w:tcPr>
            <w:tcW w:w="1022" w:type="pct"/>
            <w:gridSpan w:val="2"/>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0.45</w:t>
            </w:r>
          </w:p>
        </w:tc>
        <w:tc>
          <w:tcPr>
            <w:tcW w:w="938" w:type="pct"/>
            <w:gridSpan w:val="3"/>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燃烧热(kJ/mol)</w:t>
            </w:r>
          </w:p>
        </w:tc>
        <w:tc>
          <w:tcPr>
            <w:tcW w:w="1644" w:type="pct"/>
            <w:gridSpan w:val="5"/>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无意义</w:t>
            </w:r>
          </w:p>
        </w:tc>
      </w:tr>
      <w:tr>
        <w:tblPrEx>
          <w:tblCellMar>
            <w:top w:w="0" w:type="dxa"/>
            <w:left w:w="0" w:type="dxa"/>
            <w:bottom w:w="0" w:type="dxa"/>
            <w:right w:w="0" w:type="dxa"/>
          </w:tblCellMar>
        </w:tblPrEx>
        <w:trPr>
          <w:trHeight w:val="397" w:hRule="atLeast"/>
        </w:trPr>
        <w:tc>
          <w:tcPr>
            <w:tcW w:w="786" w:type="pct"/>
            <w:vMerge w:val="continue"/>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空气=1</w:t>
            </w:r>
          </w:p>
        </w:tc>
        <w:tc>
          <w:tcPr>
            <w:tcW w:w="1022" w:type="pct"/>
            <w:gridSpan w:val="2"/>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0.55</w:t>
            </w:r>
          </w:p>
        </w:tc>
        <w:tc>
          <w:tcPr>
            <w:tcW w:w="663" w:type="pct"/>
            <w:gridSpan w:val="2"/>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临界温度</w:t>
            </w:r>
          </w:p>
        </w:tc>
        <w:tc>
          <w:tcPr>
            <w:tcW w:w="1919" w:type="pct"/>
            <w:gridSpan w:val="6"/>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CellMar>
            <w:top w:w="0" w:type="dxa"/>
            <w:left w:w="0" w:type="dxa"/>
            <w:bottom w:w="0" w:type="dxa"/>
            <w:right w:w="0" w:type="dxa"/>
          </w:tblCellMar>
        </w:tblPrEx>
        <w:trPr>
          <w:trHeight w:val="397" w:hRule="atLeast"/>
        </w:trPr>
        <w:tc>
          <w:tcPr>
            <w:tcW w:w="786" w:type="pct"/>
            <w:vMerge w:val="restar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爆炸极限</w:t>
            </w:r>
          </w:p>
          <w:p>
            <w:pPr>
              <w:pStyle w:val="332"/>
              <w:rPr>
                <w:color w:val="000000" w:themeColor="text1"/>
                <w14:textFill>
                  <w14:solidFill>
                    <w14:schemeClr w14:val="tx1"/>
                  </w14:solidFill>
                </w14:textFill>
              </w:rPr>
            </w:pPr>
            <w:r>
              <w:rPr>
                <w:color w:val="000000" w:themeColor="text1"/>
                <w14:textFill>
                  <w14:solidFill>
                    <w14:schemeClr w14:val="tx1"/>
                  </w14:solidFill>
                </w14:textFill>
              </w:rPr>
              <w:t>(vol%)</w:t>
            </w:r>
          </w:p>
        </w:tc>
        <w:tc>
          <w:tcPr>
            <w:tcW w:w="61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上限</w:t>
            </w:r>
          </w:p>
        </w:tc>
        <w:tc>
          <w:tcPr>
            <w:tcW w:w="1022" w:type="pct"/>
            <w:gridSpan w:val="2"/>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w:t>
            </w:r>
          </w:p>
        </w:tc>
        <w:tc>
          <w:tcPr>
            <w:tcW w:w="663" w:type="pct"/>
            <w:gridSpan w:val="2"/>
            <w:vMerge w:val="restar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灭火剂</w:t>
            </w:r>
          </w:p>
        </w:tc>
        <w:tc>
          <w:tcPr>
            <w:tcW w:w="1919" w:type="pct"/>
            <w:gridSpan w:val="6"/>
            <w:vMerge w:val="restar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雾状水、泡沫、二氧化碳</w:t>
            </w:r>
          </w:p>
        </w:tc>
      </w:tr>
      <w:tr>
        <w:tblPrEx>
          <w:tblCellMar>
            <w:top w:w="0" w:type="dxa"/>
            <w:left w:w="0" w:type="dxa"/>
            <w:bottom w:w="0" w:type="dxa"/>
            <w:right w:w="0" w:type="dxa"/>
          </w:tblCellMar>
        </w:tblPrEx>
        <w:trPr>
          <w:trHeight w:val="397" w:hRule="atLeast"/>
        </w:trPr>
        <w:tc>
          <w:tcPr>
            <w:tcW w:w="786" w:type="pct"/>
            <w:vMerge w:val="continue"/>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下限</w:t>
            </w:r>
          </w:p>
        </w:tc>
        <w:tc>
          <w:tcPr>
            <w:tcW w:w="1022" w:type="pct"/>
            <w:gridSpan w:val="2"/>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663" w:type="pct"/>
            <w:gridSpan w:val="2"/>
            <w:vMerge w:val="continue"/>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1919" w:type="pct"/>
            <w:gridSpan w:val="6"/>
            <w:vMerge w:val="continue"/>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78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主要用途</w:t>
            </w:r>
          </w:p>
        </w:tc>
        <w:tc>
          <w:tcPr>
            <w:tcW w:w="4214" w:type="pct"/>
            <w:gridSpan w:val="11"/>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spacing w:val="-2"/>
                <w14:textFill>
                  <w14:solidFill>
                    <w14:schemeClr w14:val="tx1"/>
                  </w14:solidFill>
                </w14:textFill>
              </w:rPr>
              <w:t>是重要的有机化工原料，可用作制造炭黑、合成氨、甲醇以及其它有机化合物，</w:t>
            </w:r>
            <w:r>
              <w:rPr>
                <w:color w:val="000000" w:themeColor="text1"/>
                <w:spacing w:val="-38"/>
                <w14:textFill>
                  <w14:solidFill>
                    <w14:schemeClr w14:val="tx1"/>
                  </w14:solidFill>
                </w14:textFill>
              </w:rPr>
              <w:t xml:space="preserve"> </w:t>
            </w:r>
            <w:r>
              <w:rPr>
                <w:color w:val="000000" w:themeColor="text1"/>
                <w14:textFill>
                  <w14:solidFill>
                    <w14:schemeClr w14:val="tx1"/>
                  </w14:solidFill>
                </w14:textFill>
              </w:rPr>
              <w:t>亦是优良的燃料。</w:t>
            </w:r>
          </w:p>
        </w:tc>
      </w:tr>
      <w:tr>
        <w:tblPrEx>
          <w:tblCellMar>
            <w:top w:w="0" w:type="dxa"/>
            <w:left w:w="0" w:type="dxa"/>
            <w:bottom w:w="0" w:type="dxa"/>
            <w:right w:w="0" w:type="dxa"/>
          </w:tblCellMar>
        </w:tblPrEx>
        <w:trPr>
          <w:trHeight w:val="397" w:hRule="atLeast"/>
        </w:trPr>
        <w:tc>
          <w:tcPr>
            <w:tcW w:w="78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物质危险类别</w:t>
            </w:r>
          </w:p>
        </w:tc>
        <w:tc>
          <w:tcPr>
            <w:tcW w:w="1632" w:type="pct"/>
            <w:gridSpan w:val="3"/>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第 2.1 类</w:t>
            </w:r>
            <w:r>
              <w:rPr>
                <w:color w:val="000000" w:themeColor="text1"/>
                <w:spacing w:val="-56"/>
                <w14:textFill>
                  <w14:solidFill>
                    <w14:schemeClr w14:val="tx1"/>
                  </w14:solidFill>
                </w14:textFill>
              </w:rPr>
              <w:t xml:space="preserve"> </w:t>
            </w:r>
            <w:r>
              <w:rPr>
                <w:color w:val="000000" w:themeColor="text1"/>
                <w14:textFill>
                  <w14:solidFill>
                    <w14:schemeClr w14:val="tx1"/>
                  </w14:solidFill>
                </w14:textFill>
              </w:rPr>
              <w:t>易燃气体</w:t>
            </w:r>
          </w:p>
        </w:tc>
        <w:tc>
          <w:tcPr>
            <w:tcW w:w="59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燃烧性</w:t>
            </w:r>
          </w:p>
        </w:tc>
        <w:tc>
          <w:tcPr>
            <w:tcW w:w="1989" w:type="pct"/>
            <w:gridSpan w:val="7"/>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本品易燃</w:t>
            </w:r>
          </w:p>
        </w:tc>
      </w:tr>
      <w:tr>
        <w:tblPrEx>
          <w:tblCellMar>
            <w:top w:w="0" w:type="dxa"/>
            <w:left w:w="0" w:type="dxa"/>
            <w:bottom w:w="0" w:type="dxa"/>
            <w:right w:w="0" w:type="dxa"/>
          </w:tblCellMar>
        </w:tblPrEx>
        <w:trPr>
          <w:trHeight w:val="397" w:hRule="atLeast"/>
        </w:trPr>
        <w:tc>
          <w:tcPr>
            <w:tcW w:w="78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禁忌物</w:t>
            </w:r>
          </w:p>
        </w:tc>
        <w:tc>
          <w:tcPr>
            <w:tcW w:w="1632" w:type="pct"/>
            <w:gridSpan w:val="3"/>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强氧化剂、卤素</w:t>
            </w:r>
          </w:p>
        </w:tc>
        <w:tc>
          <w:tcPr>
            <w:tcW w:w="59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溶解性</w:t>
            </w:r>
          </w:p>
        </w:tc>
        <w:tc>
          <w:tcPr>
            <w:tcW w:w="1989" w:type="pct"/>
            <w:gridSpan w:val="7"/>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溶于水</w:t>
            </w:r>
          </w:p>
        </w:tc>
      </w:tr>
      <w:tr>
        <w:tblPrEx>
          <w:tblCellMar>
            <w:top w:w="0" w:type="dxa"/>
            <w:left w:w="0" w:type="dxa"/>
            <w:bottom w:w="0" w:type="dxa"/>
            <w:right w:w="0" w:type="dxa"/>
          </w:tblCellMar>
        </w:tblPrEx>
        <w:trPr>
          <w:trHeight w:val="397" w:hRule="atLeast"/>
        </w:trPr>
        <w:tc>
          <w:tcPr>
            <w:tcW w:w="78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燃烧分解产物</w:t>
            </w:r>
          </w:p>
        </w:tc>
        <w:tc>
          <w:tcPr>
            <w:tcW w:w="1632" w:type="pct"/>
            <w:gridSpan w:val="3"/>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一氧化碳、二氧化碳</w:t>
            </w:r>
          </w:p>
        </w:tc>
        <w:tc>
          <w:tcPr>
            <w:tcW w:w="59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UN</w:t>
            </w:r>
            <w:r>
              <w:rPr>
                <w:color w:val="000000" w:themeColor="text1"/>
                <w:spacing w:val="1"/>
                <w14:textFill>
                  <w14:solidFill>
                    <w14:schemeClr w14:val="tx1"/>
                  </w14:solidFill>
                </w14:textFill>
              </w:rPr>
              <w:t xml:space="preserve"> </w:t>
            </w:r>
            <w:r>
              <w:rPr>
                <w:color w:val="000000" w:themeColor="text1"/>
                <w:spacing w:val="-3"/>
                <w14:textFill>
                  <w14:solidFill>
                    <w14:schemeClr w14:val="tx1"/>
                  </w14:solidFill>
                </w14:textFill>
              </w:rPr>
              <w:t>编号</w:t>
            </w:r>
          </w:p>
        </w:tc>
        <w:tc>
          <w:tcPr>
            <w:tcW w:w="664" w:type="pct"/>
            <w:gridSpan w:val="3"/>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1971</w:t>
            </w:r>
          </w:p>
        </w:tc>
        <w:tc>
          <w:tcPr>
            <w:tcW w:w="644" w:type="pct"/>
            <w:gridSpan w:val="3"/>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CAS</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NO.</w:t>
            </w:r>
          </w:p>
        </w:tc>
        <w:tc>
          <w:tcPr>
            <w:tcW w:w="681"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CellMar>
            <w:top w:w="0" w:type="dxa"/>
            <w:left w:w="0" w:type="dxa"/>
            <w:bottom w:w="0" w:type="dxa"/>
            <w:right w:w="0" w:type="dxa"/>
          </w:tblCellMar>
        </w:tblPrEx>
        <w:trPr>
          <w:trHeight w:val="397" w:hRule="atLeast"/>
        </w:trPr>
        <w:tc>
          <w:tcPr>
            <w:tcW w:w="78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危险货物编号</w:t>
            </w:r>
          </w:p>
        </w:tc>
        <w:tc>
          <w:tcPr>
            <w:tcW w:w="1632" w:type="pct"/>
            <w:gridSpan w:val="3"/>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59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包装类别</w:t>
            </w:r>
          </w:p>
        </w:tc>
        <w:tc>
          <w:tcPr>
            <w:tcW w:w="664" w:type="pct"/>
            <w:gridSpan w:val="3"/>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II</w:t>
            </w:r>
          </w:p>
        </w:tc>
        <w:tc>
          <w:tcPr>
            <w:tcW w:w="644" w:type="pct"/>
            <w:gridSpan w:val="3"/>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包装标志</w:t>
            </w:r>
          </w:p>
        </w:tc>
        <w:tc>
          <w:tcPr>
            <w:tcW w:w="681"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CellMar>
            <w:top w:w="0" w:type="dxa"/>
            <w:left w:w="0" w:type="dxa"/>
            <w:bottom w:w="0" w:type="dxa"/>
            <w:right w:w="0" w:type="dxa"/>
          </w:tblCellMar>
        </w:tblPrEx>
        <w:trPr>
          <w:trHeight w:val="397" w:hRule="atLeast"/>
        </w:trPr>
        <w:tc>
          <w:tcPr>
            <w:tcW w:w="78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4214" w:type="pct"/>
            <w:gridSpan w:val="11"/>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spacing w:val="-2"/>
                <w14:textFill>
                  <w14:solidFill>
                    <w14:schemeClr w14:val="tx1"/>
                  </w14:solidFill>
                </w14:textFill>
              </w:rPr>
              <w:t>与空气混合能形成爆炸性混合物，遇明火、高热极易燃烧爆炸。与氟、氯等能发</w:t>
            </w:r>
            <w:r>
              <w:rPr>
                <w:color w:val="000000" w:themeColor="text1"/>
                <w:spacing w:val="-54"/>
                <w14:textFill>
                  <w14:solidFill>
                    <w14:schemeClr w14:val="tx1"/>
                  </w14:solidFill>
                </w14:textFill>
              </w:rPr>
              <w:t xml:space="preserve"> </w:t>
            </w:r>
            <w:r>
              <w:rPr>
                <w:color w:val="000000" w:themeColor="text1"/>
                <w:spacing w:val="-2"/>
                <w14:textFill>
                  <w14:solidFill>
                    <w14:schemeClr w14:val="tx1"/>
                  </w14:solidFill>
                </w14:textFill>
              </w:rPr>
              <w:t>生剧烈的化学反应。其蒸气比空气重，能在较低处扩散到相当远的地方，遇明火</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会引着回燃。若遇高热，容器内压增大，有开裂和爆炸的危险。</w:t>
            </w:r>
          </w:p>
        </w:tc>
      </w:tr>
      <w:tr>
        <w:tblPrEx>
          <w:tblCellMar>
            <w:top w:w="0" w:type="dxa"/>
            <w:left w:w="0" w:type="dxa"/>
            <w:bottom w:w="0" w:type="dxa"/>
            <w:right w:w="0" w:type="dxa"/>
          </w:tblCellMar>
        </w:tblPrEx>
        <w:trPr>
          <w:trHeight w:val="397" w:hRule="atLeast"/>
        </w:trPr>
        <w:tc>
          <w:tcPr>
            <w:tcW w:w="78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灭火方法</w:t>
            </w:r>
          </w:p>
        </w:tc>
        <w:tc>
          <w:tcPr>
            <w:tcW w:w="4214" w:type="pct"/>
            <w:gridSpan w:val="11"/>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spacing w:val="-3"/>
                <w14:textFill>
                  <w14:solidFill>
                    <w14:schemeClr w14:val="tx1"/>
                  </w14:solidFill>
                </w14:textFill>
              </w:rPr>
              <w:t>切断气源。若不能立即切断气源，则不允许熄灭正在燃烧的气体，喷水冷却容器</w:t>
            </w:r>
            <w:r>
              <w:rPr>
                <w:color w:val="000000" w:themeColor="text1"/>
                <w:spacing w:val="-56"/>
                <w14:textFill>
                  <w14:solidFill>
                    <w14:schemeClr w14:val="tx1"/>
                  </w14:solidFill>
                </w14:textFill>
              </w:rPr>
              <w:t xml:space="preserve"> </w:t>
            </w:r>
            <w:r>
              <w:rPr>
                <w:color w:val="000000" w:themeColor="text1"/>
                <w14:textFill>
                  <w14:solidFill>
                    <w14:schemeClr w14:val="tx1"/>
                  </w14:solidFill>
                </w14:textFill>
              </w:rPr>
              <w:t>可能的话将容器从火场移至空旷处。</w:t>
            </w:r>
          </w:p>
        </w:tc>
      </w:tr>
      <w:tr>
        <w:tblPrEx>
          <w:tblCellMar>
            <w:top w:w="0" w:type="dxa"/>
            <w:left w:w="0" w:type="dxa"/>
            <w:bottom w:w="0" w:type="dxa"/>
            <w:right w:w="0" w:type="dxa"/>
          </w:tblCellMar>
        </w:tblPrEx>
        <w:trPr>
          <w:trHeight w:val="397" w:hRule="atLeast"/>
        </w:trPr>
        <w:tc>
          <w:tcPr>
            <w:tcW w:w="78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健康危害</w:t>
            </w:r>
          </w:p>
        </w:tc>
        <w:tc>
          <w:tcPr>
            <w:tcW w:w="4214" w:type="pct"/>
            <w:gridSpan w:val="11"/>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spacing w:val="-3"/>
                <w14:textFill>
                  <w14:solidFill>
                    <w14:schemeClr w14:val="tx1"/>
                  </w14:solidFill>
                </w14:textFill>
              </w:rPr>
              <w:t>急性中毒时，可有头昏、头痛、呕吐、乏力甚至昏迷。病程中尚可出现精神症状</w:t>
            </w:r>
            <w:r>
              <w:rPr>
                <w:color w:val="000000" w:themeColor="text1"/>
                <w14:textFill>
                  <w14:solidFill>
                    <w14:schemeClr w14:val="tx1"/>
                  </w14:solidFill>
                </w14:textFill>
              </w:rPr>
              <w:t xml:space="preserve"> </w:t>
            </w:r>
            <w:r>
              <w:rPr>
                <w:color w:val="000000" w:themeColor="text1"/>
                <w:spacing w:val="-2"/>
                <w14:textFill>
                  <w14:solidFill>
                    <w14:schemeClr w14:val="tx1"/>
                  </w14:solidFill>
                </w14:textFill>
              </w:rPr>
              <w:t>步态不稳，昏迷过程久者，醒后可有运动性失语及偏瘫。长期接触天然气者，可</w:t>
            </w:r>
            <w:r>
              <w:rPr>
                <w:color w:val="000000" w:themeColor="text1"/>
                <w14:textFill>
                  <w14:solidFill>
                    <w14:schemeClr w14:val="tx1"/>
                  </w14:solidFill>
                </w14:textFill>
              </w:rPr>
              <w:t xml:space="preserve"> 出现神经衰弱综合征。</w:t>
            </w:r>
          </w:p>
        </w:tc>
      </w:tr>
      <w:tr>
        <w:tblPrEx>
          <w:tblCellMar>
            <w:top w:w="0" w:type="dxa"/>
            <w:left w:w="0" w:type="dxa"/>
            <w:bottom w:w="0" w:type="dxa"/>
            <w:right w:w="0" w:type="dxa"/>
          </w:tblCellMar>
        </w:tblPrEx>
        <w:trPr>
          <w:trHeight w:val="397" w:hRule="atLeast"/>
        </w:trPr>
        <w:tc>
          <w:tcPr>
            <w:tcW w:w="78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急救措施</w:t>
            </w:r>
          </w:p>
        </w:tc>
        <w:tc>
          <w:tcPr>
            <w:tcW w:w="4214" w:type="pct"/>
            <w:gridSpan w:val="11"/>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吸入：脱离有毒环境，至空气新鲜处，给氧，对症治疗。注意防治脑水肿。</w:t>
            </w:r>
          </w:p>
        </w:tc>
      </w:tr>
      <w:tr>
        <w:tblPrEx>
          <w:tblCellMar>
            <w:top w:w="0" w:type="dxa"/>
            <w:left w:w="0" w:type="dxa"/>
            <w:bottom w:w="0" w:type="dxa"/>
            <w:right w:w="0" w:type="dxa"/>
          </w:tblCellMar>
        </w:tblPrEx>
        <w:trPr>
          <w:trHeight w:val="397" w:hRule="atLeast"/>
        </w:trPr>
        <w:tc>
          <w:tcPr>
            <w:tcW w:w="78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防护措施</w:t>
            </w:r>
          </w:p>
        </w:tc>
        <w:tc>
          <w:tcPr>
            <w:tcW w:w="4214" w:type="pct"/>
            <w:gridSpan w:val="11"/>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spacing w:val="-2"/>
                <w14:textFill>
                  <w14:solidFill>
                    <w14:schemeClr w14:val="tx1"/>
                  </w14:solidFill>
                </w14:textFill>
              </w:rPr>
              <w:t>呼吸系统防护：高浓度环境中，佩带供气式呼吸器。眼睛防护：一般不需要特殊</w:t>
            </w:r>
            <w:r>
              <w:rPr>
                <w:color w:val="000000" w:themeColor="text1"/>
                <w:spacing w:val="-81"/>
                <w14:textFill>
                  <w14:solidFill>
                    <w14:schemeClr w14:val="tx1"/>
                  </w14:solidFill>
                </w14:textFill>
              </w:rPr>
              <w:t xml:space="preserve"> </w:t>
            </w:r>
            <w:r>
              <w:rPr>
                <w:color w:val="000000" w:themeColor="text1"/>
                <w:spacing w:val="-3"/>
                <w14:textFill>
                  <w14:solidFill>
                    <w14:schemeClr w14:val="tx1"/>
                  </w14:solidFill>
                </w14:textFill>
              </w:rPr>
              <w:t>防护，高浓度接触时可戴化学安全防护眼镜。防护服：穿防静电工作服。手防护</w:t>
            </w:r>
            <w:r>
              <w:rPr>
                <w:color w:val="000000" w:themeColor="text1"/>
                <w14:textFill>
                  <w14:solidFill>
                    <w14:schemeClr w14:val="tx1"/>
                  </w14:solidFill>
                </w14:textFill>
              </w:rPr>
              <w:t xml:space="preserve"> </w:t>
            </w:r>
            <w:r>
              <w:rPr>
                <w:color w:val="000000" w:themeColor="text1"/>
                <w:spacing w:val="-2"/>
                <w14:textFill>
                  <w14:solidFill>
                    <w14:schemeClr w14:val="tx1"/>
                  </w14:solidFill>
                </w14:textFill>
              </w:rPr>
              <w:t>戴防化学品手套。其它：工作现场严禁吸烟。避免高浓度吸入。进入罐或其它高</w:t>
            </w:r>
            <w:r>
              <w:rPr>
                <w:color w:val="000000" w:themeColor="text1"/>
                <w:spacing w:val="-68"/>
                <w14:textFill>
                  <w14:solidFill>
                    <w14:schemeClr w14:val="tx1"/>
                  </w14:solidFill>
                </w14:textFill>
              </w:rPr>
              <w:t xml:space="preserve"> </w:t>
            </w:r>
            <w:r>
              <w:rPr>
                <w:color w:val="000000" w:themeColor="text1"/>
                <w14:textFill>
                  <w14:solidFill>
                    <w14:schemeClr w14:val="tx1"/>
                  </w14:solidFill>
                </w14:textFill>
              </w:rPr>
              <w:t>浓度区作业，须有人监护。</w:t>
            </w:r>
          </w:p>
        </w:tc>
      </w:tr>
      <w:tr>
        <w:tblPrEx>
          <w:tblCellMar>
            <w:top w:w="0" w:type="dxa"/>
            <w:left w:w="0" w:type="dxa"/>
            <w:bottom w:w="0" w:type="dxa"/>
            <w:right w:w="0" w:type="dxa"/>
          </w:tblCellMar>
        </w:tblPrEx>
        <w:trPr>
          <w:trHeight w:val="397" w:hRule="atLeast"/>
        </w:trPr>
        <w:tc>
          <w:tcPr>
            <w:tcW w:w="786" w:type="pct"/>
            <w:tcBorders>
              <w:top w:val="single" w:color="000000" w:sz="4"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泄漏应急措施</w:t>
            </w:r>
          </w:p>
        </w:tc>
        <w:tc>
          <w:tcPr>
            <w:tcW w:w="4214" w:type="pct"/>
            <w:gridSpan w:val="11"/>
            <w:tcBorders>
              <w:top w:val="single" w:color="000000" w:sz="4" w:space="0"/>
              <w:left w:val="single" w:color="000000" w:sz="4" w:space="0"/>
              <w:bottom w:val="single" w:color="000000" w:sz="10"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spacing w:val="-2"/>
                <w14:textFill>
                  <w14:solidFill>
                    <w14:schemeClr w14:val="tx1"/>
                  </w14:solidFill>
                </w14:textFill>
              </w:rPr>
              <w:t>切断火源。戴自给式呼吸器，穿一般消防防护服。合理通风，禁止泄漏物进入受</w:t>
            </w:r>
            <w:r>
              <w:rPr>
                <w:color w:val="000000" w:themeColor="text1"/>
                <w:spacing w:val="-6"/>
                <w14:textFill>
                  <w14:solidFill>
                    <w14:schemeClr w14:val="tx1"/>
                  </w14:solidFill>
                </w14:textFill>
              </w:rPr>
              <w:t>限制的空间(如下水道等)，以避免发生爆炸。切断气源，喷洒雾状水稀释，抽排(室</w:t>
            </w:r>
            <w:r>
              <w:rPr>
                <w:color w:val="000000" w:themeColor="text1"/>
                <w:spacing w:val="-50"/>
                <w14:textFill>
                  <w14:solidFill>
                    <w14:schemeClr w14:val="tx1"/>
                  </w14:solidFill>
                </w14:textFill>
              </w:rPr>
              <w:t xml:space="preserve"> </w:t>
            </w:r>
            <w:r>
              <w:rPr>
                <w:color w:val="000000" w:themeColor="text1"/>
                <w:spacing w:val="-2"/>
                <w14:textFill>
                  <w14:solidFill>
                    <w14:schemeClr w14:val="tx1"/>
                  </w14:solidFill>
                </w14:textFill>
              </w:rPr>
              <w:t>内)或强力通风(室外)。漏气容器不能再用，且要经过技术处理以清除可能剩下的</w:t>
            </w:r>
            <w:r>
              <w:rPr>
                <w:color w:val="000000" w:themeColor="text1"/>
                <w:spacing w:val="-80"/>
                <w14:textFill>
                  <w14:solidFill>
                    <w14:schemeClr w14:val="tx1"/>
                  </w14:solidFill>
                </w14:textFill>
              </w:rPr>
              <w:t xml:space="preserve"> </w:t>
            </w:r>
            <w:r>
              <w:rPr>
                <w:color w:val="000000" w:themeColor="text1"/>
                <w14:textFill>
                  <w14:solidFill>
                    <w14:schemeClr w14:val="tx1"/>
                  </w14:solidFill>
                </w14:textFill>
              </w:rPr>
              <w:t>气体。</w:t>
            </w:r>
          </w:p>
        </w:tc>
      </w:tr>
    </w:tbl>
    <w:p>
      <w:pPr>
        <w:kinsoku w:val="0"/>
        <w:overflowPunct w:val="0"/>
        <w:autoSpaceDE w:val="0"/>
        <w:autoSpaceDN w:val="0"/>
        <w:adjustRightInd w:val="0"/>
        <w:spacing w:before="5" w:line="240" w:lineRule="auto"/>
        <w:ind w:firstLine="0" w:firstLineChars="0"/>
        <w:jc w:val="left"/>
        <w:rPr>
          <w:rFonts w:cs="Times New Roman"/>
          <w:color w:val="000000" w:themeColor="text1"/>
          <w:kern w:val="0"/>
          <w:sz w:val="5"/>
          <w:szCs w:val="5"/>
          <w14:textFill>
            <w14:solidFill>
              <w14:schemeClr w14:val="tx1"/>
            </w14:solidFill>
          </w14:textFill>
        </w:rPr>
      </w:pPr>
    </w:p>
    <w:p>
      <w:pPr>
        <w:pStyle w:val="333"/>
        <w:spacing w:before="12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lang w:bidi="en-US"/>
          <w14:textFill>
            <w14:solidFill>
              <w14:schemeClr w14:val="tx1"/>
            </w14:solidFill>
          </w14:textFill>
        </w:rPr>
        <w:t>5.9</w:t>
      </w:r>
      <w:r>
        <w:rPr>
          <w:rFonts w:cs="Times New Roman"/>
          <w:color w:val="000000" w:themeColor="text1"/>
          <w14:textFill>
            <w14:solidFill>
              <w14:schemeClr w14:val="tx1"/>
            </w14:solidFill>
          </w14:textFill>
        </w:rPr>
        <w:t>-8</w:t>
      </w:r>
      <w:r>
        <w:rPr>
          <w:rFonts w:cs="Times New Roman"/>
          <w:color w:val="000000" w:themeColor="text1"/>
          <w:spacing w:val="60"/>
          <w14:textFill>
            <w14:solidFill>
              <w14:schemeClr w14:val="tx1"/>
            </w14:solidFill>
          </w14:textFill>
        </w:rPr>
        <w:t xml:space="preserve"> </w:t>
      </w:r>
      <w:r>
        <w:rPr>
          <w:rFonts w:cs="Times New Roman"/>
          <w:color w:val="000000" w:themeColor="text1"/>
          <w14:textFill>
            <w14:solidFill>
              <w14:schemeClr w14:val="tx1"/>
            </w14:solidFill>
          </w14:textFill>
        </w:rPr>
        <w:t>沼气风险识别结果表</w:t>
      </w:r>
    </w:p>
    <w:tbl>
      <w:tblPr>
        <w:tblStyle w:val="53"/>
        <w:tblW w:w="5000" w:type="pct"/>
        <w:tblInd w:w="0" w:type="dxa"/>
        <w:tblLayout w:type="autofit"/>
        <w:tblCellMar>
          <w:top w:w="0" w:type="dxa"/>
          <w:left w:w="0" w:type="dxa"/>
          <w:bottom w:w="0" w:type="dxa"/>
          <w:right w:w="0" w:type="dxa"/>
        </w:tblCellMar>
      </w:tblPr>
      <w:tblGrid>
        <w:gridCol w:w="709"/>
        <w:gridCol w:w="618"/>
        <w:gridCol w:w="1061"/>
        <w:gridCol w:w="633"/>
        <w:gridCol w:w="730"/>
        <w:gridCol w:w="1912"/>
        <w:gridCol w:w="1667"/>
        <w:gridCol w:w="1767"/>
      </w:tblGrid>
      <w:tr>
        <w:tblPrEx>
          <w:tblCellMar>
            <w:top w:w="0" w:type="dxa"/>
            <w:left w:w="0" w:type="dxa"/>
            <w:bottom w:w="0" w:type="dxa"/>
            <w:right w:w="0" w:type="dxa"/>
          </w:tblCellMar>
        </w:tblPrEx>
        <w:trPr>
          <w:trHeight w:val="397" w:hRule="atLeast"/>
        </w:trPr>
        <w:tc>
          <w:tcPr>
            <w:tcW w:w="390" w:type="pct"/>
            <w:vMerge w:val="restart"/>
            <w:tcBorders>
              <w:top w:val="single" w:color="000000" w:sz="10"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物质名称</w:t>
            </w:r>
          </w:p>
        </w:tc>
        <w:tc>
          <w:tcPr>
            <w:tcW w:w="340" w:type="pct"/>
            <w:vMerge w:val="restart"/>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相态</w:t>
            </w:r>
          </w:p>
        </w:tc>
        <w:tc>
          <w:tcPr>
            <w:tcW w:w="583" w:type="pct"/>
            <w:vMerge w:val="restart"/>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闪点</w:t>
            </w:r>
          </w:p>
        </w:tc>
        <w:tc>
          <w:tcPr>
            <w:tcW w:w="749" w:type="pct"/>
            <w:gridSpan w:val="2"/>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爆炸极限</w:t>
            </w:r>
          </w:p>
        </w:tc>
        <w:tc>
          <w:tcPr>
            <w:tcW w:w="1051" w:type="pct"/>
            <w:vMerge w:val="restart"/>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spacing w:val="-1"/>
                <w14:textFill>
                  <w14:solidFill>
                    <w14:schemeClr w14:val="tx1"/>
                  </w14:solidFill>
                </w14:textFill>
              </w:rPr>
              <w:t>常用危险化学品</w:t>
            </w:r>
            <w:r>
              <w:rPr>
                <w:color w:val="000000" w:themeColor="text1"/>
                <w14:textFill>
                  <w14:solidFill>
                    <w14:schemeClr w14:val="tx1"/>
                  </w14:solidFill>
                </w14:textFill>
              </w:rPr>
              <w:t>分类及标志GB136100-102</w:t>
            </w:r>
          </w:p>
        </w:tc>
        <w:tc>
          <w:tcPr>
            <w:tcW w:w="916" w:type="pct"/>
            <w:vMerge w:val="restart"/>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火灾危险性分类</w:t>
            </w:r>
          </w:p>
          <w:p>
            <w:pPr>
              <w:pStyle w:val="332"/>
              <w:rPr>
                <w:color w:val="000000" w:themeColor="text1"/>
                <w14:textFill>
                  <w14:solidFill>
                    <w14:schemeClr w14:val="tx1"/>
                  </w14:solidFill>
                </w14:textFill>
              </w:rPr>
            </w:pPr>
            <w:r>
              <w:rPr>
                <w:color w:val="000000" w:themeColor="text1"/>
                <w14:textFill>
                  <w14:solidFill>
                    <w14:schemeClr w14:val="tx1"/>
                  </w14:solidFill>
                </w14:textFill>
              </w:rPr>
              <w:t>GB50016-2006</w:t>
            </w:r>
          </w:p>
        </w:tc>
        <w:tc>
          <w:tcPr>
            <w:tcW w:w="972" w:type="pct"/>
            <w:vMerge w:val="restart"/>
            <w:tcBorders>
              <w:top w:val="single" w:color="000000" w:sz="10"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职业性接触毒物危害程度 GB5044-85</w:t>
            </w:r>
          </w:p>
        </w:tc>
      </w:tr>
      <w:tr>
        <w:tblPrEx>
          <w:tblCellMar>
            <w:top w:w="0" w:type="dxa"/>
            <w:left w:w="0" w:type="dxa"/>
            <w:bottom w:w="0" w:type="dxa"/>
            <w:right w:w="0" w:type="dxa"/>
          </w:tblCellMar>
        </w:tblPrEx>
        <w:trPr>
          <w:trHeight w:val="397" w:hRule="atLeast"/>
        </w:trPr>
        <w:tc>
          <w:tcPr>
            <w:tcW w:w="390" w:type="pct"/>
            <w:vMerge w:val="continue"/>
            <w:tcBorders>
              <w:top w:val="single" w:color="000000" w:sz="10" w:space="0"/>
              <w:left w:val="single" w:color="000000" w:sz="10"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340"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583"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348"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上限</w:t>
            </w:r>
          </w:p>
        </w:tc>
        <w:tc>
          <w:tcPr>
            <w:tcW w:w="401"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下限</w:t>
            </w:r>
          </w:p>
        </w:tc>
        <w:tc>
          <w:tcPr>
            <w:tcW w:w="1051"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916"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972" w:type="pct"/>
            <w:vMerge w:val="continue"/>
            <w:tcBorders>
              <w:top w:val="single" w:color="000000" w:sz="10" w:space="0"/>
              <w:left w:val="single" w:color="000000" w:sz="4" w:space="0"/>
              <w:bottom w:val="single" w:color="auto" w:sz="12" w:space="0"/>
              <w:right w:val="single" w:color="000000" w:sz="10"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90" w:type="pct"/>
            <w:tcBorders>
              <w:top w:val="single" w:color="auto" w:sz="12" w:space="0"/>
              <w:left w:val="single" w:color="000000" w:sz="12" w:space="0"/>
              <w:bottom w:val="single" w:color="000000"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w:t>
            </w:r>
          </w:p>
        </w:tc>
        <w:tc>
          <w:tcPr>
            <w:tcW w:w="340" w:type="pct"/>
            <w:tcBorders>
              <w:top w:val="single" w:color="auto" w:sz="12" w:space="0"/>
              <w:left w:val="single" w:color="000000" w:sz="4" w:space="0"/>
              <w:bottom w:val="single" w:color="000000"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气</w:t>
            </w:r>
          </w:p>
        </w:tc>
        <w:tc>
          <w:tcPr>
            <w:tcW w:w="583" w:type="pct"/>
            <w:tcBorders>
              <w:top w:val="single" w:color="auto" w:sz="12" w:space="0"/>
              <w:left w:val="single" w:color="000000" w:sz="4" w:space="0"/>
              <w:bottom w:val="single" w:color="000000"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＜188°C</w:t>
            </w:r>
          </w:p>
        </w:tc>
        <w:tc>
          <w:tcPr>
            <w:tcW w:w="348" w:type="pct"/>
            <w:tcBorders>
              <w:top w:val="single" w:color="auto" w:sz="12" w:space="0"/>
              <w:left w:val="single" w:color="000000" w:sz="4" w:space="0"/>
              <w:bottom w:val="single" w:color="000000"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w:t>
            </w:r>
          </w:p>
        </w:tc>
        <w:tc>
          <w:tcPr>
            <w:tcW w:w="401" w:type="pct"/>
            <w:tcBorders>
              <w:top w:val="single" w:color="auto" w:sz="12" w:space="0"/>
              <w:left w:val="single" w:color="000000" w:sz="4" w:space="0"/>
              <w:bottom w:val="single" w:color="000000"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1051" w:type="pct"/>
            <w:tcBorders>
              <w:top w:val="single" w:color="auto" w:sz="12" w:space="0"/>
              <w:left w:val="single" w:color="000000" w:sz="4" w:space="0"/>
              <w:bottom w:val="single" w:color="000000"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第</w:t>
            </w:r>
            <w:r>
              <w:rPr>
                <w:color w:val="000000" w:themeColor="text1"/>
                <w:spacing w:val="-53"/>
                <w14:textFill>
                  <w14:solidFill>
                    <w14:schemeClr w14:val="tx1"/>
                  </w14:solidFill>
                </w14:textFill>
              </w:rPr>
              <w:t xml:space="preserve"> </w:t>
            </w:r>
            <w:r>
              <w:rPr>
                <w:color w:val="000000" w:themeColor="text1"/>
                <w14:textFill>
                  <w14:solidFill>
                    <w14:schemeClr w14:val="tx1"/>
                  </w14:solidFill>
                </w14:textFill>
              </w:rPr>
              <w:t>2.1</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类易燃气体</w:t>
            </w:r>
          </w:p>
        </w:tc>
        <w:tc>
          <w:tcPr>
            <w:tcW w:w="916" w:type="pct"/>
            <w:tcBorders>
              <w:top w:val="single" w:color="auto" w:sz="12" w:space="0"/>
              <w:left w:val="single" w:color="000000" w:sz="4" w:space="0"/>
              <w:bottom w:val="single" w:color="000000"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甲</w:t>
            </w:r>
          </w:p>
        </w:tc>
        <w:tc>
          <w:tcPr>
            <w:tcW w:w="972" w:type="pct"/>
            <w:tcBorders>
              <w:top w:val="single" w:color="auto" w:sz="12" w:space="0"/>
              <w:left w:val="single" w:color="000000" w:sz="4" w:space="0"/>
              <w:bottom w:val="single" w:color="000000" w:sz="12" w:space="0"/>
              <w:right w:val="single" w:color="000000" w:sz="12" w:space="0"/>
            </w:tcBorders>
            <w:vAlign w:val="center"/>
          </w:tcPr>
          <w:p>
            <w:pPr>
              <w:pStyle w:val="332"/>
              <w:rPr>
                <w:color w:val="000000" w:themeColor="text1"/>
                <w14:textFill>
                  <w14:solidFill>
                    <w14:schemeClr w14:val="tx1"/>
                  </w14:solidFill>
                </w14:textFill>
              </w:rPr>
            </w:pPr>
            <w:r>
              <w:rPr>
                <w:color w:val="000000" w:themeColor="text1"/>
                <w:spacing w:val="-4"/>
                <w14:textFill>
                  <w14:solidFill>
                    <w14:schemeClr w14:val="tx1"/>
                  </w14:solidFill>
                </w14:textFill>
              </w:rPr>
              <w:t>IV</w:t>
            </w:r>
          </w:p>
        </w:tc>
      </w:tr>
    </w:tbl>
    <w:p>
      <w:pPr>
        <w:pStyle w:val="333"/>
        <w:spacing w:before="12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lang w:bidi="en-US"/>
          <w14:textFill>
            <w14:solidFill>
              <w14:schemeClr w14:val="tx1"/>
            </w14:solidFill>
          </w14:textFill>
        </w:rPr>
        <w:t>5.9</w:t>
      </w:r>
      <w:r>
        <w:rPr>
          <w:rFonts w:cs="Times New Roman"/>
          <w:color w:val="000000" w:themeColor="text1"/>
          <w14:textFill>
            <w14:solidFill>
              <w14:schemeClr w14:val="tx1"/>
            </w14:solidFill>
          </w14:textFill>
        </w:rPr>
        <w:t>-9</w:t>
      </w:r>
      <w:r>
        <w:rPr>
          <w:rFonts w:cs="Times New Roman"/>
          <w:color w:val="000000" w:themeColor="text1"/>
          <w:spacing w:val="57"/>
          <w14:textFill>
            <w14:solidFill>
              <w14:schemeClr w14:val="tx1"/>
            </w14:solidFill>
          </w14:textFill>
        </w:rPr>
        <w:t xml:space="preserve"> </w:t>
      </w:r>
      <w:r>
        <w:rPr>
          <w:rFonts w:cs="Times New Roman"/>
          <w:color w:val="000000" w:themeColor="text1"/>
          <w14:textFill>
            <w14:solidFill>
              <w14:schemeClr w14:val="tx1"/>
            </w14:solidFill>
          </w14:textFill>
        </w:rPr>
        <w:t>高浓度有机废液理化性质</w:t>
      </w:r>
    </w:p>
    <w:tbl>
      <w:tblPr>
        <w:tblStyle w:val="53"/>
        <w:tblW w:w="5000"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0" w:type="dxa"/>
          <w:bottom w:w="0" w:type="dxa"/>
          <w:right w:w="0" w:type="dxa"/>
        </w:tblCellMar>
      </w:tblPr>
      <w:tblGrid>
        <w:gridCol w:w="1724"/>
        <w:gridCol w:w="2843"/>
        <w:gridCol w:w="2381"/>
        <w:gridCol w:w="2153"/>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000" w:type="pct"/>
            <w:gridSpan w:val="4"/>
            <w:tcBorders>
              <w:top w:val="single" w:color="000000"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理化特性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4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外观及性状：</w:t>
            </w:r>
          </w:p>
        </w:tc>
        <w:tc>
          <w:tcPr>
            <w:tcW w:w="1562"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有恶臭味液体</w:t>
            </w:r>
          </w:p>
        </w:tc>
        <w:tc>
          <w:tcPr>
            <w:tcW w:w="1308"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COD浓度</w:t>
            </w:r>
          </w:p>
        </w:tc>
        <w:tc>
          <w:tcPr>
            <w:tcW w:w="1183"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18800mg/L</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000" w:type="pct"/>
            <w:gridSpan w:val="4"/>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危险特性</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397" w:hRule="atLeast"/>
        </w:trPr>
        <w:tc>
          <w:tcPr>
            <w:tcW w:w="94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危险性类别：</w:t>
            </w:r>
          </w:p>
        </w:tc>
        <w:tc>
          <w:tcPr>
            <w:tcW w:w="4053"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有毒有害</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4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侵入途径：</w:t>
            </w:r>
          </w:p>
        </w:tc>
        <w:tc>
          <w:tcPr>
            <w:tcW w:w="4053"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地表渗透、流入</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4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危险特性</w:t>
            </w:r>
          </w:p>
        </w:tc>
        <w:tc>
          <w:tcPr>
            <w:tcW w:w="4053"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污染地表水、地下水</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5.9.4.2生产系统危险性识别</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拟建项目运行中生产装置的风险主要来源于粪污处理系统中的沼气池。拟建项目生产装置危险性分析情况见表5.9-10。</w:t>
      </w:r>
    </w:p>
    <w:p>
      <w:pPr>
        <w:pStyle w:val="333"/>
        <w:spacing w:before="12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lang w:bidi="en-US"/>
          <w14:textFill>
            <w14:solidFill>
              <w14:schemeClr w14:val="tx1"/>
            </w14:solidFill>
          </w14:textFill>
        </w:rPr>
        <w:t>5.9-10</w:t>
      </w:r>
      <w:r>
        <w:rPr>
          <w:rFonts w:cs="Times New Roman"/>
          <w:color w:val="000000" w:themeColor="text1"/>
          <w:spacing w:val="60"/>
          <w14:textFill>
            <w14:solidFill>
              <w14:schemeClr w14:val="tx1"/>
            </w14:solidFill>
          </w14:textFill>
        </w:rPr>
        <w:t xml:space="preserve"> </w:t>
      </w:r>
      <w:r>
        <w:rPr>
          <w:rFonts w:cs="Times New Roman"/>
          <w:color w:val="000000" w:themeColor="text1"/>
          <w14:textFill>
            <w14:solidFill>
              <w14:schemeClr w14:val="tx1"/>
            </w14:solidFill>
          </w14:textFill>
        </w:rPr>
        <w:t>生产装置危险性分析</w:t>
      </w:r>
    </w:p>
    <w:tbl>
      <w:tblPr>
        <w:tblStyle w:val="53"/>
        <w:tblW w:w="5000" w:type="pct"/>
        <w:tblInd w:w="0" w:type="dxa"/>
        <w:tblLayout w:type="autofit"/>
        <w:tblCellMar>
          <w:top w:w="0" w:type="dxa"/>
          <w:left w:w="0" w:type="dxa"/>
          <w:bottom w:w="0" w:type="dxa"/>
          <w:right w:w="0" w:type="dxa"/>
        </w:tblCellMar>
      </w:tblPr>
      <w:tblGrid>
        <w:gridCol w:w="956"/>
        <w:gridCol w:w="1028"/>
        <w:gridCol w:w="997"/>
        <w:gridCol w:w="1649"/>
        <w:gridCol w:w="1099"/>
        <w:gridCol w:w="3372"/>
      </w:tblGrid>
      <w:tr>
        <w:tblPrEx>
          <w:tblCellMar>
            <w:top w:w="0" w:type="dxa"/>
            <w:left w:w="0" w:type="dxa"/>
            <w:bottom w:w="0" w:type="dxa"/>
            <w:right w:w="0" w:type="dxa"/>
          </w:tblCellMar>
        </w:tblPrEx>
        <w:trPr>
          <w:trHeight w:val="397" w:hRule="atLeast"/>
        </w:trPr>
        <w:tc>
          <w:tcPr>
            <w:tcW w:w="525" w:type="pct"/>
            <w:vMerge w:val="restart"/>
            <w:tcBorders>
              <w:top w:val="single" w:color="auto" w:sz="12"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重点部位</w:t>
            </w:r>
          </w:p>
        </w:tc>
        <w:tc>
          <w:tcPr>
            <w:tcW w:w="565" w:type="pct"/>
            <w:vMerge w:val="restar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典型设备及特点</w:t>
            </w:r>
          </w:p>
        </w:tc>
        <w:tc>
          <w:tcPr>
            <w:tcW w:w="548" w:type="pct"/>
            <w:vMerge w:val="restar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薄弱环节</w:t>
            </w:r>
          </w:p>
        </w:tc>
        <w:tc>
          <w:tcPr>
            <w:tcW w:w="3362" w:type="pct"/>
            <w:gridSpan w:val="3"/>
            <w:tcBorders>
              <w:top w:val="single" w:color="auto" w:sz="12"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可能发生的事故</w:t>
            </w:r>
          </w:p>
        </w:tc>
      </w:tr>
      <w:tr>
        <w:tblPrEx>
          <w:tblCellMar>
            <w:top w:w="0" w:type="dxa"/>
            <w:left w:w="0" w:type="dxa"/>
            <w:bottom w:w="0" w:type="dxa"/>
            <w:right w:w="0" w:type="dxa"/>
          </w:tblCellMar>
        </w:tblPrEx>
        <w:trPr>
          <w:trHeight w:val="397" w:hRule="atLeast"/>
        </w:trPr>
        <w:tc>
          <w:tcPr>
            <w:tcW w:w="525" w:type="pct"/>
            <w:vMerge w:val="continue"/>
            <w:tcBorders>
              <w:top w:val="single" w:color="000000" w:sz="10"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565"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548"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906"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原因</w:t>
            </w:r>
          </w:p>
        </w:tc>
        <w:tc>
          <w:tcPr>
            <w:tcW w:w="604"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类型</w:t>
            </w:r>
          </w:p>
        </w:tc>
        <w:tc>
          <w:tcPr>
            <w:tcW w:w="1852" w:type="pct"/>
            <w:tcBorders>
              <w:top w:val="single" w:color="000000" w:sz="4"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后果</w:t>
            </w:r>
          </w:p>
        </w:tc>
      </w:tr>
      <w:tr>
        <w:tblPrEx>
          <w:tblCellMar>
            <w:top w:w="0" w:type="dxa"/>
            <w:left w:w="0" w:type="dxa"/>
            <w:bottom w:w="0" w:type="dxa"/>
            <w:right w:w="0" w:type="dxa"/>
          </w:tblCellMar>
        </w:tblPrEx>
        <w:trPr>
          <w:trHeight w:val="397" w:hRule="atLeast"/>
        </w:trPr>
        <w:tc>
          <w:tcPr>
            <w:tcW w:w="525" w:type="pct"/>
            <w:tcBorders>
              <w:top w:val="single" w:color="auto" w:sz="12"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粪污处</w:t>
            </w:r>
          </w:p>
          <w:p>
            <w:pPr>
              <w:pStyle w:val="332"/>
              <w:rPr>
                <w:color w:val="000000" w:themeColor="text1"/>
                <w14:textFill>
                  <w14:solidFill>
                    <w14:schemeClr w14:val="tx1"/>
                  </w14:solidFill>
                </w14:textFill>
              </w:rPr>
            </w:pPr>
            <w:r>
              <w:rPr>
                <w:color w:val="000000" w:themeColor="text1"/>
                <w14:textFill>
                  <w14:solidFill>
                    <w14:schemeClr w14:val="tx1"/>
                  </w14:solidFill>
                </w14:textFill>
              </w:rPr>
              <w:t>理区</w:t>
            </w:r>
          </w:p>
        </w:tc>
        <w:tc>
          <w:tcPr>
            <w:tcW w:w="565"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黑膜</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沼气池</w:t>
            </w:r>
          </w:p>
        </w:tc>
        <w:tc>
          <w:tcPr>
            <w:tcW w:w="548"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管线</w:t>
            </w:r>
          </w:p>
        </w:tc>
        <w:tc>
          <w:tcPr>
            <w:tcW w:w="906"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维护保养不当</w:t>
            </w:r>
          </w:p>
        </w:tc>
        <w:tc>
          <w:tcPr>
            <w:tcW w:w="604" w:type="pct"/>
            <w:tcBorders>
              <w:top w:val="single" w:color="auto" w:sz="12"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管线损坏</w:t>
            </w:r>
          </w:p>
        </w:tc>
        <w:tc>
          <w:tcPr>
            <w:tcW w:w="1852" w:type="pct"/>
            <w:tcBorders>
              <w:top w:val="single" w:color="auto" w:sz="12"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spacing w:val="-4"/>
                <w14:textFill>
                  <w14:solidFill>
                    <w14:schemeClr w14:val="tx1"/>
                  </w14:solidFill>
                </w14:textFill>
              </w:rPr>
              <w:t>沼气泄漏，遇火源发生火灾、爆炸</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5.9.4.3储存设施危险性识别</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本项目不单独设置沼气贮存装置，沼气贮存于黑膜沼气池内，随产随用。和沼气有关的具有风险的生产设施主要为黑膜沼气池。</w:t>
      </w:r>
    </w:p>
    <w:p>
      <w:pPr>
        <w:pStyle w:val="333"/>
        <w:spacing w:before="12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lang w:bidi="en-US"/>
          <w14:textFill>
            <w14:solidFill>
              <w14:schemeClr w14:val="tx1"/>
            </w14:solidFill>
          </w14:textFill>
        </w:rPr>
        <w:t>5.9-11</w:t>
      </w:r>
      <w:r>
        <w:rPr>
          <w:rFonts w:cs="Times New Roman"/>
          <w:color w:val="000000" w:themeColor="text1"/>
          <w:spacing w:val="60"/>
          <w14:textFill>
            <w14:solidFill>
              <w14:schemeClr w14:val="tx1"/>
            </w14:solidFill>
          </w14:textFill>
        </w:rPr>
        <w:t xml:space="preserve"> </w:t>
      </w:r>
      <w:r>
        <w:rPr>
          <w:rFonts w:cs="Times New Roman"/>
          <w:color w:val="000000" w:themeColor="text1"/>
          <w14:textFill>
            <w14:solidFill>
              <w14:schemeClr w14:val="tx1"/>
            </w14:solidFill>
          </w14:textFill>
        </w:rPr>
        <w:t>沼气和沼液在贮运过程危险性分析</w:t>
      </w:r>
    </w:p>
    <w:tbl>
      <w:tblPr>
        <w:tblStyle w:val="53"/>
        <w:tblW w:w="5000" w:type="pct"/>
        <w:tblInd w:w="0" w:type="dxa"/>
        <w:tblLayout w:type="autofit"/>
        <w:tblCellMar>
          <w:top w:w="0" w:type="dxa"/>
          <w:left w:w="0" w:type="dxa"/>
          <w:bottom w:w="0" w:type="dxa"/>
          <w:right w:w="0" w:type="dxa"/>
        </w:tblCellMar>
      </w:tblPr>
      <w:tblGrid>
        <w:gridCol w:w="984"/>
        <w:gridCol w:w="997"/>
        <w:gridCol w:w="999"/>
        <w:gridCol w:w="1568"/>
        <w:gridCol w:w="999"/>
        <w:gridCol w:w="3550"/>
      </w:tblGrid>
      <w:tr>
        <w:tblPrEx>
          <w:tblCellMar>
            <w:top w:w="0" w:type="dxa"/>
            <w:left w:w="0" w:type="dxa"/>
            <w:bottom w:w="0" w:type="dxa"/>
            <w:right w:w="0" w:type="dxa"/>
          </w:tblCellMar>
        </w:tblPrEx>
        <w:trPr>
          <w:trHeight w:val="397" w:hRule="atLeast"/>
        </w:trPr>
        <w:tc>
          <w:tcPr>
            <w:tcW w:w="541" w:type="pct"/>
            <w:vMerge w:val="restart"/>
            <w:tcBorders>
              <w:top w:val="single" w:color="000000" w:sz="10"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重点部位</w:t>
            </w:r>
          </w:p>
        </w:tc>
        <w:tc>
          <w:tcPr>
            <w:tcW w:w="548" w:type="pct"/>
            <w:vMerge w:val="restart"/>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典型设备及特点</w:t>
            </w:r>
          </w:p>
        </w:tc>
        <w:tc>
          <w:tcPr>
            <w:tcW w:w="549" w:type="pct"/>
            <w:vMerge w:val="restart"/>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薄弱环节</w:t>
            </w:r>
          </w:p>
        </w:tc>
        <w:tc>
          <w:tcPr>
            <w:tcW w:w="3362" w:type="pct"/>
            <w:gridSpan w:val="3"/>
            <w:tcBorders>
              <w:top w:val="single" w:color="000000" w:sz="10"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可能发生的事故</w:t>
            </w:r>
          </w:p>
        </w:tc>
      </w:tr>
      <w:tr>
        <w:tblPrEx>
          <w:tblCellMar>
            <w:top w:w="0" w:type="dxa"/>
            <w:left w:w="0" w:type="dxa"/>
            <w:bottom w:w="0" w:type="dxa"/>
            <w:right w:w="0" w:type="dxa"/>
          </w:tblCellMar>
        </w:tblPrEx>
        <w:trPr>
          <w:trHeight w:val="397" w:hRule="atLeast"/>
        </w:trPr>
        <w:tc>
          <w:tcPr>
            <w:tcW w:w="541" w:type="pct"/>
            <w:vMerge w:val="continue"/>
            <w:tcBorders>
              <w:top w:val="single" w:color="000000" w:sz="10"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548" w:type="pct"/>
            <w:vMerge w:val="continue"/>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549" w:type="pct"/>
            <w:vMerge w:val="continue"/>
            <w:tcBorders>
              <w:top w:val="single" w:color="000000" w:sz="10"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p>
        </w:tc>
        <w:tc>
          <w:tcPr>
            <w:tcW w:w="86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原因</w:t>
            </w:r>
          </w:p>
        </w:tc>
        <w:tc>
          <w:tcPr>
            <w:tcW w:w="549"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类型</w:t>
            </w:r>
          </w:p>
        </w:tc>
        <w:tc>
          <w:tcPr>
            <w:tcW w:w="1951" w:type="pct"/>
            <w:tcBorders>
              <w:top w:val="single" w:color="000000" w:sz="4" w:space="0"/>
              <w:left w:val="single" w:color="000000" w:sz="4" w:space="0"/>
              <w:bottom w:val="single" w:color="000000" w:sz="4"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后果</w:t>
            </w:r>
          </w:p>
        </w:tc>
      </w:tr>
      <w:tr>
        <w:tblPrEx>
          <w:tblCellMar>
            <w:top w:w="0" w:type="dxa"/>
            <w:left w:w="0" w:type="dxa"/>
            <w:bottom w:w="0" w:type="dxa"/>
            <w:right w:w="0" w:type="dxa"/>
          </w:tblCellMar>
        </w:tblPrEx>
        <w:trPr>
          <w:trHeight w:val="397" w:hRule="atLeast"/>
        </w:trPr>
        <w:tc>
          <w:tcPr>
            <w:tcW w:w="541" w:type="pct"/>
            <w:tcBorders>
              <w:top w:val="single" w:color="000000" w:sz="4" w:space="0"/>
              <w:left w:val="single" w:color="000000" w:sz="10"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粪污处</w:t>
            </w:r>
          </w:p>
          <w:p>
            <w:pPr>
              <w:pStyle w:val="332"/>
              <w:rPr>
                <w:color w:val="000000" w:themeColor="text1"/>
                <w14:textFill>
                  <w14:solidFill>
                    <w14:schemeClr w14:val="tx1"/>
                  </w14:solidFill>
                </w14:textFill>
              </w:rPr>
            </w:pPr>
            <w:r>
              <w:rPr>
                <w:color w:val="000000" w:themeColor="text1"/>
                <w14:textFill>
                  <w14:solidFill>
                    <w14:schemeClr w14:val="tx1"/>
                  </w14:solidFill>
                </w14:textFill>
              </w:rPr>
              <w:t>理区</w:t>
            </w:r>
          </w:p>
        </w:tc>
        <w:tc>
          <w:tcPr>
            <w:tcW w:w="548"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黑膜沼</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气池</w:t>
            </w:r>
          </w:p>
        </w:tc>
        <w:tc>
          <w:tcPr>
            <w:tcW w:w="549"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管线</w:t>
            </w:r>
          </w:p>
        </w:tc>
        <w:tc>
          <w:tcPr>
            <w:tcW w:w="862"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维护保养不当； </w:t>
            </w:r>
          </w:p>
        </w:tc>
        <w:tc>
          <w:tcPr>
            <w:tcW w:w="549"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管线损坏</w:t>
            </w:r>
          </w:p>
        </w:tc>
        <w:tc>
          <w:tcPr>
            <w:tcW w:w="1951" w:type="pct"/>
            <w:tcBorders>
              <w:top w:val="single" w:color="000000" w:sz="4" w:space="0"/>
              <w:left w:val="single" w:color="000000" w:sz="4" w:space="0"/>
              <w:bottom w:val="single" w:color="000000" w:sz="10" w:space="0"/>
              <w:right w:val="single" w:color="000000" w:sz="10"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沼气泄漏，遇火源发生火灾、爆炸</w:t>
            </w:r>
          </w:p>
        </w:tc>
      </w:tr>
    </w:tbl>
    <w:p>
      <w:pPr>
        <w:pStyle w:val="5"/>
        <w:rPr>
          <w:color w:val="000000" w:themeColor="text1"/>
          <w14:textFill>
            <w14:solidFill>
              <w14:schemeClr w14:val="tx1"/>
            </w14:solidFill>
          </w14:textFill>
        </w:rPr>
      </w:pPr>
      <w:r>
        <w:rPr>
          <w:color w:val="000000" w:themeColor="text1"/>
          <w14:textFill>
            <w14:solidFill>
              <w14:schemeClr w14:val="tx1"/>
            </w14:solidFill>
          </w14:textFill>
        </w:rPr>
        <w:t>5.9.4.4环保设施危险危害因素分析</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1、废气处理装置</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本项目各废气处理装置存在处理失效的风险，废气污染物无法得到有效的去除，将会对周围环境造成较大的影响。</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2、废水处理装置</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若厂内收集池渗漏，污水不经处理而直接排放，会对纳污水域产生一定的污染影响。项目废水经黑膜沼气池处理后，沼液还田利用，不直接排入外环境。</w:t>
      </w:r>
    </w:p>
    <w:p>
      <w:pPr>
        <w:pStyle w:val="5"/>
        <w:rPr>
          <w:color w:val="000000" w:themeColor="text1"/>
          <w14:textFill>
            <w14:solidFill>
              <w14:schemeClr w14:val="tx1"/>
            </w14:solidFill>
          </w14:textFill>
        </w:rPr>
      </w:pPr>
      <w:r>
        <w:rPr>
          <w:color w:val="000000" w:themeColor="text1"/>
          <w14:textFill>
            <w14:solidFill>
              <w14:schemeClr w14:val="tx1"/>
            </w14:solidFill>
          </w14:textFill>
        </w:rPr>
        <w:t>5.9.4.5危险物质向环境转移的途径识别</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项目可能发生的风险事故包括火灾、爆炸及有毒有害物质的泄漏。火灾、爆炸过程中，释放大量能量，同时燃烧产生的CO等污染物，以及燃烧物料本身，均会以废气的形式进入大气。泄漏、火灾、爆炸等产生的挥发气体影响环境质量，对职工及附近居民的身体健康造成损害。废水泄漏对周围地下水、地表水产生影响。</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发生事故时，事故控制过程产生的消防污水如没有得到有效控制，可能会进入雨水系统，造成附近的水体污染。同时火灾后破坏地表覆盖物，会有部分液体物料、受污染消防水进入土壤，进而污染地下水。</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项目危险单元划分及其环境风险识别见下表。</w:t>
      </w:r>
    </w:p>
    <w:p>
      <w:pPr>
        <w:pStyle w:val="333"/>
        <w:spacing w:before="12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 </w:t>
      </w:r>
      <w:r>
        <w:rPr>
          <w:rFonts w:cs="Times New Roman"/>
          <w:color w:val="000000" w:themeColor="text1"/>
          <w:lang w:bidi="en-US"/>
          <w14:textFill>
            <w14:solidFill>
              <w14:schemeClr w14:val="tx1"/>
            </w14:solidFill>
          </w14:textFill>
        </w:rPr>
        <w:t>5.9-12</w:t>
      </w:r>
      <w:r>
        <w:rPr>
          <w:rFonts w:cs="Times New Roman"/>
          <w:color w:val="000000" w:themeColor="text1"/>
          <w:spacing w:val="1"/>
          <w14:textFill>
            <w14:solidFill>
              <w14:schemeClr w14:val="tx1"/>
            </w14:solidFill>
          </w14:textFill>
        </w:rPr>
        <w:t xml:space="preserve"> </w:t>
      </w:r>
      <w:r>
        <w:rPr>
          <w:rFonts w:cs="Times New Roman"/>
          <w:color w:val="000000" w:themeColor="text1"/>
          <w14:textFill>
            <w14:solidFill>
              <w14:schemeClr w14:val="tx1"/>
            </w14:solidFill>
          </w14:textFill>
        </w:rPr>
        <w:t>建设项目环境风险识别表</w:t>
      </w:r>
    </w:p>
    <w:tbl>
      <w:tblPr>
        <w:tblStyle w:val="53"/>
        <w:tblW w:w="5000" w:type="pct"/>
        <w:tblInd w:w="0" w:type="dxa"/>
        <w:tblLayout w:type="autofit"/>
        <w:tblCellMar>
          <w:top w:w="0" w:type="dxa"/>
          <w:left w:w="0" w:type="dxa"/>
          <w:bottom w:w="0" w:type="dxa"/>
          <w:right w:w="0" w:type="dxa"/>
        </w:tblCellMar>
      </w:tblPr>
      <w:tblGrid>
        <w:gridCol w:w="415"/>
        <w:gridCol w:w="854"/>
        <w:gridCol w:w="859"/>
        <w:gridCol w:w="998"/>
        <w:gridCol w:w="998"/>
        <w:gridCol w:w="2139"/>
        <w:gridCol w:w="2838"/>
      </w:tblGrid>
      <w:tr>
        <w:tblPrEx>
          <w:tblCellMar>
            <w:top w:w="0" w:type="dxa"/>
            <w:left w:w="0" w:type="dxa"/>
            <w:bottom w:w="0" w:type="dxa"/>
            <w:right w:w="0" w:type="dxa"/>
          </w:tblCellMar>
        </w:tblPrEx>
        <w:trPr>
          <w:trHeight w:val="397" w:hRule="atLeast"/>
        </w:trPr>
        <w:tc>
          <w:tcPr>
            <w:tcW w:w="228" w:type="pct"/>
            <w:tcBorders>
              <w:top w:val="single" w:color="auto" w:sz="12" w:space="0"/>
              <w:left w:val="single" w:color="auto"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469"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单元</w:t>
            </w:r>
          </w:p>
        </w:tc>
        <w:tc>
          <w:tcPr>
            <w:tcW w:w="472"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风险源</w:t>
            </w:r>
          </w:p>
        </w:tc>
        <w:tc>
          <w:tcPr>
            <w:tcW w:w="548"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主要危险物质</w:t>
            </w:r>
          </w:p>
        </w:tc>
        <w:tc>
          <w:tcPr>
            <w:tcW w:w="548"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环境风险类别</w:t>
            </w:r>
          </w:p>
        </w:tc>
        <w:tc>
          <w:tcPr>
            <w:tcW w:w="1175"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环境影响途径</w:t>
            </w:r>
          </w:p>
        </w:tc>
        <w:tc>
          <w:tcPr>
            <w:tcW w:w="1559" w:type="pct"/>
            <w:tcBorders>
              <w:top w:val="single" w:color="auto" w:sz="12" w:space="0"/>
              <w:left w:val="single" w:color="000000" w:sz="6"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可能受影响的环境 敏感目标</w:t>
            </w:r>
          </w:p>
        </w:tc>
      </w:tr>
      <w:tr>
        <w:tblPrEx>
          <w:tblCellMar>
            <w:top w:w="0" w:type="dxa"/>
            <w:left w:w="0" w:type="dxa"/>
            <w:bottom w:w="0" w:type="dxa"/>
            <w:right w:w="0" w:type="dxa"/>
          </w:tblCellMar>
        </w:tblPrEx>
        <w:trPr>
          <w:trHeight w:val="397" w:hRule="atLeast"/>
        </w:trPr>
        <w:tc>
          <w:tcPr>
            <w:tcW w:w="228" w:type="pct"/>
            <w:tcBorders>
              <w:top w:val="single" w:color="auto" w:sz="12"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469" w:type="pct"/>
            <w:vMerge w:val="restart"/>
            <w:tcBorders>
              <w:top w:val="single" w:color="auto" w:sz="12"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粪污处理区</w:t>
            </w:r>
          </w:p>
        </w:tc>
        <w:tc>
          <w:tcPr>
            <w:tcW w:w="472" w:type="pct"/>
            <w:vMerge w:val="restart"/>
            <w:tcBorders>
              <w:top w:val="single" w:color="auto" w:sz="12"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黑膜沼气 池</w:t>
            </w:r>
          </w:p>
        </w:tc>
        <w:tc>
          <w:tcPr>
            <w:tcW w:w="548"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w:t>
            </w:r>
          </w:p>
        </w:tc>
        <w:tc>
          <w:tcPr>
            <w:tcW w:w="548"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物质泄漏</w:t>
            </w:r>
          </w:p>
        </w:tc>
        <w:tc>
          <w:tcPr>
            <w:tcW w:w="1175"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spacing w:val="-5"/>
                <w14:textFill>
                  <w14:solidFill>
                    <w14:schemeClr w14:val="tx1"/>
                  </w14:solidFill>
                </w14:textFill>
              </w:rPr>
              <w:t>大气、地表水、</w:t>
            </w:r>
            <w:r>
              <w:rPr>
                <w:color w:val="000000" w:themeColor="text1"/>
                <w:spacing w:val="-97"/>
                <w14:textFill>
                  <w14:solidFill>
                    <w14:schemeClr w14:val="tx1"/>
                  </w14:solidFill>
                </w14:textFill>
              </w:rPr>
              <w:t xml:space="preserve"> </w:t>
            </w:r>
            <w:r>
              <w:rPr>
                <w:color w:val="000000" w:themeColor="text1"/>
                <w14:textFill>
                  <w14:solidFill>
                    <w14:schemeClr w14:val="tx1"/>
                  </w14:solidFill>
                </w14:textFill>
              </w:rPr>
              <w:t>地下水</w:t>
            </w:r>
          </w:p>
        </w:tc>
        <w:tc>
          <w:tcPr>
            <w:tcW w:w="1559" w:type="pct"/>
            <w:tcBorders>
              <w:top w:val="single" w:color="auto" w:sz="12"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周围居民及企事业 位、周围河流、地下水</w:t>
            </w:r>
          </w:p>
        </w:tc>
      </w:tr>
      <w:tr>
        <w:tblPrEx>
          <w:tblCellMar>
            <w:top w:w="0" w:type="dxa"/>
            <w:left w:w="0" w:type="dxa"/>
            <w:bottom w:w="0" w:type="dxa"/>
            <w:right w:w="0" w:type="dxa"/>
          </w:tblCellMar>
        </w:tblPrEx>
        <w:trPr>
          <w:trHeight w:val="397" w:hRule="atLeast"/>
        </w:trPr>
        <w:tc>
          <w:tcPr>
            <w:tcW w:w="228" w:type="pct"/>
            <w:tcBorders>
              <w:top w:val="single" w:color="000000" w:sz="4"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469" w:type="pct"/>
            <w:vMerge w:val="continue"/>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472" w:type="pct"/>
            <w:vMerge w:val="continue"/>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548"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养殖废</w:t>
            </w:r>
            <w:r>
              <w:rPr>
                <w:color w:val="000000" w:themeColor="text1"/>
                <w:spacing w:val="-102"/>
                <w14:textFill>
                  <w14:solidFill>
                    <w14:schemeClr w14:val="tx1"/>
                  </w14:solidFill>
                </w14:textFill>
              </w:rPr>
              <w:t xml:space="preserve"> </w:t>
            </w:r>
            <w:r>
              <w:rPr>
                <w:color w:val="000000" w:themeColor="text1"/>
                <w14:textFill>
                  <w14:solidFill>
                    <w14:schemeClr w14:val="tx1"/>
                  </w14:solidFill>
                </w14:textFill>
              </w:rPr>
              <w:t>水</w:t>
            </w:r>
          </w:p>
        </w:tc>
        <w:tc>
          <w:tcPr>
            <w:tcW w:w="548"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物质泄漏</w:t>
            </w:r>
          </w:p>
        </w:tc>
        <w:tc>
          <w:tcPr>
            <w:tcW w:w="1175"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地表水、地下水</w:t>
            </w:r>
          </w:p>
        </w:tc>
        <w:tc>
          <w:tcPr>
            <w:tcW w:w="1559" w:type="pct"/>
            <w:tcBorders>
              <w:top w:val="single" w:color="000000" w:sz="4"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周围居民及企事业单位、周围河流、 地下水</w:t>
            </w:r>
          </w:p>
        </w:tc>
      </w:tr>
    </w:tbl>
    <w:p>
      <w:pPr>
        <w:pStyle w:val="4"/>
        <w:rPr>
          <w:rFonts w:cs="Times New Roman"/>
          <w:color w:val="000000" w:themeColor="text1"/>
          <w:lang w:bidi="en-US"/>
          <w14:textFill>
            <w14:solidFill>
              <w14:schemeClr w14:val="tx1"/>
            </w14:solidFill>
          </w14:textFill>
        </w:rPr>
      </w:pPr>
      <w:bookmarkStart w:id="610" w:name="_Toc91163958"/>
      <w:r>
        <w:rPr>
          <w:rFonts w:cs="Times New Roman"/>
          <w:color w:val="000000" w:themeColor="text1"/>
          <w:lang w:bidi="en-US"/>
          <w14:textFill>
            <w14:solidFill>
              <w14:schemeClr w14:val="tx1"/>
            </w14:solidFill>
          </w14:textFill>
        </w:rPr>
        <w:t>5.9.5 风险事故情形设定</w:t>
      </w:r>
      <w:bookmarkEnd w:id="610"/>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根据分析，拟建工程风险源主要存在以下几种事故的可能性。</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1、沼气贮气系统泄漏</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黑膜沼气池破损、阀门破损或操作失误等都会引起沼气泄漏。少量泄漏污染周围环境空气，大量泄漏如遇到明火就会引发燃烧或者爆炸。</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2、沼气输送管线泄漏</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如沼气输送管线破损会产生沼气泄漏，因为输送管线内沼气存在量较小，故造成火灾及爆炸的可能性较小，主要影响为污染周围环境空气。</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3、收集池泄漏</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拟建项目收集池存在的风险主要为池壁破损，大量高浓度有机废液排出，进入土壤地下水，引起地下水污染。或者池底防渗层破损，液体泄漏污染地下水。雨天水量增加造成污水溢出，进而污染地表水体及地下水体。</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综上各种危险、有害因素的分析，拟建项目最重点的风险源为沼气池及废水收集池。主要的危险类型为污染环境空气，火灾爆炸，污染地表水体及地下水。</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根据以上几种风险事故的分析，拟建项目环境风险类型及危害主要存在以下几个方面:</w:t>
      </w:r>
      <w:r>
        <w:rPr>
          <w:rFonts w:hint="eastAsia" w:ascii="宋体" w:hAnsi="宋体" w:cs="宋体"/>
          <w:color w:val="000000" w:themeColor="text1"/>
          <w:lang w:bidi="en-US"/>
          <w14:textFill>
            <w14:solidFill>
              <w14:schemeClr w14:val="tx1"/>
            </w14:solidFill>
          </w14:textFill>
        </w:rPr>
        <w:t>①</w:t>
      </w:r>
      <w:r>
        <w:rPr>
          <w:rFonts w:cs="Times New Roman"/>
          <w:color w:val="000000" w:themeColor="text1"/>
          <w:lang w:bidi="en-US"/>
          <w14:textFill>
            <w14:solidFill>
              <w14:schemeClr w14:val="tx1"/>
            </w14:solidFill>
          </w14:textFill>
        </w:rPr>
        <w:t>沼气泄漏会引发局部地区空气中甲烷浓度过高，大量吸入甲烷后引发中毒。</w:t>
      </w:r>
      <w:r>
        <w:rPr>
          <w:rFonts w:hint="eastAsia" w:ascii="宋体" w:hAnsi="宋体" w:cs="宋体"/>
          <w:color w:val="000000" w:themeColor="text1"/>
          <w:lang w:bidi="en-US"/>
          <w14:textFill>
            <w14:solidFill>
              <w14:schemeClr w14:val="tx1"/>
            </w14:solidFill>
          </w14:textFill>
        </w:rPr>
        <w:t>②</w:t>
      </w:r>
      <w:r>
        <w:rPr>
          <w:rFonts w:cs="Times New Roman"/>
          <w:color w:val="000000" w:themeColor="text1"/>
          <w:lang w:bidi="en-US"/>
          <w14:textFill>
            <w14:solidFill>
              <w14:schemeClr w14:val="tx1"/>
            </w14:solidFill>
          </w14:textFill>
        </w:rPr>
        <w:t>沼气燃烧及爆炸，产生大量CO，大量吸入后引发中毒。</w:t>
      </w:r>
      <w:r>
        <w:rPr>
          <w:rFonts w:hint="eastAsia" w:ascii="宋体" w:hAnsi="宋体" w:cs="宋体"/>
          <w:color w:val="000000" w:themeColor="text1"/>
          <w:lang w:bidi="en-US"/>
          <w14:textFill>
            <w14:solidFill>
              <w14:schemeClr w14:val="tx1"/>
            </w14:solidFill>
          </w14:textFill>
        </w:rPr>
        <w:t>③</w:t>
      </w:r>
      <w:r>
        <w:rPr>
          <w:rFonts w:cs="Times New Roman"/>
          <w:color w:val="000000" w:themeColor="text1"/>
          <w:lang w:bidi="en-US"/>
          <w14:textFill>
            <w14:solidFill>
              <w14:schemeClr w14:val="tx1"/>
            </w14:solidFill>
          </w14:textFill>
        </w:rPr>
        <w:t>高浓度有机废水泄漏，污染地表水及地下水。</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项目沼气池产生的沼气及时燃烧利用，沼气池内累计的沼气量很少，且项目厂区所在区域较为空旷，扩散条件较好，即使发生泄漏事故，也不会达到爆炸条件，因此基本上不会发生沼气池爆炸事故。</w:t>
      </w:r>
    </w:p>
    <w:p>
      <w:pPr>
        <w:pStyle w:val="4"/>
        <w:rPr>
          <w:rFonts w:cs="Times New Roman"/>
          <w:color w:val="000000" w:themeColor="text1"/>
          <w14:textFill>
            <w14:solidFill>
              <w14:schemeClr w14:val="tx1"/>
            </w14:solidFill>
          </w14:textFill>
        </w:rPr>
      </w:pPr>
      <w:bookmarkStart w:id="611" w:name="_Toc91163959"/>
      <w:r>
        <w:rPr>
          <w:rFonts w:cs="Times New Roman"/>
          <w:color w:val="000000" w:themeColor="text1"/>
          <w14:textFill>
            <w14:solidFill>
              <w14:schemeClr w14:val="tx1"/>
            </w14:solidFill>
          </w14:textFill>
        </w:rPr>
        <w:t>5.9.6 环境风险分析</w:t>
      </w:r>
      <w:bookmarkEnd w:id="611"/>
    </w:p>
    <w:p>
      <w:pPr>
        <w:pStyle w:val="5"/>
        <w:rPr>
          <w:color w:val="000000" w:themeColor="text1"/>
          <w14:textFill>
            <w14:solidFill>
              <w14:schemeClr w14:val="tx1"/>
            </w14:solidFill>
          </w14:textFill>
        </w:rPr>
      </w:pPr>
      <w:r>
        <w:rPr>
          <w:color w:val="000000" w:themeColor="text1"/>
          <w14:textFill>
            <w14:solidFill>
              <w14:schemeClr w14:val="tx1"/>
            </w14:solidFill>
          </w14:textFill>
        </w:rPr>
        <w:t>5.9.6.1大气环境风险分析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可能会因管道、阀门破损致使沼气泄漏，使气体从破损处向外泄露，沼气的主要成分为甲烷，甲烷气体本身无色无毒，具有易燃的特点，在发生泄漏后较难以发现，当空气中甲烷体积达25%~30%时会引起人体不适，长时间在该环境下最终可导致窒息死亡。如果短时间内气体迅速聚集，在遇到明火或摩擦、静电的状态下还会发生火灾和爆炸事故，伴生的烟雾和N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也会对周边环境和人群健康形成一定影响，但在经过一个较短的周期后，可恢复到原有水平，对大气环境影响较小。</w:t>
      </w:r>
    </w:p>
    <w:p>
      <w:pPr>
        <w:pStyle w:val="5"/>
        <w:rPr>
          <w:color w:val="000000" w:themeColor="text1"/>
          <w14:textFill>
            <w14:solidFill>
              <w14:schemeClr w14:val="tx1"/>
            </w14:solidFill>
          </w14:textFill>
        </w:rPr>
      </w:pPr>
      <w:r>
        <w:rPr>
          <w:color w:val="000000" w:themeColor="text1"/>
          <w14:textFill>
            <w14:solidFill>
              <w14:schemeClr w14:val="tx1"/>
            </w14:solidFill>
          </w14:textFill>
        </w:rPr>
        <w:t>5.9.6.2地表水环境风险分析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项目食堂含油废水经隔油池处理后与生活污水、养殖区废水经废水收集系统收集后，水进入黑膜沼气池，经厌氧发酵后，沼液储存于沼液塘中，回用于场区周围农田施肥，全部综合利用。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运营过程中产生的粪尿依靠重力通过漏粪板离开猪舍进入猪舍下部的储存池。粪尿先进行固液分离。固液分离出来的粪渣等直接进固粪处理区进行条垛式好氧堆肥，剩余猪粪随废水进入黑膜沼气池；利用黑膜沼气池超大的容积，在厌氧条件下，微生物与污水有足够的接触时间进行反应（45 d)，从而最大程度上降解污水中的有机物。沼液经排液口排入沼液储存池，在施肥季节根据农作物需求液态施肥，非施肥季节储存在沼液储存池，在施肥季节通过铺设的管网通过泵输送至沼液消纳地。厌氧发酵过程产生的沼气通过沼气脱水器、脱硫器用于沼气发电机发电，沼渣从沼气池底部排出，通过管道直接泵送固粪处理区进行条垛式好氧堆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发生事故时，废水全部切换至事故应急池。待废水处理设施抢修完毕后，再将应急池内废水逐步纳入污水处理设施。且事故池最少应能贮存2天废水量。不会进入周边地表水体，对地表水环境影响较小。</w:t>
      </w:r>
    </w:p>
    <w:p>
      <w:pPr>
        <w:pStyle w:val="5"/>
        <w:rPr>
          <w:color w:val="000000" w:themeColor="text1"/>
          <w14:textFill>
            <w14:solidFill>
              <w14:schemeClr w14:val="tx1"/>
            </w14:solidFill>
          </w14:textFill>
        </w:rPr>
      </w:pPr>
      <w:r>
        <w:rPr>
          <w:color w:val="000000" w:themeColor="text1"/>
          <w14:textFill>
            <w14:solidFill>
              <w14:schemeClr w14:val="tx1"/>
            </w14:solidFill>
          </w14:textFill>
        </w:rPr>
        <w:t>5.9.6.3地下水环境风险分析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事故状态下，沼液池储存的沼液可能会滤入地下水，造成地下水污染。项目沼液储存池池壁在清场夯压的基础上铺设HDPE膜，为了应对钢筋水泥混凝土的热胀冷缩，池底部设置排气沟，最底部排气沟中放置排水管，并设置导流渠，以防止污染地下水，同时各废水输送管道应做到防泄漏、跑冒等。拟建项目沼液储存池采用HDPE膜，渗透系数为1.0×10</w:t>
      </w:r>
      <w:r>
        <w:rPr>
          <w:rFonts w:cs="Times New Roman"/>
          <w:color w:val="000000" w:themeColor="text1"/>
          <w:vertAlign w:val="superscript"/>
          <w14:textFill>
            <w14:solidFill>
              <w14:schemeClr w14:val="tx1"/>
            </w14:solidFill>
          </w14:textFill>
        </w:rPr>
        <w:t>-1</w:t>
      </w:r>
      <w:r>
        <w:rPr>
          <w:rFonts w:cs="Times New Roman"/>
          <w:color w:val="000000" w:themeColor="text1"/>
          <w14:textFill>
            <w14:solidFill>
              <w14:schemeClr w14:val="tx1"/>
            </w14:solidFill>
          </w14:textFill>
        </w:rPr>
        <w:t>cm/s.</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经过上述处理后，沼液下法污染地下水和土壤的风险大大降低。</w:t>
      </w:r>
    </w:p>
    <w:p>
      <w:pPr>
        <w:pStyle w:val="4"/>
        <w:rPr>
          <w:rFonts w:cs="Times New Roman"/>
          <w:color w:val="000000" w:themeColor="text1"/>
          <w14:textFill>
            <w14:solidFill>
              <w14:schemeClr w14:val="tx1"/>
            </w14:solidFill>
          </w14:textFill>
        </w:rPr>
      </w:pPr>
      <w:bookmarkStart w:id="612" w:name="_Toc91163960"/>
      <w:r>
        <w:rPr>
          <w:rFonts w:cs="Times New Roman"/>
          <w:color w:val="000000" w:themeColor="text1"/>
          <w14:textFill>
            <w14:solidFill>
              <w14:schemeClr w14:val="tx1"/>
            </w14:solidFill>
          </w14:textFill>
        </w:rPr>
        <w:t>5.9.7 环境风险防范措施及应急措施</w:t>
      </w:r>
      <w:bookmarkEnd w:id="612"/>
    </w:p>
    <w:p>
      <w:pPr>
        <w:pStyle w:val="5"/>
        <w:rPr>
          <w:color w:val="000000" w:themeColor="text1"/>
          <w14:textFill>
            <w14:solidFill>
              <w14:schemeClr w14:val="tx1"/>
            </w14:solidFill>
          </w14:textFill>
        </w:rPr>
      </w:pPr>
      <w:r>
        <w:rPr>
          <w:color w:val="000000" w:themeColor="text1"/>
          <w14:textFill>
            <w14:solidFill>
              <w14:schemeClr w14:val="tx1"/>
            </w14:solidFill>
          </w14:textFill>
        </w:rPr>
        <w:t>5.9.7.1事故防范措施</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一、收集池泄漏预防措施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（1）定期对收集池池壁及池底进行检查，发现防渗层破裂及时修补；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（2）对管道进行保养及维护，预防跑冒滴漏现象的发生；</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（3）治污区设置值班人员，如发现设备运行故障及时停产检修；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（4）定期对废水处理设施下游设置的监测井取水进行监测。</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二、沼液储存池风险防范措施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沼液储存池底部首先进行清场夯实，要做到池底无特殊工艺孔设置且内表面积较大，施工所在地土质情况单一，碎砖块等尖锐性杂物较少，具备工程防渗施工的要求。同时各废水输送管道应做到防泄漏、跑冒等。</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根据《畜禽养殖业污染防治技术规范》(HJ/T81-2001）规定：</w:t>
      </w: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养殖场的排水系统应实行雨水和污水收集输送系统分离，在场区内设置的污水收集输送系统，不得采取明沟布设；</w:t>
      </w: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贮存设施应采取有效的防渗处理工艺，防止畜禽粪便污染地下水；</w:t>
      </w:r>
      <w:r>
        <w:rPr>
          <w:rFonts w:cs="Times New Roman"/>
          <w:color w:val="000000" w:themeColor="text1"/>
          <w14:textFill>
            <w14:solidFill>
              <w14:schemeClr w14:val="tx1"/>
            </w14:solidFill>
          </w14:textFill>
        </w:rPr>
        <w:fldChar w:fldCharType="begin"/>
      </w:r>
      <w:r>
        <w:rPr>
          <w:rFonts w:cs="Times New Roman"/>
          <w:color w:val="000000" w:themeColor="text1"/>
          <w14:textFill>
            <w14:solidFill>
              <w14:schemeClr w14:val="tx1"/>
            </w14:solidFill>
          </w14:textFill>
        </w:rPr>
        <w:instrText xml:space="preserve"> = 3 \* GB3 </w:instrText>
      </w:r>
      <w:r>
        <w:rPr>
          <w:rFonts w:cs="Times New Roman"/>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fldChar w:fldCharType="end"/>
      </w:r>
      <w:r>
        <w:rPr>
          <w:rFonts w:cs="Times New Roman"/>
          <w:color w:val="000000" w:themeColor="text1"/>
          <w14:textFill>
            <w14:solidFill>
              <w14:schemeClr w14:val="tx1"/>
            </w14:solidFill>
          </w14:textFill>
        </w:rPr>
        <w:t>贮存设施应采取设置顶盖及围堰等防止雨水进入的措施。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拟建项目污水处理站沼气池、沼液储存池均采用黑膜密闭，可避免雨水进入。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沼液储存池池壁在清场夯压的基础上采用铺设1.5mmHDPE防法膜进行防渗，黑膜沼气池采用素土夯实+HDPE防渗膜进行防渗，收集池为钢筋混凝土砖混结构并做相应的耐酸、碱表面处理。项目区各池子均做了有效的防渗措施，同时在日常运行中应定期对池底防渗膜进行检查，发现渗漏及时进行维修。在污水处理站地下水下游方位设置监测井，定期对地下水进行监测，如发现指标异常，应立即对污水处理系统进行排查检惚。经过上述处理后，沼液下渗污染地下水和土壤的风险很小。</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三、沼液输送管道风险防范措施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为了防止沼液输送过程中管道破裂而污染土壤和浅层地下水，评价提出如下建议措施；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（1）合理设置管道阀门，在出现破裂时，能及时通过阀门控制泄漏量。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（2）选用优质管材，减少管道破裂的几率。</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（3）加强管理，做好管道的维护工作，发现破裂时能及时做应急处理。评价认为采取以上措施后可有效降低沼液输送过程中发生风险的几率。</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四、黑膜沼气池沼气泄露防范措施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（1）黑膜沼气池、管线进行适当的整体试验、外观检查或非破坏性的测厚检查、射线探伤，检查记录应存档备查。定期对黑膜沼气池外部检查，及时发现破损和漏处。</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黑膜沼气池施工阶段确保四周粘严，同时黑膜沼气池四周设置防护网。经常检查管道，若地下管道应采用防腐蚀材料，并在埋设的地而作标记，以防开挖时破坏管道，地上管道应防止汽车碰撞，并控制管道支撑的磨损。定期系统试压、定期检漏。管道施工应按规范要求进行。</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（3）定期对设备进行安全检测，检测内容、时间、人员应有记录保存，安全检测应根据设备的安全性、危险性设定检测频次。</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（4）严控火源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a、严禁火源进入治污区，对明火严格控制，在黑膜沼气池附近20m内不准有明火；</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b、对设备维修检查，需进行维悠焊接，应经安全部门确认、准许，并有记录在案；另外，在危险区作业是不能使用能产生撞击火花的金属物体，应用铜工具，如用钢工具，表面应涂黄油；</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c、在黑膜沼气池上设置永久性接地装置；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d、在装置区内的所有设备，电气装置都应满足防爆防火的要求。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（6）人员的管理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a、加强沼气安全知识的宣传，加强对有关人员的培训教育和考核；</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b、严格规章制度和安全操作规程，强化安全监督检查和管理；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c、沼气工程外设专职人员进行监理和维护，严禁其他人员进入。</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五、臭气污染风险防范措施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产生臭气的主要单元为猪舍~粪污处理区.污水处理区及病死猪处理区，其主要通过喷洒除臭剂，进行密闭、交装除臭装置进行除臭。如发生除臭装置停止运行、密闭措施破裂等情况将产生臭气大量排出，污染周围环境的风险，评价提出对于病死猪处理机如臭气治理措施故障不能正常运行，应立即停止设备的运行，将未处理完成的病死猪从设备内取出，用密闭的容器承装，避免恶臭气体排出，对设备维修后在正常运行。对于猪舍区、污水处理区通过喷洒除臭剂进行除臭的区域，要加强制度的建设和人员的管理，建立岗位责任制，每天由专人定期、定量进行除臭剂的喷洒，并安排专人进行检查，起到督促监督作用。如发现沼气池及存储池上黑膜破裂，恶臭气体排出，应立即安排人员先用胶布临时封堵破裂口，然后进行照膜的修复工作。</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六、事故废水的处理措施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事故废水主要包括治污区事故状态下的排水，事故废水由排污通道进入场区内事故池暂存。养殖区猪舍屋顶雨水未受污染，通过布置在屋檐下的雨水管线与其他区域的雨水一起排入场外路边沟。雨水管道由专业设计单位施工，能够满足大、中雨条件下的排污负荷，同时应具备防止淤泥以利于定期清理的条件，排水沟应采取硬化措施。</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七、场区雨污水漏入附近河流风险防范措施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建成后养殖废水暂存于沼液储存池，施肥季节，通过管网输送到沼液消纳地。因沼液输送管道破裂等情况发生泄漏，可能导致沼液流入附近河流，距离项目最近的河流为鸡鸣水河，沼液大量泄漏对区域土壤可能会受到影响，评价要求沼液输送过程中应做好防渗、防漏等措施，杜绝沼液事故排放状况的发生。</w:t>
      </w:r>
    </w:p>
    <w:p>
      <w:pPr>
        <w:pStyle w:val="5"/>
        <w:rPr>
          <w:color w:val="000000" w:themeColor="text1"/>
          <w14:textFill>
            <w14:solidFill>
              <w14:schemeClr w14:val="tx1"/>
            </w14:solidFill>
          </w14:textFill>
        </w:rPr>
      </w:pPr>
      <w:r>
        <w:rPr>
          <w:color w:val="000000" w:themeColor="text1"/>
          <w14:textFill>
            <w14:solidFill>
              <w14:schemeClr w14:val="tx1"/>
            </w14:solidFill>
          </w14:textFill>
        </w:rPr>
        <w:t>5.9.7.2事故应急措施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对可能发生的事故，公司制订应急计划，使各部门在事故发生后能有步骤、有秩序地采取各项应急措施。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1、事故发生后，应根据具体情况采取应急措施，切断泄漏源、火源，控制事故扩大，同时通知控制室，根据事故类型、大小启动相应的应急预案。</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2、发生重大事故，应立即上报相关部门，启动社会救援系统，就近地区调拨到专业救援队伍协助处理。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3、事故发生后应立即通告当地环境保护局、医院、自来水公司等市政部门，协同事故救援与监控。</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4沼气泄漏应急措施：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（1）隐患点所在车间要加强巡检频次，并予以明显标识。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隐患泄漏增大后，要及时报告值班室及所在单位工程技术人员，进行再确认；设立警戒线对进入隐患区域的道路进行封闭，总值班室按《设备事故联络程序》联络通知相关人员到厂，并奔赴现场进行指挥协调工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隐患泄漏确认增大且已呈迅速扩大之势时，当班人员必须穿戴防化隔离服在其他人员监护情况下将泄漏区域与完好区域隔离，相关人员要迅速奔赴现场组织指挥隔离工作、道路封闭工作、疏散无关人员工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（4）关阀堵漏，切断气源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首先应判明泄漏的位置。若泄漏点位于阀门下游，则应迅速关闭泄漏处上游的阀门，如关掉一个阀门还不可靠时，可再关一个处于此阀上游的阀门，若泄漏点位于阀门上游，即属于阀前泄漏，这时应根据气象情况，从上风方向逼近泄漏点，实施带压堵漏。堵漏人员要精而少，增加堵漏抢险的安全系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（5）熄灭火源，防止爆炸</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立即通知有关人员迅速熄灭泄漏区周围的一切火源，并注意处置潜在火灾如静电火花、摩擦火花等，根据风向设立警戒区，断绝除各种危险因素。要断绝消除危险区域的一切火种，包括一切明火、电火。切断通往危险区的一切交通，无关人员一律不准入内。把握风向、风速、地形和沼气的扩散范围。将消防车停在最佳位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（6）疏散人员，防止伤亡</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组织泄漏区人员向逆风向疏散，泄漏区除留应急处置所必须的人员外，其他人员应迅速撤离，以防人员中毒及突然爆炸造成不必要的伤亡。</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5）高浓度养殖废水泄漏应急措施：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（1）发现未经处理的废水外排后，立即向应急救援办公室汇报；应急办在接到废水外排事故情报后，立即向总指挥汇报；总指挥决定启动应急预案后，下达启动预案命令。</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（2）应急指挥部立即组织相关人员对废水外排进行阻止，防止废水的扩散并查找原因。</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废水外排采取的应急措施：当废水量小时，应就地在场地旁地势较低处用砂土构筑临时集水池收集废水，或将废水引流至沼液池。当废水量大有可能排入厂区外时，在总排口处筑坝拦截，并用水泵抽回沼液池。</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发生泄漏，岗位人员在报告调度的同时，按照指令及岗位紧急操作程序进行处置，调整工艺指标，减负荷，尽可能切断泄漏源，防止进入下水道、排洪沟等限制性空间。同时检查雨水、外排口并关严，避免外排事件。</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公司高浓度养殖废水由于设备故障造成泄漏时，现场第一发现人应立即上报应急指挥部，采取引流进沼液池或者挖坑、围堰、堵截等方式，将废水控制在一定范围内。总指挥接到命令后立即组织应急抢修任务，待设备或者管道修理完成后，将废水引流进沼液池，将用于围堰的沙土等收集集中处理，防止造成二次污染。</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应急指挥部对污染状况进行跟踪调查，根据监测数据及环境允许排放标准，及时调整对策。监测人员应适时监测，及时掌握排放情况。</w:t>
      </w:r>
    </w:p>
    <w:p>
      <w:pPr>
        <w:pStyle w:val="5"/>
        <w:rPr>
          <w:color w:val="000000" w:themeColor="text1"/>
          <w14:textFill>
            <w14:solidFill>
              <w14:schemeClr w14:val="tx1"/>
            </w14:solidFill>
          </w14:textFill>
        </w:rPr>
      </w:pPr>
      <w:r>
        <w:rPr>
          <w:color w:val="000000" w:themeColor="text1"/>
          <w14:textFill>
            <w14:solidFill>
              <w14:schemeClr w14:val="tx1"/>
            </w14:solidFill>
          </w14:textFill>
        </w:rPr>
        <w:t>5.9.7.3三级防控体系控制</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根据国家和地方相关环保要求，拟建项目将应急防范措施分为三级防控体系，即：一级防控措施将污染物控制在装置区、罐区；二级防控措施将污染物控制在事故池；三级防控措施是在雨排口处加挡板、阀门，确保事故状态下不发生污染事件，事故废水不外排影响外部环境。具体如下：</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1、一级防控措施</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利用厂区的排水渠作为一级防控措施，主要防控初期雨水、消防污水及污水泄漏。</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2、二级防控措施</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厂区东南侧的1个沼液储存池，总容积为</w:t>
      </w:r>
      <w:r>
        <w:rPr>
          <w:rFonts w:cs="Times New Roman"/>
          <w:color w:val="000000" w:themeColor="text1"/>
          <w14:textFill>
            <w14:solidFill>
              <w14:schemeClr w14:val="tx1"/>
            </w14:solidFill>
          </w14:textFill>
        </w:rPr>
        <w:t>360 m</w:t>
      </w:r>
      <w:r>
        <w:rPr>
          <w:rFonts w:cs="Times New Roman"/>
          <w:color w:val="000000" w:themeColor="text1"/>
          <w:vertAlign w:val="superscript"/>
          <w14:textFill>
            <w14:solidFill>
              <w14:schemeClr w14:val="tx1"/>
            </w14:solidFill>
          </w14:textFill>
        </w:rPr>
        <w:t>3</w:t>
      </w:r>
      <w:r>
        <w:rPr>
          <w:rFonts w:cs="Times New Roman"/>
          <w:color w:val="000000" w:themeColor="text1"/>
          <w:lang w:bidi="en-US"/>
          <w14:textFill>
            <w14:solidFill>
              <w14:schemeClr w14:val="tx1"/>
            </w14:solidFill>
          </w14:textFill>
        </w:rPr>
        <w:t>作为二级防控措施，用于事故情况下储存污水。</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3、三级防控措施</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在雨排口增加切换阀门作为三级防控措施，防控溢流至雨水系统的污水进入外环境。</w:t>
      </w:r>
    </w:p>
    <w:p>
      <w:pPr>
        <w:pStyle w:val="5"/>
        <w:rPr>
          <w:color w:val="000000" w:themeColor="text1"/>
          <w14:textFill>
            <w14:solidFill>
              <w14:schemeClr w14:val="tx1"/>
            </w14:solidFill>
          </w14:textFill>
        </w:rPr>
      </w:pPr>
      <w:r>
        <w:rPr>
          <w:color w:val="000000" w:themeColor="text1"/>
          <w14:textFill>
            <w14:solidFill>
              <w14:schemeClr w14:val="tx1"/>
            </w14:solidFill>
          </w14:textFill>
        </w:rPr>
        <w:t>5.9.7.4环境风险应急预案</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1、制定风险事故应急预案的目的</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制定风险事故应急预案的目的是为了在发生风险事故时，能以最快的速度发挥最大的效能，有序的实施救援，尽快控制事态的发展，降低事故造成的危害，减少事故造成的损失。</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2、风险事故应急预案的基本要求</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风险事故应急预案的基本要求包括：科学性、实用性和权威性。风险事故的应急救援工作是一项科学性很强的工作，必须开展科学分析和论证，制定严密、统一、完整的应急预案；应急预案应符合项目的客观情况，具有实用、简单、易掌握等特征，便于实施；对事故处置过程中职责、权限、任务、工作标准、奖励与处罚等做出明确规定，使之成为企业的一项制度，确保其权威性。</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3、环境风险应急组织机构设置及职责</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针对可能存在的环境风险，拟建项目应当设立事故状态下的应急救援领导小组。应急救援领导小组是公司为预防和处置各类突发事故的常设机构，其主要职责有：</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（1）编制和悠改事故应急救援预案。</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（2）组建应急救援队伍并组织实施训练和演习。</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（3）检查各项安全工作的实施情况。</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（4）检查督促做好重大事故的预防措施和应急救援的各项准备工作。</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（5）在应急救援行动中发布和解除各项命令。</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（6）负责向上级和政府有关部门报告以及向友邻单位、周边居民通报事故情况。</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（7）负责组织调查事故发生的原因、妥善处理事故并总结经验教训。</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4、风险事故处理措施</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为了有效地处理风险事故，应有切实可行的处置措施。项目风险事故应急措施包括设备器材、事故现场指挥、救护、通讯等系统的建立、现场应急措施方案、事故危害监测队伍、现场撤离和善后措施方案等。</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（1）设立报警、通讯系统以及事故处置领导体系。</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（2）制定有效处理事故的应急行动方案，并得到有关部门的认可，能与有关部门有效配合。</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（3）明确职责，并落实到单位和有关人员。</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（4）制定控制和减少事故影响范围、程度以及补救行动的实施计划。</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（5）对事故现场管理以及事故处置全过程的监督，应由富有事故处置经验的人员或有关部门工作人员承担。</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（6）为提高事故处置队伍的协同救援水平和实战能力，检验救援体系的应急综合运作状态，提高其实战水平，应进行应急救援演练。</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（7）环境风险突发性事故应急预案纲要</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企业领导应该提高对突发性事故的警觉和认识，建立完善的环境风险防范应急预警机制和应急预案。应急预案应明确危险目标，建立应急组织机构，公报各救援队伍和涉及范围单位的电话号码和公司相关人员的手机号码，制定抢险、救援及控制措施和清除濯漏措施以及人员紧急疏散计划和应急人员培训计划，配备清除泄漏器材和烧伤急救药物。</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突发环境事件应急预案纲要见下表。</w:t>
      </w:r>
    </w:p>
    <w:p>
      <w:pPr>
        <w:pStyle w:val="333"/>
        <w:spacing w:before="120"/>
        <w:rPr>
          <w:rFonts w:cs="Times New Roman"/>
          <w:bCs/>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color w:val="000000" w:themeColor="text1"/>
          <w:lang w:bidi="en-US"/>
          <w14:textFill>
            <w14:solidFill>
              <w14:schemeClr w14:val="tx1"/>
            </w14:solidFill>
          </w14:textFill>
        </w:rPr>
        <w:t>5.9-13</w:t>
      </w:r>
      <w:r>
        <w:rPr>
          <w:rFonts w:cs="Times New Roman"/>
          <w:color w:val="000000" w:themeColor="text1"/>
          <w:spacing w:val="60"/>
          <w14:textFill>
            <w14:solidFill>
              <w14:schemeClr w14:val="tx1"/>
            </w14:solidFill>
          </w14:textFill>
        </w:rPr>
        <w:t xml:space="preserve"> </w:t>
      </w:r>
      <w:r>
        <w:rPr>
          <w:rFonts w:cs="Times New Roman"/>
          <w:color w:val="000000" w:themeColor="text1"/>
          <w14:textFill>
            <w14:solidFill>
              <w14:schemeClr w14:val="tx1"/>
            </w14:solidFill>
          </w14:textFill>
        </w:rPr>
        <w:t>项目环境风险应急预案内容一览表</w:t>
      </w:r>
    </w:p>
    <w:tbl>
      <w:tblPr>
        <w:tblStyle w:val="53"/>
        <w:tblW w:w="5000" w:type="pct"/>
        <w:tblInd w:w="0" w:type="dxa"/>
        <w:tblLayout w:type="autofit"/>
        <w:tblCellMar>
          <w:top w:w="0" w:type="dxa"/>
          <w:left w:w="0" w:type="dxa"/>
          <w:bottom w:w="0" w:type="dxa"/>
          <w:right w:w="0" w:type="dxa"/>
        </w:tblCellMar>
      </w:tblPr>
      <w:tblGrid>
        <w:gridCol w:w="557"/>
        <w:gridCol w:w="2299"/>
        <w:gridCol w:w="6245"/>
      </w:tblGrid>
      <w:tr>
        <w:tblPrEx>
          <w:tblCellMar>
            <w:top w:w="0" w:type="dxa"/>
            <w:left w:w="0" w:type="dxa"/>
            <w:bottom w:w="0" w:type="dxa"/>
            <w:right w:w="0" w:type="dxa"/>
          </w:tblCellMar>
        </w:tblPrEx>
        <w:trPr>
          <w:trHeight w:val="397" w:hRule="atLeast"/>
          <w:tblHeader/>
        </w:trPr>
        <w:tc>
          <w:tcPr>
            <w:tcW w:w="306" w:type="pct"/>
            <w:tcBorders>
              <w:top w:val="single" w:color="000000" w:sz="12" w:space="0"/>
              <w:left w:val="single" w:color="000000"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263" w:type="pct"/>
            <w:tcBorders>
              <w:top w:val="single" w:color="000000"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3431" w:type="pct"/>
            <w:tcBorders>
              <w:top w:val="single" w:color="000000" w:sz="12" w:space="0"/>
              <w:left w:val="single" w:color="000000" w:sz="6" w:space="0"/>
              <w:bottom w:val="single" w:color="auto" w:sz="12" w:space="0"/>
              <w:right w:val="single" w:color="000000"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主要内容</w:t>
            </w:r>
          </w:p>
        </w:tc>
      </w:tr>
      <w:tr>
        <w:tblPrEx>
          <w:tblCellMar>
            <w:top w:w="0" w:type="dxa"/>
            <w:left w:w="0" w:type="dxa"/>
            <w:bottom w:w="0" w:type="dxa"/>
            <w:right w:w="0" w:type="dxa"/>
          </w:tblCellMar>
        </w:tblPrEx>
        <w:trPr>
          <w:trHeight w:val="397" w:hRule="atLeast"/>
        </w:trPr>
        <w:tc>
          <w:tcPr>
            <w:tcW w:w="306" w:type="pct"/>
            <w:tcBorders>
              <w:top w:val="single" w:color="auto" w:sz="12"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63"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应急计划区</w:t>
            </w:r>
          </w:p>
        </w:tc>
        <w:tc>
          <w:tcPr>
            <w:tcW w:w="3431" w:type="pct"/>
            <w:tcBorders>
              <w:top w:val="single" w:color="auto" w:sz="12" w:space="0"/>
              <w:left w:val="single" w:color="000000" w:sz="4" w:space="0"/>
              <w:bottom w:val="single" w:color="000000" w:sz="4"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主要居民密集区</w:t>
            </w:r>
          </w:p>
        </w:tc>
      </w:tr>
      <w:tr>
        <w:tblPrEx>
          <w:tblCellMar>
            <w:top w:w="0" w:type="dxa"/>
            <w:left w:w="0" w:type="dxa"/>
            <w:bottom w:w="0" w:type="dxa"/>
            <w:right w:w="0" w:type="dxa"/>
          </w:tblCellMar>
        </w:tblPrEx>
        <w:trPr>
          <w:trHeight w:val="397" w:hRule="atLeast"/>
        </w:trPr>
        <w:tc>
          <w:tcPr>
            <w:tcW w:w="30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12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spacing w:val="-4"/>
                <w14:textFill>
                  <w14:solidFill>
                    <w14:schemeClr w14:val="tx1"/>
                  </w14:solidFill>
                </w14:textFill>
              </w:rPr>
              <w:t>应急组织结构、人员</w:t>
            </w:r>
          </w:p>
        </w:tc>
        <w:tc>
          <w:tcPr>
            <w:tcW w:w="3431" w:type="pct"/>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spacing w:val="-3"/>
                <w14:textFill>
                  <w14:solidFill>
                    <w14:schemeClr w14:val="tx1"/>
                  </w14:solidFill>
                </w14:textFill>
              </w:rPr>
              <w:t>应急组织机构分级，各级别主要负责人为应急计划、协调第一人，</w:t>
            </w:r>
            <w:r>
              <w:rPr>
                <w:color w:val="000000" w:themeColor="text1"/>
                <w14:textFill>
                  <w14:solidFill>
                    <w14:schemeClr w14:val="tx1"/>
                  </w14:solidFill>
                </w14:textFill>
              </w:rPr>
              <w:t>应急人员必须培训上岗；区域应急组织结构由当地政府、相关行</w:t>
            </w:r>
            <w:r>
              <w:rPr>
                <w:color w:val="000000" w:themeColor="text1"/>
                <w:spacing w:val="-32"/>
                <w14:textFill>
                  <w14:solidFill>
                    <w14:schemeClr w14:val="tx1"/>
                  </w14:solidFill>
                </w14:textFill>
              </w:rPr>
              <w:t xml:space="preserve"> </w:t>
            </w:r>
            <w:r>
              <w:rPr>
                <w:color w:val="000000" w:themeColor="text1"/>
                <w14:textFill>
                  <w14:solidFill>
                    <w14:schemeClr w14:val="tx1"/>
                  </w14:solidFill>
                </w14:textFill>
              </w:rPr>
              <w:t>业专家、卫生安全相关单位组成，并由当地政府进行统一调度</w:t>
            </w:r>
          </w:p>
        </w:tc>
      </w:tr>
      <w:tr>
        <w:tblPrEx>
          <w:tblCellMar>
            <w:top w:w="0" w:type="dxa"/>
            <w:left w:w="0" w:type="dxa"/>
            <w:bottom w:w="0" w:type="dxa"/>
            <w:right w:w="0" w:type="dxa"/>
          </w:tblCellMar>
        </w:tblPrEx>
        <w:trPr>
          <w:trHeight w:val="397" w:hRule="atLeast"/>
        </w:trPr>
        <w:tc>
          <w:tcPr>
            <w:tcW w:w="30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12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预案分级响应条件</w:t>
            </w:r>
          </w:p>
        </w:tc>
        <w:tc>
          <w:tcPr>
            <w:tcW w:w="3431" w:type="pct"/>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根据事故的严重程度制定相应级别的应急预案，以及适合相应情况的处理措施</w:t>
            </w:r>
          </w:p>
        </w:tc>
      </w:tr>
      <w:tr>
        <w:tblPrEx>
          <w:tblCellMar>
            <w:top w:w="0" w:type="dxa"/>
            <w:left w:w="0" w:type="dxa"/>
            <w:bottom w:w="0" w:type="dxa"/>
            <w:right w:w="0" w:type="dxa"/>
          </w:tblCellMar>
        </w:tblPrEx>
        <w:trPr>
          <w:trHeight w:val="397" w:hRule="atLeast"/>
        </w:trPr>
        <w:tc>
          <w:tcPr>
            <w:tcW w:w="30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12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应急救援保障</w:t>
            </w:r>
          </w:p>
        </w:tc>
        <w:tc>
          <w:tcPr>
            <w:tcW w:w="3431" w:type="pct"/>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应急设施、设备与器材等，设备主要分为：人员防护设备、消防设备、牵引设备、电力照明设备、撇油设备等。保存所有设备的</w:t>
            </w:r>
            <w:r>
              <w:rPr>
                <w:color w:val="000000" w:themeColor="text1"/>
                <w:kern w:val="0"/>
                <w:szCs w:val="21"/>
                <w14:textFill>
                  <w14:solidFill>
                    <w14:schemeClr w14:val="tx1"/>
                  </w14:solidFill>
                </w14:textFill>
              </w:rPr>
              <w:t>名细表和它们所在的位置。</w:t>
            </w:r>
          </w:p>
        </w:tc>
      </w:tr>
      <w:tr>
        <w:tblPrEx>
          <w:tblCellMar>
            <w:top w:w="0" w:type="dxa"/>
            <w:left w:w="0" w:type="dxa"/>
            <w:bottom w:w="0" w:type="dxa"/>
            <w:right w:w="0" w:type="dxa"/>
          </w:tblCellMar>
        </w:tblPrEx>
        <w:trPr>
          <w:trHeight w:val="397" w:hRule="atLeast"/>
        </w:trPr>
        <w:tc>
          <w:tcPr>
            <w:tcW w:w="30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5</w:t>
            </w:r>
          </w:p>
        </w:tc>
        <w:tc>
          <w:tcPr>
            <w:tcW w:w="12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报警、通讯联络方式</w:t>
            </w:r>
          </w:p>
        </w:tc>
        <w:tc>
          <w:tcPr>
            <w:tcW w:w="3431" w:type="pct"/>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逐一细化应急状态下各主要负责单位的报警通讯方式、地点、电话号码以及相关配套的交通保障、管制、消防联络方法</w:t>
            </w:r>
          </w:p>
        </w:tc>
      </w:tr>
      <w:tr>
        <w:tblPrEx>
          <w:tblCellMar>
            <w:top w:w="0" w:type="dxa"/>
            <w:left w:w="0" w:type="dxa"/>
            <w:bottom w:w="0" w:type="dxa"/>
            <w:right w:w="0" w:type="dxa"/>
          </w:tblCellMar>
        </w:tblPrEx>
        <w:trPr>
          <w:trHeight w:val="397" w:hRule="atLeast"/>
        </w:trPr>
        <w:tc>
          <w:tcPr>
            <w:tcW w:w="30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6</w:t>
            </w:r>
          </w:p>
        </w:tc>
        <w:tc>
          <w:tcPr>
            <w:tcW w:w="12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应急环境监测、抢险、救援控制措施</w:t>
            </w:r>
          </w:p>
        </w:tc>
        <w:tc>
          <w:tcPr>
            <w:tcW w:w="3431" w:type="pct"/>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组织专业队伍负责对事故现场进行侦察监测，对事故性质、参数与后果进行评估，专为指挥部门提供决策依据</w:t>
            </w:r>
          </w:p>
        </w:tc>
      </w:tr>
      <w:tr>
        <w:tblPrEx>
          <w:tblCellMar>
            <w:top w:w="0" w:type="dxa"/>
            <w:left w:w="0" w:type="dxa"/>
            <w:bottom w:w="0" w:type="dxa"/>
            <w:right w:w="0" w:type="dxa"/>
          </w:tblCellMar>
        </w:tblPrEx>
        <w:trPr>
          <w:trHeight w:val="397" w:hRule="atLeast"/>
        </w:trPr>
        <w:tc>
          <w:tcPr>
            <w:tcW w:w="30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7</w:t>
            </w:r>
          </w:p>
        </w:tc>
        <w:tc>
          <w:tcPr>
            <w:tcW w:w="12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应急监测、防护措</w:t>
            </w:r>
            <w:r>
              <w:rPr>
                <w:color w:val="000000" w:themeColor="text1"/>
                <w:spacing w:val="-4"/>
                <w:kern w:val="0"/>
                <w:szCs w:val="21"/>
                <w14:textFill>
                  <w14:solidFill>
                    <w14:schemeClr w14:val="tx1"/>
                  </w14:solidFill>
                </w14:textFill>
              </w:rPr>
              <w:t>施、清除泄露措施和</w:t>
            </w:r>
            <w:r>
              <w:rPr>
                <w:color w:val="000000" w:themeColor="text1"/>
                <w:spacing w:val="-90"/>
                <w:kern w:val="0"/>
                <w:szCs w:val="21"/>
                <w14:textFill>
                  <w14:solidFill>
                    <w14:schemeClr w14:val="tx1"/>
                  </w14:solidFill>
                </w14:textFill>
              </w:rPr>
              <w:t xml:space="preserve"> </w:t>
            </w:r>
            <w:r>
              <w:rPr>
                <w:color w:val="000000" w:themeColor="text1"/>
                <w:kern w:val="0"/>
                <w:szCs w:val="21"/>
                <w14:textFill>
                  <w14:solidFill>
                    <w14:schemeClr w14:val="tx1"/>
                  </w14:solidFill>
                </w14:textFill>
              </w:rPr>
              <w:t>器材</w:t>
            </w:r>
          </w:p>
        </w:tc>
        <w:tc>
          <w:tcPr>
            <w:tcW w:w="3431" w:type="pct"/>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严格规定事故现场、邻近区域、控制防火或污染区域设置控制和清除污染措施及相应设备的数量、使用方法、使用人员</w:t>
            </w:r>
          </w:p>
        </w:tc>
      </w:tr>
      <w:tr>
        <w:tblPrEx>
          <w:tblCellMar>
            <w:top w:w="0" w:type="dxa"/>
            <w:left w:w="0" w:type="dxa"/>
            <w:bottom w:w="0" w:type="dxa"/>
            <w:right w:w="0" w:type="dxa"/>
          </w:tblCellMar>
        </w:tblPrEx>
        <w:trPr>
          <w:trHeight w:val="397" w:hRule="atLeast"/>
        </w:trPr>
        <w:tc>
          <w:tcPr>
            <w:tcW w:w="30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8</w:t>
            </w:r>
          </w:p>
        </w:tc>
        <w:tc>
          <w:tcPr>
            <w:tcW w:w="12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kern w:val="0"/>
                <w14:textFill>
                  <w14:solidFill>
                    <w14:schemeClr w14:val="tx1"/>
                  </w14:solidFill>
                </w14:textFill>
              </w:rPr>
            </w:pPr>
            <w:r>
              <w:rPr>
                <w:color w:val="000000" w:themeColor="text1"/>
                <w:spacing w:val="-4"/>
                <w:kern w:val="0"/>
                <w:szCs w:val="21"/>
                <w14:textFill>
                  <w14:solidFill>
                    <w14:schemeClr w14:val="tx1"/>
                  </w14:solidFill>
                </w14:textFill>
              </w:rPr>
              <w:t>人员紧急撤离、疏散</w:t>
            </w:r>
            <w:r>
              <w:rPr>
                <w:color w:val="000000" w:themeColor="text1"/>
                <w:kern w:val="0"/>
                <w:szCs w:val="21"/>
                <w14:textFill>
                  <w14:solidFill>
                    <w14:schemeClr w14:val="tx1"/>
                  </w14:solidFill>
                </w14:textFill>
              </w:rPr>
              <w:t>计划</w:t>
            </w:r>
          </w:p>
        </w:tc>
        <w:tc>
          <w:tcPr>
            <w:tcW w:w="3431" w:type="pct"/>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事故现场、受事故影响的区域人员控制规定，制定紧急撤离组织计划和救护，医疗救护与公众健康</w:t>
            </w:r>
          </w:p>
        </w:tc>
      </w:tr>
      <w:tr>
        <w:tblPrEx>
          <w:tblCellMar>
            <w:top w:w="0" w:type="dxa"/>
            <w:left w:w="0" w:type="dxa"/>
            <w:bottom w:w="0" w:type="dxa"/>
            <w:right w:w="0" w:type="dxa"/>
          </w:tblCellMar>
        </w:tblPrEx>
        <w:trPr>
          <w:trHeight w:val="397" w:hRule="atLeast"/>
        </w:trPr>
        <w:tc>
          <w:tcPr>
            <w:tcW w:w="30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9</w:t>
            </w:r>
          </w:p>
        </w:tc>
        <w:tc>
          <w:tcPr>
            <w:tcW w:w="12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事故应急救援关闭程序</w:t>
            </w:r>
          </w:p>
        </w:tc>
        <w:tc>
          <w:tcPr>
            <w:tcW w:w="3431" w:type="pct"/>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制定相关应急状态终止程序，事故现场、受影响范围内的善后处</w:t>
            </w:r>
          </w:p>
          <w:p>
            <w:pPr>
              <w:pStyle w:val="332"/>
              <w:jc w:val="both"/>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理、恢复措施，邻近区域解除事故警戒及善后恢复措施</w:t>
            </w:r>
          </w:p>
        </w:tc>
      </w:tr>
      <w:tr>
        <w:tblPrEx>
          <w:tblCellMar>
            <w:top w:w="0" w:type="dxa"/>
            <w:left w:w="0" w:type="dxa"/>
            <w:bottom w:w="0" w:type="dxa"/>
            <w:right w:w="0" w:type="dxa"/>
          </w:tblCellMar>
        </w:tblPrEx>
        <w:trPr>
          <w:trHeight w:val="397" w:hRule="atLeast"/>
        </w:trPr>
        <w:tc>
          <w:tcPr>
            <w:tcW w:w="30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kern w:val="0"/>
                <w14:textFill>
                  <w14:solidFill>
                    <w14:schemeClr w14:val="tx1"/>
                  </w14:solidFill>
                </w14:textFill>
              </w:rPr>
            </w:pPr>
          </w:p>
          <w:p>
            <w:pPr>
              <w:pStyle w:val="332"/>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10</w:t>
            </w:r>
          </w:p>
        </w:tc>
        <w:tc>
          <w:tcPr>
            <w:tcW w:w="12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事故恢复措施</w:t>
            </w:r>
          </w:p>
        </w:tc>
        <w:tc>
          <w:tcPr>
            <w:tcW w:w="3431" w:type="pct"/>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spacing w:val="-6"/>
                <w:kern w:val="0"/>
                <w:szCs w:val="21"/>
                <w14:textFill>
                  <w14:solidFill>
                    <w14:schemeClr w14:val="tx1"/>
                  </w14:solidFill>
                </w14:textFill>
              </w:rPr>
            </w:pPr>
            <w:r>
              <w:rPr>
                <w:color w:val="000000" w:themeColor="text1"/>
                <w:spacing w:val="-6"/>
                <w:kern w:val="0"/>
                <w:szCs w:val="21"/>
                <w14:textFill>
                  <w14:solidFill>
                    <w14:schemeClr w14:val="tx1"/>
                  </w14:solidFill>
                </w14:textFill>
              </w:rPr>
              <w:t>制定有关的环境恢复措施（包括生态环境等），组织专业人员对事</w:t>
            </w:r>
          </w:p>
          <w:p>
            <w:pPr>
              <w:pStyle w:val="332"/>
              <w:jc w:val="both"/>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故后的环境变化进行监测，对事故应急措施的环境可行性进行后</w:t>
            </w:r>
            <w:r>
              <w:rPr>
                <w:color w:val="000000" w:themeColor="text1"/>
                <w:spacing w:val="-32"/>
                <w:kern w:val="0"/>
                <w:szCs w:val="21"/>
                <w14:textFill>
                  <w14:solidFill>
                    <w14:schemeClr w14:val="tx1"/>
                  </w14:solidFill>
                </w14:textFill>
              </w:rPr>
              <w:t xml:space="preserve"> </w:t>
            </w:r>
            <w:r>
              <w:rPr>
                <w:color w:val="000000" w:themeColor="text1"/>
                <w:kern w:val="0"/>
                <w:szCs w:val="21"/>
                <w14:textFill>
                  <w14:solidFill>
                    <w14:schemeClr w14:val="tx1"/>
                  </w14:solidFill>
                </w14:textFill>
              </w:rPr>
              <w:t>影响评价</w:t>
            </w:r>
          </w:p>
        </w:tc>
      </w:tr>
      <w:tr>
        <w:tblPrEx>
          <w:tblCellMar>
            <w:top w:w="0" w:type="dxa"/>
            <w:left w:w="0" w:type="dxa"/>
            <w:bottom w:w="0" w:type="dxa"/>
            <w:right w:w="0" w:type="dxa"/>
          </w:tblCellMar>
        </w:tblPrEx>
        <w:trPr>
          <w:trHeight w:val="397" w:hRule="atLeast"/>
        </w:trPr>
        <w:tc>
          <w:tcPr>
            <w:tcW w:w="306" w:type="pct"/>
            <w:tcBorders>
              <w:top w:val="single" w:color="000000" w:sz="4" w:space="0"/>
              <w:left w:val="single" w:color="000000" w:sz="10" w:space="0"/>
              <w:bottom w:val="single" w:color="000000" w:sz="4" w:space="0"/>
              <w:right w:val="single" w:color="000000" w:sz="4" w:space="0"/>
            </w:tcBorders>
            <w:vAlign w:val="center"/>
          </w:tcPr>
          <w:p>
            <w:pPr>
              <w:pStyle w:val="332"/>
              <w:rPr>
                <w:color w:val="000000" w:themeColor="text1"/>
                <w:kern w:val="0"/>
                <w14:textFill>
                  <w14:solidFill>
                    <w14:schemeClr w14:val="tx1"/>
                  </w14:solidFill>
                </w14:textFill>
              </w:rPr>
            </w:pPr>
            <w:r>
              <w:rPr>
                <w:color w:val="000000" w:themeColor="text1"/>
                <w:spacing w:val="-8"/>
                <w:kern w:val="0"/>
                <w:szCs w:val="21"/>
                <w14:textFill>
                  <w14:solidFill>
                    <w14:schemeClr w14:val="tx1"/>
                  </w14:solidFill>
                </w14:textFill>
              </w:rPr>
              <w:t>11</w:t>
            </w:r>
          </w:p>
        </w:tc>
        <w:tc>
          <w:tcPr>
            <w:tcW w:w="1263"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应急培训计划</w:t>
            </w:r>
          </w:p>
        </w:tc>
        <w:tc>
          <w:tcPr>
            <w:tcW w:w="3431" w:type="pct"/>
            <w:tcBorders>
              <w:top w:val="single" w:color="000000" w:sz="4" w:space="0"/>
              <w:left w:val="single" w:color="000000" w:sz="4" w:space="0"/>
              <w:bottom w:val="single" w:color="000000" w:sz="4" w:space="0"/>
              <w:right w:val="single" w:color="000000" w:sz="10" w:space="0"/>
            </w:tcBorders>
            <w:vAlign w:val="center"/>
          </w:tcPr>
          <w:p>
            <w:pPr>
              <w:pStyle w:val="332"/>
              <w:jc w:val="both"/>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定期安排有关人员进行培训与演练</w:t>
            </w:r>
          </w:p>
        </w:tc>
      </w:tr>
      <w:tr>
        <w:tblPrEx>
          <w:tblCellMar>
            <w:top w:w="0" w:type="dxa"/>
            <w:left w:w="0" w:type="dxa"/>
            <w:bottom w:w="0" w:type="dxa"/>
            <w:right w:w="0" w:type="dxa"/>
          </w:tblCellMar>
        </w:tblPrEx>
        <w:trPr>
          <w:trHeight w:val="397" w:hRule="atLeast"/>
        </w:trPr>
        <w:tc>
          <w:tcPr>
            <w:tcW w:w="306" w:type="pct"/>
            <w:tcBorders>
              <w:top w:val="single" w:color="000000" w:sz="4" w:space="0"/>
              <w:left w:val="single" w:color="000000" w:sz="10" w:space="0"/>
              <w:bottom w:val="single" w:color="000000" w:sz="10" w:space="0"/>
              <w:right w:val="single" w:color="000000" w:sz="4" w:space="0"/>
            </w:tcBorders>
            <w:vAlign w:val="center"/>
          </w:tcPr>
          <w:p>
            <w:pPr>
              <w:pStyle w:val="332"/>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12</w:t>
            </w:r>
          </w:p>
        </w:tc>
        <w:tc>
          <w:tcPr>
            <w:tcW w:w="1263" w:type="pct"/>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公众教育和信息</w:t>
            </w:r>
          </w:p>
        </w:tc>
        <w:tc>
          <w:tcPr>
            <w:tcW w:w="3431" w:type="pct"/>
            <w:tcBorders>
              <w:top w:val="single" w:color="000000" w:sz="4" w:space="0"/>
              <w:left w:val="single" w:color="000000" w:sz="4" w:space="0"/>
              <w:bottom w:val="single" w:color="000000" w:sz="10" w:space="0"/>
              <w:right w:val="single" w:color="000000" w:sz="10" w:space="0"/>
            </w:tcBorders>
            <w:vAlign w:val="center"/>
          </w:tcPr>
          <w:p>
            <w:pPr>
              <w:pStyle w:val="332"/>
              <w:jc w:val="both"/>
              <w:rPr>
                <w:color w:val="000000" w:themeColor="text1"/>
                <w:kern w:val="0"/>
                <w14:textFill>
                  <w14:solidFill>
                    <w14:schemeClr w14:val="tx1"/>
                  </w14:solidFill>
                </w14:textFill>
              </w:rPr>
            </w:pPr>
            <w:r>
              <w:rPr>
                <w:color w:val="000000" w:themeColor="text1"/>
                <w:kern w:val="0"/>
                <w:szCs w:val="21"/>
                <w14:textFill>
                  <w14:solidFill>
                    <w14:schemeClr w14:val="tx1"/>
                  </w14:solidFill>
                </w14:textFill>
              </w:rPr>
              <w:t>对道路沿线地区开展公众教育、培训和发布有关信息</w:t>
            </w:r>
          </w:p>
        </w:tc>
      </w:tr>
    </w:tbl>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建设单位制定并严格执行环保事故报告制度，一经发现环保事故，立即向政府和上级有关部门报告，不瞒报，漏报。</w:t>
      </w:r>
    </w:p>
    <w:p>
      <w:pPr>
        <w:pStyle w:val="4"/>
        <w:rPr>
          <w:rFonts w:cs="Times New Roman"/>
          <w:color w:val="000000" w:themeColor="text1"/>
          <w14:textFill>
            <w14:solidFill>
              <w14:schemeClr w14:val="tx1"/>
            </w14:solidFill>
          </w14:textFill>
        </w:rPr>
      </w:pPr>
      <w:bookmarkStart w:id="613" w:name="_Toc91163961"/>
      <w:r>
        <w:rPr>
          <w:rFonts w:cs="Times New Roman"/>
          <w:color w:val="000000" w:themeColor="text1"/>
          <w14:textFill>
            <w14:solidFill>
              <w14:schemeClr w14:val="tx1"/>
            </w14:solidFill>
          </w14:textFill>
        </w:rPr>
        <w:t>5.9.8 风险评价结论</w:t>
      </w:r>
      <w:bookmarkEnd w:id="613"/>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1、小结</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拟建项目环境风险主要表现在沼气发生泄漏引起中毒、污染处理设施运行过程风险。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根据《建设项目环境风险评价技术导则》(HJ/T169-2018）以及拟建项目危险物质的情况，拟建项目无重大危险源，项目风险评价等级为三级，风险评价范围为项目边界周边3 km范围。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气泄漏引起中毒事故会对危险源附近区域造成伤害，但不会对周围环境敏感目标造成大的危害。对场内个单元建筑物和场区地面采取防渗措施，并将沼液池作为事故状况下的事故储存池，可大大降低粪便污水泄漏对地表水体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在严格落实本环评提出的各项风险防范措施和事故应急预案后,拟建项目发生风险事故的可能进一步降低，其潜在的环境风险是可以接受的。</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2、建议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（1）拟建项目具有潜在危险性，企业应严格执行安全防患措施，加强安全管理和避免违章操作、误操作，力争防患于未然。</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（2）企业需要提高风险管理水平和强化风险防范措施。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拟建项目具有潜在事故风险，在认真落实可行性研究报告以及环境评价申报材料所提出的各项安全对策措施，并加强安全管理，保持各项安全设施有效地运行，在以此为前提的情况下，事故发生概率较小。对可能发生的风险事故，加强贮存管理工作，落实各项风险防范措施，制定风险应急预案，降低风险事故的发生概率，减小事故发生时对环境的影响范围和程度，建立和完善消防措施，制定相应的安全防护措施，避免和降低风险事故发生的概率和危害。</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建设项目环境风险自查表见表5.9-14。</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表5.9-14 环境风险评价自查表</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1584"/>
        <w:gridCol w:w="1166"/>
        <w:gridCol w:w="171"/>
        <w:gridCol w:w="371"/>
        <w:gridCol w:w="41"/>
        <w:gridCol w:w="674"/>
        <w:gridCol w:w="267"/>
        <w:gridCol w:w="132"/>
        <w:gridCol w:w="371"/>
        <w:gridCol w:w="11"/>
        <w:gridCol w:w="381"/>
        <w:gridCol w:w="488"/>
        <w:gridCol w:w="143"/>
        <w:gridCol w:w="188"/>
        <w:gridCol w:w="150"/>
        <w:gridCol w:w="292"/>
        <w:gridCol w:w="384"/>
        <w:gridCol w:w="188"/>
        <w:gridCol w:w="314"/>
        <w:gridCol w:w="45"/>
        <w:gridCol w:w="195"/>
        <w:gridCol w:w="198"/>
        <w:gridCol w:w="10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工作内容</w:t>
            </w:r>
          </w:p>
        </w:tc>
        <w:tc>
          <w:tcPr>
            <w:tcW w:w="3909" w:type="pct"/>
            <w:gridSpan w:val="22"/>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完成情况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风险调查</w:t>
            </w:r>
          </w:p>
        </w:tc>
        <w:tc>
          <w:tcPr>
            <w:tcW w:w="853"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危险物质</w:t>
            </w:r>
          </w:p>
        </w:tc>
        <w:tc>
          <w:tcPr>
            <w:tcW w:w="720" w:type="pct"/>
            <w:gridSpan w:val="2"/>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1473" w:type="pct"/>
            <w:gridSpan w:val="9"/>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沼气（甲烷）</w:t>
            </w:r>
          </w:p>
        </w:tc>
        <w:tc>
          <w:tcPr>
            <w:tcW w:w="1716" w:type="pct"/>
            <w:gridSpan w:val="11"/>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养殖废水（COD&gt;10000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continue"/>
            <w:vAlign w:val="center"/>
          </w:tcPr>
          <w:p>
            <w:pPr>
              <w:pStyle w:val="332"/>
              <w:rPr>
                <w:color w:val="000000" w:themeColor="text1"/>
                <w14:textFill>
                  <w14:solidFill>
                    <w14:schemeClr w14:val="tx1"/>
                  </w14:solidFill>
                </w14:textFill>
              </w:rPr>
            </w:pPr>
          </w:p>
        </w:tc>
        <w:tc>
          <w:tcPr>
            <w:tcW w:w="853" w:type="pct"/>
            <w:vMerge w:val="continue"/>
            <w:vAlign w:val="center"/>
          </w:tcPr>
          <w:p>
            <w:pPr>
              <w:pStyle w:val="332"/>
              <w:rPr>
                <w:color w:val="000000" w:themeColor="text1"/>
                <w14:textFill>
                  <w14:solidFill>
                    <w14:schemeClr w14:val="tx1"/>
                  </w14:solidFill>
                </w14:textFill>
              </w:rPr>
            </w:pPr>
          </w:p>
        </w:tc>
        <w:tc>
          <w:tcPr>
            <w:tcW w:w="720"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存在总量/t</w:t>
            </w:r>
          </w:p>
        </w:tc>
        <w:tc>
          <w:tcPr>
            <w:tcW w:w="1473" w:type="pct"/>
            <w:gridSpan w:val="9"/>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1.13</w:t>
            </w:r>
          </w:p>
        </w:tc>
        <w:tc>
          <w:tcPr>
            <w:tcW w:w="1716" w:type="pct"/>
            <w:gridSpan w:val="11"/>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39.84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continue"/>
            <w:vAlign w:val="center"/>
          </w:tcPr>
          <w:p>
            <w:pPr>
              <w:pStyle w:val="332"/>
              <w:rPr>
                <w:color w:val="000000" w:themeColor="text1"/>
                <w14:textFill>
                  <w14:solidFill>
                    <w14:schemeClr w14:val="tx1"/>
                  </w14:solidFill>
                </w14:textFill>
              </w:rPr>
            </w:pPr>
          </w:p>
        </w:tc>
        <w:tc>
          <w:tcPr>
            <w:tcW w:w="853"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环境敏感性</w:t>
            </w:r>
          </w:p>
        </w:tc>
        <w:tc>
          <w:tcPr>
            <w:tcW w:w="628"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大气</w:t>
            </w:r>
          </w:p>
        </w:tc>
        <w:tc>
          <w:tcPr>
            <w:tcW w:w="1744" w:type="pct"/>
            <w:gridSpan w:val="1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500m范围内人口数0人</w:t>
            </w:r>
          </w:p>
        </w:tc>
        <w:tc>
          <w:tcPr>
            <w:tcW w:w="1537" w:type="pct"/>
            <w:gridSpan w:val="9"/>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5km范围内人口数＜1万人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continue"/>
            <w:vAlign w:val="center"/>
          </w:tcPr>
          <w:p>
            <w:pPr>
              <w:pStyle w:val="332"/>
              <w:rPr>
                <w:color w:val="000000" w:themeColor="text1"/>
                <w14:textFill>
                  <w14:solidFill>
                    <w14:schemeClr w14:val="tx1"/>
                  </w14:solidFill>
                </w14:textFill>
              </w:rPr>
            </w:pPr>
          </w:p>
        </w:tc>
        <w:tc>
          <w:tcPr>
            <w:tcW w:w="853" w:type="pct"/>
            <w:vMerge w:val="continue"/>
            <w:vAlign w:val="center"/>
          </w:tcPr>
          <w:p>
            <w:pPr>
              <w:pStyle w:val="332"/>
              <w:rPr>
                <w:color w:val="000000" w:themeColor="text1"/>
                <w14:textFill>
                  <w14:solidFill>
                    <w14:schemeClr w14:val="tx1"/>
                  </w14:solidFill>
                </w14:textFill>
              </w:rPr>
            </w:pPr>
          </w:p>
        </w:tc>
        <w:tc>
          <w:tcPr>
            <w:tcW w:w="628" w:type="pct"/>
            <w:vMerge w:val="continue"/>
            <w:vAlign w:val="center"/>
          </w:tcPr>
          <w:p>
            <w:pPr>
              <w:pStyle w:val="332"/>
              <w:rPr>
                <w:color w:val="000000" w:themeColor="text1"/>
                <w14:textFill>
                  <w14:solidFill>
                    <w14:schemeClr w14:val="tx1"/>
                  </w14:solidFill>
                </w14:textFill>
              </w:rPr>
            </w:pPr>
          </w:p>
        </w:tc>
        <w:tc>
          <w:tcPr>
            <w:tcW w:w="2694" w:type="pct"/>
            <w:gridSpan w:val="20"/>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每公里管段周边200 m范围内人口数（最大）</w:t>
            </w:r>
          </w:p>
        </w:tc>
        <w:tc>
          <w:tcPr>
            <w:tcW w:w="58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continue"/>
            <w:vAlign w:val="center"/>
          </w:tcPr>
          <w:p>
            <w:pPr>
              <w:pStyle w:val="332"/>
              <w:rPr>
                <w:color w:val="000000" w:themeColor="text1"/>
                <w14:textFill>
                  <w14:solidFill>
                    <w14:schemeClr w14:val="tx1"/>
                  </w14:solidFill>
                </w14:textFill>
              </w:rPr>
            </w:pPr>
          </w:p>
        </w:tc>
        <w:tc>
          <w:tcPr>
            <w:tcW w:w="853" w:type="pct"/>
            <w:vMerge w:val="continue"/>
            <w:vAlign w:val="center"/>
          </w:tcPr>
          <w:p>
            <w:pPr>
              <w:pStyle w:val="332"/>
              <w:rPr>
                <w:color w:val="000000" w:themeColor="text1"/>
                <w14:textFill>
                  <w14:solidFill>
                    <w14:schemeClr w14:val="tx1"/>
                  </w14:solidFill>
                </w14:textFill>
              </w:rPr>
            </w:pPr>
          </w:p>
        </w:tc>
        <w:tc>
          <w:tcPr>
            <w:tcW w:w="628"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地表水</w:t>
            </w:r>
          </w:p>
        </w:tc>
        <w:tc>
          <w:tcPr>
            <w:tcW w:w="1098" w:type="pct"/>
            <w:gridSpan w:val="8"/>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地表水功能敏感性</w:t>
            </w:r>
          </w:p>
        </w:tc>
        <w:tc>
          <w:tcPr>
            <w:tcW w:w="727"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F1 □</w:t>
            </w:r>
          </w:p>
        </w:tc>
        <w:tc>
          <w:tcPr>
            <w:tcW w:w="763"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F2 □</w:t>
            </w:r>
          </w:p>
        </w:tc>
        <w:tc>
          <w:tcPr>
            <w:tcW w:w="693"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F3 </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continue"/>
            <w:vAlign w:val="center"/>
          </w:tcPr>
          <w:p>
            <w:pPr>
              <w:pStyle w:val="332"/>
              <w:rPr>
                <w:color w:val="000000" w:themeColor="text1"/>
                <w14:textFill>
                  <w14:solidFill>
                    <w14:schemeClr w14:val="tx1"/>
                  </w14:solidFill>
                </w14:textFill>
              </w:rPr>
            </w:pPr>
          </w:p>
        </w:tc>
        <w:tc>
          <w:tcPr>
            <w:tcW w:w="853" w:type="pct"/>
            <w:vMerge w:val="continue"/>
            <w:vAlign w:val="center"/>
          </w:tcPr>
          <w:p>
            <w:pPr>
              <w:pStyle w:val="332"/>
              <w:rPr>
                <w:color w:val="000000" w:themeColor="text1"/>
                <w14:textFill>
                  <w14:solidFill>
                    <w14:schemeClr w14:val="tx1"/>
                  </w14:solidFill>
                </w14:textFill>
              </w:rPr>
            </w:pPr>
          </w:p>
        </w:tc>
        <w:tc>
          <w:tcPr>
            <w:tcW w:w="628" w:type="pct"/>
            <w:vMerge w:val="continue"/>
            <w:vAlign w:val="center"/>
          </w:tcPr>
          <w:p>
            <w:pPr>
              <w:pStyle w:val="332"/>
              <w:rPr>
                <w:color w:val="000000" w:themeColor="text1"/>
                <w14:textFill>
                  <w14:solidFill>
                    <w14:schemeClr w14:val="tx1"/>
                  </w14:solidFill>
                </w14:textFill>
              </w:rPr>
            </w:pPr>
          </w:p>
        </w:tc>
        <w:tc>
          <w:tcPr>
            <w:tcW w:w="1098" w:type="pct"/>
            <w:gridSpan w:val="8"/>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环境敏感目标分级</w:t>
            </w:r>
          </w:p>
        </w:tc>
        <w:tc>
          <w:tcPr>
            <w:tcW w:w="727"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S1 □</w:t>
            </w:r>
          </w:p>
        </w:tc>
        <w:tc>
          <w:tcPr>
            <w:tcW w:w="763"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S2 □</w:t>
            </w:r>
          </w:p>
        </w:tc>
        <w:tc>
          <w:tcPr>
            <w:tcW w:w="693"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S3</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continue"/>
            <w:vAlign w:val="center"/>
          </w:tcPr>
          <w:p>
            <w:pPr>
              <w:pStyle w:val="332"/>
              <w:rPr>
                <w:color w:val="000000" w:themeColor="text1"/>
                <w14:textFill>
                  <w14:solidFill>
                    <w14:schemeClr w14:val="tx1"/>
                  </w14:solidFill>
                </w14:textFill>
              </w:rPr>
            </w:pPr>
          </w:p>
        </w:tc>
        <w:tc>
          <w:tcPr>
            <w:tcW w:w="853" w:type="pct"/>
            <w:vMerge w:val="continue"/>
            <w:vAlign w:val="center"/>
          </w:tcPr>
          <w:p>
            <w:pPr>
              <w:pStyle w:val="332"/>
              <w:rPr>
                <w:color w:val="000000" w:themeColor="text1"/>
                <w14:textFill>
                  <w14:solidFill>
                    <w14:schemeClr w14:val="tx1"/>
                  </w14:solidFill>
                </w14:textFill>
              </w:rPr>
            </w:pPr>
          </w:p>
        </w:tc>
        <w:tc>
          <w:tcPr>
            <w:tcW w:w="628"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1098" w:type="pct"/>
            <w:gridSpan w:val="8"/>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地下水功能敏感性</w:t>
            </w:r>
          </w:p>
        </w:tc>
        <w:tc>
          <w:tcPr>
            <w:tcW w:w="727"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G1 □</w:t>
            </w:r>
          </w:p>
        </w:tc>
        <w:tc>
          <w:tcPr>
            <w:tcW w:w="763"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G2 </w:t>
            </w:r>
            <w:r>
              <w:rPr>
                <w:color w:val="000000" w:themeColor="text1"/>
                <w14:textFill>
                  <w14:solidFill>
                    <w14:schemeClr w14:val="tx1"/>
                  </w14:solidFill>
                </w14:textFill>
              </w:rPr>
              <w:sym w:font="Wingdings 2" w:char="0052"/>
            </w:r>
          </w:p>
        </w:tc>
        <w:tc>
          <w:tcPr>
            <w:tcW w:w="693"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G3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continue"/>
            <w:vAlign w:val="center"/>
          </w:tcPr>
          <w:p>
            <w:pPr>
              <w:pStyle w:val="332"/>
              <w:rPr>
                <w:color w:val="000000" w:themeColor="text1"/>
                <w14:textFill>
                  <w14:solidFill>
                    <w14:schemeClr w14:val="tx1"/>
                  </w14:solidFill>
                </w14:textFill>
              </w:rPr>
            </w:pPr>
          </w:p>
        </w:tc>
        <w:tc>
          <w:tcPr>
            <w:tcW w:w="853" w:type="pct"/>
            <w:vMerge w:val="continue"/>
            <w:vAlign w:val="center"/>
          </w:tcPr>
          <w:p>
            <w:pPr>
              <w:pStyle w:val="332"/>
              <w:rPr>
                <w:color w:val="000000" w:themeColor="text1"/>
                <w14:textFill>
                  <w14:solidFill>
                    <w14:schemeClr w14:val="tx1"/>
                  </w14:solidFill>
                </w14:textFill>
              </w:rPr>
            </w:pPr>
          </w:p>
        </w:tc>
        <w:tc>
          <w:tcPr>
            <w:tcW w:w="628" w:type="pct"/>
            <w:vMerge w:val="continue"/>
            <w:vAlign w:val="center"/>
          </w:tcPr>
          <w:p>
            <w:pPr>
              <w:pStyle w:val="332"/>
              <w:rPr>
                <w:color w:val="000000" w:themeColor="text1"/>
                <w14:textFill>
                  <w14:solidFill>
                    <w14:schemeClr w14:val="tx1"/>
                  </w14:solidFill>
                </w14:textFill>
              </w:rPr>
            </w:pPr>
          </w:p>
        </w:tc>
        <w:tc>
          <w:tcPr>
            <w:tcW w:w="1098" w:type="pct"/>
            <w:gridSpan w:val="8"/>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包气带防污性能</w:t>
            </w:r>
          </w:p>
        </w:tc>
        <w:tc>
          <w:tcPr>
            <w:tcW w:w="727"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D1 □</w:t>
            </w:r>
          </w:p>
        </w:tc>
        <w:tc>
          <w:tcPr>
            <w:tcW w:w="763"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D2 </w:t>
            </w:r>
            <w:r>
              <w:rPr>
                <w:color w:val="000000" w:themeColor="text1"/>
                <w14:textFill>
                  <w14:solidFill>
                    <w14:schemeClr w14:val="tx1"/>
                  </w14:solidFill>
                </w14:textFill>
              </w:rPr>
              <w:sym w:font="Wingdings 2" w:char="0052"/>
            </w:r>
          </w:p>
        </w:tc>
        <w:tc>
          <w:tcPr>
            <w:tcW w:w="693"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D3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物质及工艺系统</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危险性</w:t>
            </w:r>
          </w:p>
        </w:tc>
        <w:tc>
          <w:tcPr>
            <w:tcW w:w="62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Q值</w:t>
            </w:r>
          </w:p>
        </w:tc>
        <w:tc>
          <w:tcPr>
            <w:tcW w:w="821"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Q＜1□</w:t>
            </w:r>
          </w:p>
        </w:tc>
        <w:tc>
          <w:tcPr>
            <w:tcW w:w="822"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1≤Q＜10</w:t>
            </w:r>
            <w:r>
              <w:rPr>
                <w:color w:val="000000" w:themeColor="text1"/>
                <w14:textFill>
                  <w14:solidFill>
                    <w14:schemeClr w14:val="tx1"/>
                  </w14:solidFill>
                </w14:textFill>
              </w:rPr>
              <w:sym w:font="Wingdings 2" w:char="0052"/>
            </w:r>
          </w:p>
        </w:tc>
        <w:tc>
          <w:tcPr>
            <w:tcW w:w="816"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10≤Q＜100□</w:t>
            </w:r>
          </w:p>
        </w:tc>
        <w:tc>
          <w:tcPr>
            <w:tcW w:w="821" w:type="pct"/>
            <w:gridSpan w:val="4"/>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Q＞100□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vMerge w:val="continue"/>
            <w:vAlign w:val="center"/>
          </w:tcPr>
          <w:p>
            <w:pPr>
              <w:pStyle w:val="332"/>
              <w:rPr>
                <w:color w:val="000000" w:themeColor="text1"/>
                <w14:textFill>
                  <w14:solidFill>
                    <w14:schemeClr w14:val="tx1"/>
                  </w14:solidFill>
                </w14:textFill>
              </w:rPr>
            </w:pPr>
          </w:p>
        </w:tc>
        <w:tc>
          <w:tcPr>
            <w:tcW w:w="62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M值</w:t>
            </w:r>
          </w:p>
        </w:tc>
        <w:tc>
          <w:tcPr>
            <w:tcW w:w="821"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M1 □</w:t>
            </w:r>
          </w:p>
        </w:tc>
        <w:tc>
          <w:tcPr>
            <w:tcW w:w="822"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M2 □</w:t>
            </w:r>
          </w:p>
        </w:tc>
        <w:tc>
          <w:tcPr>
            <w:tcW w:w="816"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M3 □</w:t>
            </w:r>
          </w:p>
        </w:tc>
        <w:tc>
          <w:tcPr>
            <w:tcW w:w="821" w:type="pct"/>
            <w:gridSpan w:val="4"/>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M4 </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vMerge w:val="continue"/>
            <w:vAlign w:val="center"/>
          </w:tcPr>
          <w:p>
            <w:pPr>
              <w:pStyle w:val="332"/>
              <w:rPr>
                <w:color w:val="000000" w:themeColor="text1"/>
                <w14:textFill>
                  <w14:solidFill>
                    <w14:schemeClr w14:val="tx1"/>
                  </w14:solidFill>
                </w14:textFill>
              </w:rPr>
            </w:pPr>
          </w:p>
        </w:tc>
        <w:tc>
          <w:tcPr>
            <w:tcW w:w="62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P值</w:t>
            </w:r>
          </w:p>
        </w:tc>
        <w:tc>
          <w:tcPr>
            <w:tcW w:w="821"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P1 □</w:t>
            </w:r>
          </w:p>
        </w:tc>
        <w:tc>
          <w:tcPr>
            <w:tcW w:w="822"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P2 □</w:t>
            </w:r>
          </w:p>
        </w:tc>
        <w:tc>
          <w:tcPr>
            <w:tcW w:w="816"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P3 □</w:t>
            </w:r>
          </w:p>
        </w:tc>
        <w:tc>
          <w:tcPr>
            <w:tcW w:w="821" w:type="pct"/>
            <w:gridSpan w:val="4"/>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P4 </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环境敏感</w:t>
            </w:r>
          </w:p>
          <w:p>
            <w:pPr>
              <w:pStyle w:val="332"/>
              <w:rPr>
                <w:color w:val="000000" w:themeColor="text1"/>
                <w14:textFill>
                  <w14:solidFill>
                    <w14:schemeClr w14:val="tx1"/>
                  </w14:solidFill>
                </w14:textFill>
              </w:rPr>
            </w:pPr>
            <w:r>
              <w:rPr>
                <w:color w:val="000000" w:themeColor="text1"/>
                <w14:textFill>
                  <w14:solidFill>
                    <w14:schemeClr w14:val="tx1"/>
                  </w14:solidFill>
                </w14:textFill>
              </w:rPr>
              <w:t>程度</w:t>
            </w:r>
          </w:p>
        </w:tc>
        <w:tc>
          <w:tcPr>
            <w:tcW w:w="62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大气</w:t>
            </w:r>
          </w:p>
        </w:tc>
        <w:tc>
          <w:tcPr>
            <w:tcW w:w="1092"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E1 □</w:t>
            </w:r>
          </w:p>
        </w:tc>
        <w:tc>
          <w:tcPr>
            <w:tcW w:w="1097" w:type="pct"/>
            <w:gridSpan w:val="8"/>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E2 □</w:t>
            </w:r>
          </w:p>
        </w:tc>
        <w:tc>
          <w:tcPr>
            <w:tcW w:w="1092"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E3 </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vMerge w:val="continue"/>
            <w:vAlign w:val="center"/>
          </w:tcPr>
          <w:p>
            <w:pPr>
              <w:pStyle w:val="332"/>
              <w:rPr>
                <w:color w:val="000000" w:themeColor="text1"/>
                <w14:textFill>
                  <w14:solidFill>
                    <w14:schemeClr w14:val="tx1"/>
                  </w14:solidFill>
                </w14:textFill>
              </w:rPr>
            </w:pPr>
          </w:p>
        </w:tc>
        <w:tc>
          <w:tcPr>
            <w:tcW w:w="62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地表水</w:t>
            </w:r>
          </w:p>
        </w:tc>
        <w:tc>
          <w:tcPr>
            <w:tcW w:w="1092"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E1 □</w:t>
            </w:r>
          </w:p>
        </w:tc>
        <w:tc>
          <w:tcPr>
            <w:tcW w:w="1097" w:type="pct"/>
            <w:gridSpan w:val="8"/>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E2 □</w:t>
            </w:r>
          </w:p>
        </w:tc>
        <w:tc>
          <w:tcPr>
            <w:tcW w:w="1092"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E3 </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vMerge w:val="continue"/>
            <w:vAlign w:val="center"/>
          </w:tcPr>
          <w:p>
            <w:pPr>
              <w:pStyle w:val="332"/>
              <w:rPr>
                <w:color w:val="000000" w:themeColor="text1"/>
                <w14:textFill>
                  <w14:solidFill>
                    <w14:schemeClr w14:val="tx1"/>
                  </w14:solidFill>
                </w14:textFill>
              </w:rPr>
            </w:pPr>
          </w:p>
        </w:tc>
        <w:tc>
          <w:tcPr>
            <w:tcW w:w="62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1092"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E1 □</w:t>
            </w:r>
          </w:p>
        </w:tc>
        <w:tc>
          <w:tcPr>
            <w:tcW w:w="1097" w:type="pct"/>
            <w:gridSpan w:val="8"/>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E2 </w:t>
            </w:r>
            <w:r>
              <w:rPr>
                <w:color w:val="000000" w:themeColor="text1"/>
                <w14:textFill>
                  <w14:solidFill>
                    <w14:schemeClr w14:val="tx1"/>
                  </w14:solidFill>
                </w14:textFill>
              </w:rPr>
              <w:sym w:font="Wingdings 2" w:char="0052"/>
            </w:r>
          </w:p>
        </w:tc>
        <w:tc>
          <w:tcPr>
            <w:tcW w:w="1092"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E3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环境风险潜势</w:t>
            </w:r>
          </w:p>
        </w:tc>
        <w:tc>
          <w:tcPr>
            <w:tcW w:w="720"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Ⅳ</w:t>
            </w:r>
            <w:r>
              <w:rPr>
                <w:color w:val="000000" w:themeColor="text1"/>
                <w:vertAlign w:val="superscript"/>
                <w14:textFill>
                  <w14:solidFill>
                    <w14:schemeClr w14:val="tx1"/>
                  </w14:solidFill>
                </w14:textFill>
              </w:rPr>
              <w:t xml:space="preserve">+ </w:t>
            </w:r>
            <w:r>
              <w:rPr>
                <w:color w:val="000000" w:themeColor="text1"/>
                <w14:textFill>
                  <w14:solidFill>
                    <w14:schemeClr w14:val="tx1"/>
                  </w14:solidFill>
                </w14:textFill>
              </w:rPr>
              <w:t>□</w:t>
            </w:r>
          </w:p>
        </w:tc>
        <w:tc>
          <w:tcPr>
            <w:tcW w:w="800"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Ⅳ □</w:t>
            </w:r>
          </w:p>
        </w:tc>
        <w:tc>
          <w:tcPr>
            <w:tcW w:w="674" w:type="pct"/>
            <w:gridSpan w:val="4"/>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Ⅲ □</w:t>
            </w:r>
          </w:p>
        </w:tc>
        <w:tc>
          <w:tcPr>
            <w:tcW w:w="917" w:type="pct"/>
            <w:gridSpan w:val="8"/>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Ⅱ</w:t>
            </w:r>
            <w:r>
              <w:rPr>
                <w:color w:val="000000" w:themeColor="text1"/>
                <w14:textFill>
                  <w14:solidFill>
                    <w14:schemeClr w14:val="tx1"/>
                  </w14:solidFill>
                </w14:textFill>
              </w:rPr>
              <w:sym w:font="Wingdings 2" w:char="0052"/>
            </w:r>
          </w:p>
        </w:tc>
        <w:tc>
          <w:tcPr>
            <w:tcW w:w="798"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I </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评价等级</w:t>
            </w:r>
          </w:p>
        </w:tc>
        <w:tc>
          <w:tcPr>
            <w:tcW w:w="920" w:type="pct"/>
            <w:gridSpan w:val="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一级 □</w:t>
            </w:r>
          </w:p>
        </w:tc>
        <w:tc>
          <w:tcPr>
            <w:tcW w:w="806"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二级 □</w:t>
            </w:r>
          </w:p>
        </w:tc>
        <w:tc>
          <w:tcPr>
            <w:tcW w:w="1091"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三级 </w:t>
            </w:r>
            <w:r>
              <w:rPr>
                <w:color w:val="000000" w:themeColor="text1"/>
                <w14:textFill>
                  <w14:solidFill>
                    <w14:schemeClr w14:val="tx1"/>
                  </w14:solidFill>
                </w14:textFill>
              </w:rPr>
              <w:sym w:font="Wingdings 2" w:char="0052"/>
            </w:r>
          </w:p>
        </w:tc>
        <w:tc>
          <w:tcPr>
            <w:tcW w:w="1092"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简单分析□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风</w:t>
            </w:r>
          </w:p>
          <w:p>
            <w:pPr>
              <w:pStyle w:val="332"/>
              <w:rPr>
                <w:color w:val="000000" w:themeColor="text1"/>
                <w14:textFill>
                  <w14:solidFill>
                    <w14:schemeClr w14:val="tx1"/>
                  </w14:solidFill>
                </w14:textFill>
              </w:rPr>
            </w:pPr>
            <w:r>
              <w:rPr>
                <w:color w:val="000000" w:themeColor="text1"/>
                <w14:textFill>
                  <w14:solidFill>
                    <w14:schemeClr w14:val="tx1"/>
                  </w14:solidFill>
                </w14:textFill>
              </w:rPr>
              <w:t>险</w:t>
            </w:r>
          </w:p>
          <w:p>
            <w:pPr>
              <w:pStyle w:val="332"/>
              <w:rPr>
                <w:color w:val="000000" w:themeColor="text1"/>
                <w14:textFill>
                  <w14:solidFill>
                    <w14:schemeClr w14:val="tx1"/>
                  </w14:solidFill>
                </w14:textFill>
              </w:rPr>
            </w:pPr>
            <w:r>
              <w:rPr>
                <w:color w:val="000000" w:themeColor="text1"/>
                <w14:textFill>
                  <w14:solidFill>
                    <w14:schemeClr w14:val="tx1"/>
                  </w14:solidFill>
                </w14:textFill>
              </w:rPr>
              <w:t>识</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别</w:t>
            </w:r>
          </w:p>
        </w:tc>
        <w:tc>
          <w:tcPr>
            <w:tcW w:w="85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物质危险性</w:t>
            </w:r>
          </w:p>
        </w:tc>
        <w:tc>
          <w:tcPr>
            <w:tcW w:w="1726" w:type="pct"/>
            <w:gridSpan w:val="9"/>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有毒有害 </w:t>
            </w:r>
            <w:r>
              <w:rPr>
                <w:color w:val="000000" w:themeColor="text1"/>
                <w14:textFill>
                  <w14:solidFill>
                    <w14:schemeClr w14:val="tx1"/>
                  </w14:solidFill>
                </w14:textFill>
              </w:rPr>
              <w:sym w:font="Wingdings 2" w:char="00A3"/>
            </w:r>
          </w:p>
        </w:tc>
        <w:tc>
          <w:tcPr>
            <w:tcW w:w="2183" w:type="pct"/>
            <w:gridSpan w:val="1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易燃易爆 </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continue"/>
            <w:vAlign w:val="center"/>
          </w:tcPr>
          <w:p>
            <w:pPr>
              <w:pStyle w:val="332"/>
              <w:rPr>
                <w:color w:val="000000" w:themeColor="text1"/>
                <w14:textFill>
                  <w14:solidFill>
                    <w14:schemeClr w14:val="tx1"/>
                  </w14:solidFill>
                </w14:textFill>
              </w:rPr>
            </w:pPr>
          </w:p>
        </w:tc>
        <w:tc>
          <w:tcPr>
            <w:tcW w:w="85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环境风险类型</w:t>
            </w:r>
          </w:p>
        </w:tc>
        <w:tc>
          <w:tcPr>
            <w:tcW w:w="1726" w:type="pct"/>
            <w:gridSpan w:val="9"/>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泄漏 </w:t>
            </w:r>
            <w:r>
              <w:rPr>
                <w:color w:val="000000" w:themeColor="text1"/>
                <w14:textFill>
                  <w14:solidFill>
                    <w14:schemeClr w14:val="tx1"/>
                  </w14:solidFill>
                </w14:textFill>
              </w:rPr>
              <w:sym w:font="Wingdings 2" w:char="0052"/>
            </w:r>
            <w:r>
              <w:rPr>
                <w:color w:val="000000" w:themeColor="text1"/>
                <w14:textFill>
                  <w14:solidFill>
                    <w14:schemeClr w14:val="tx1"/>
                  </w14:solidFill>
                </w14:textFill>
              </w:rPr>
              <w:t xml:space="preserve"> </w:t>
            </w:r>
          </w:p>
        </w:tc>
        <w:tc>
          <w:tcPr>
            <w:tcW w:w="2183" w:type="pct"/>
            <w:gridSpan w:val="13"/>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火灾、爆炸引发伴生/次生污染物排放 </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continue"/>
            <w:vAlign w:val="center"/>
          </w:tcPr>
          <w:p>
            <w:pPr>
              <w:pStyle w:val="332"/>
              <w:rPr>
                <w:color w:val="000000" w:themeColor="text1"/>
                <w14:textFill>
                  <w14:solidFill>
                    <w14:schemeClr w14:val="tx1"/>
                  </w14:solidFill>
                </w14:textFill>
              </w:rPr>
            </w:pPr>
          </w:p>
        </w:tc>
        <w:tc>
          <w:tcPr>
            <w:tcW w:w="85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影响途径</w:t>
            </w:r>
          </w:p>
        </w:tc>
        <w:tc>
          <w:tcPr>
            <w:tcW w:w="1305"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大气 </w:t>
            </w:r>
            <w:r>
              <w:rPr>
                <w:color w:val="000000" w:themeColor="text1"/>
                <w14:textFill>
                  <w14:solidFill>
                    <w14:schemeClr w14:val="tx1"/>
                  </w14:solidFill>
                </w14:textFill>
              </w:rPr>
              <w:sym w:font="Wingdings 2" w:char="0052"/>
            </w:r>
          </w:p>
        </w:tc>
        <w:tc>
          <w:tcPr>
            <w:tcW w:w="1305" w:type="pct"/>
            <w:gridSpan w:val="10"/>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地表水 </w:t>
            </w:r>
            <w:r>
              <w:rPr>
                <w:color w:val="000000" w:themeColor="text1"/>
                <w14:textFill>
                  <w14:solidFill>
                    <w14:schemeClr w14:val="tx1"/>
                  </w14:solidFill>
                </w14:textFill>
              </w:rPr>
              <w:sym w:font="Wingdings 2" w:char="0052"/>
            </w:r>
          </w:p>
        </w:tc>
        <w:tc>
          <w:tcPr>
            <w:tcW w:w="1299"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地下水 </w:t>
            </w:r>
            <w:r>
              <w:rPr>
                <w:color w:val="000000" w:themeColor="text1"/>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事故情形分析 </w:t>
            </w:r>
          </w:p>
        </w:tc>
        <w:tc>
          <w:tcPr>
            <w:tcW w:w="942" w:type="pct"/>
            <w:gridSpan w:val="4"/>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源强设定方法</w:t>
            </w:r>
          </w:p>
        </w:tc>
        <w:tc>
          <w:tcPr>
            <w:tcW w:w="989"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计算法 □</w:t>
            </w:r>
          </w:p>
        </w:tc>
        <w:tc>
          <w:tcPr>
            <w:tcW w:w="987"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 xml:space="preserve">经验估算法 </w:t>
            </w:r>
            <w:r>
              <w:rPr>
                <w:color w:val="000000" w:themeColor="text1"/>
                <w14:textFill>
                  <w14:solidFill>
                    <w14:schemeClr w14:val="tx1"/>
                  </w14:solidFill>
                </w14:textFill>
              </w:rPr>
              <w:sym w:font="Wingdings 2" w:char="00A3"/>
            </w:r>
          </w:p>
        </w:tc>
        <w:tc>
          <w:tcPr>
            <w:tcW w:w="991"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其他估算法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风险预测与评价</w:t>
            </w:r>
          </w:p>
        </w:tc>
        <w:tc>
          <w:tcPr>
            <w:tcW w:w="853"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大气</w:t>
            </w:r>
          </w:p>
        </w:tc>
        <w:tc>
          <w:tcPr>
            <w:tcW w:w="942" w:type="pct"/>
            <w:gridSpan w:val="4"/>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预测模型</w:t>
            </w:r>
          </w:p>
        </w:tc>
        <w:tc>
          <w:tcPr>
            <w:tcW w:w="989" w:type="pct"/>
            <w:gridSpan w:val="6"/>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SLAB □</w:t>
            </w:r>
          </w:p>
        </w:tc>
        <w:tc>
          <w:tcPr>
            <w:tcW w:w="987" w:type="pct"/>
            <w:gridSpan w:val="7"/>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AFTOX □</w:t>
            </w:r>
          </w:p>
        </w:tc>
        <w:tc>
          <w:tcPr>
            <w:tcW w:w="991" w:type="pct"/>
            <w:gridSpan w:val="5"/>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continue"/>
            <w:vAlign w:val="center"/>
          </w:tcPr>
          <w:p>
            <w:pPr>
              <w:pStyle w:val="332"/>
              <w:rPr>
                <w:color w:val="000000" w:themeColor="text1"/>
                <w14:textFill>
                  <w14:solidFill>
                    <w14:schemeClr w14:val="tx1"/>
                  </w14:solidFill>
                </w14:textFill>
              </w:rPr>
            </w:pPr>
          </w:p>
        </w:tc>
        <w:tc>
          <w:tcPr>
            <w:tcW w:w="853" w:type="pct"/>
            <w:vMerge w:val="continue"/>
            <w:vAlign w:val="center"/>
          </w:tcPr>
          <w:p>
            <w:pPr>
              <w:pStyle w:val="332"/>
              <w:rPr>
                <w:color w:val="000000" w:themeColor="text1"/>
                <w14:textFill>
                  <w14:solidFill>
                    <w14:schemeClr w14:val="tx1"/>
                  </w14:solidFill>
                </w14:textFill>
              </w:rPr>
            </w:pPr>
          </w:p>
        </w:tc>
        <w:tc>
          <w:tcPr>
            <w:tcW w:w="942" w:type="pct"/>
            <w:gridSpan w:val="4"/>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预测结果</w:t>
            </w:r>
          </w:p>
        </w:tc>
        <w:tc>
          <w:tcPr>
            <w:tcW w:w="2966" w:type="pct"/>
            <w:gridSpan w:val="18"/>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大气毒性终点浓度-1 最大影响范围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continue"/>
            <w:vAlign w:val="center"/>
          </w:tcPr>
          <w:p>
            <w:pPr>
              <w:pStyle w:val="332"/>
              <w:rPr>
                <w:color w:val="000000" w:themeColor="text1"/>
                <w14:textFill>
                  <w14:solidFill>
                    <w14:schemeClr w14:val="tx1"/>
                  </w14:solidFill>
                </w14:textFill>
              </w:rPr>
            </w:pPr>
          </w:p>
        </w:tc>
        <w:tc>
          <w:tcPr>
            <w:tcW w:w="853" w:type="pct"/>
            <w:vMerge w:val="continue"/>
            <w:vAlign w:val="center"/>
          </w:tcPr>
          <w:p>
            <w:pPr>
              <w:pStyle w:val="332"/>
              <w:rPr>
                <w:color w:val="000000" w:themeColor="text1"/>
                <w14:textFill>
                  <w14:solidFill>
                    <w14:schemeClr w14:val="tx1"/>
                  </w14:solidFill>
                </w14:textFill>
              </w:rPr>
            </w:pPr>
          </w:p>
        </w:tc>
        <w:tc>
          <w:tcPr>
            <w:tcW w:w="942" w:type="pct"/>
            <w:gridSpan w:val="4"/>
            <w:vMerge w:val="continue"/>
            <w:vAlign w:val="center"/>
          </w:tcPr>
          <w:p>
            <w:pPr>
              <w:pStyle w:val="332"/>
              <w:rPr>
                <w:color w:val="000000" w:themeColor="text1"/>
                <w14:textFill>
                  <w14:solidFill>
                    <w14:schemeClr w14:val="tx1"/>
                  </w14:solidFill>
                </w14:textFill>
              </w:rPr>
            </w:pPr>
          </w:p>
        </w:tc>
        <w:tc>
          <w:tcPr>
            <w:tcW w:w="2966" w:type="pct"/>
            <w:gridSpan w:val="18"/>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大气毒性终点浓度-2 最大影响范围     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continue"/>
            <w:vAlign w:val="center"/>
          </w:tcPr>
          <w:p>
            <w:pPr>
              <w:pStyle w:val="332"/>
              <w:rPr>
                <w:color w:val="000000" w:themeColor="text1"/>
                <w14:textFill>
                  <w14:solidFill>
                    <w14:schemeClr w14:val="tx1"/>
                  </w14:solidFill>
                </w14:textFill>
              </w:rPr>
            </w:pPr>
          </w:p>
        </w:tc>
        <w:tc>
          <w:tcPr>
            <w:tcW w:w="85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地表水</w:t>
            </w:r>
          </w:p>
        </w:tc>
        <w:tc>
          <w:tcPr>
            <w:tcW w:w="3909" w:type="pct"/>
            <w:gridSpan w:val="2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最近环境敏感目标      ，到达时间      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continue"/>
            <w:vAlign w:val="center"/>
          </w:tcPr>
          <w:p>
            <w:pPr>
              <w:pStyle w:val="332"/>
              <w:rPr>
                <w:color w:val="000000" w:themeColor="text1"/>
                <w14:textFill>
                  <w14:solidFill>
                    <w14:schemeClr w14:val="tx1"/>
                  </w14:solidFill>
                </w14:textFill>
              </w:rPr>
            </w:pPr>
          </w:p>
        </w:tc>
        <w:tc>
          <w:tcPr>
            <w:tcW w:w="853"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3909" w:type="pct"/>
            <w:gridSpan w:val="2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下游厂区边界到达时间      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8" w:type="pct"/>
            <w:vMerge w:val="continue"/>
            <w:vAlign w:val="center"/>
          </w:tcPr>
          <w:p>
            <w:pPr>
              <w:pStyle w:val="332"/>
              <w:rPr>
                <w:color w:val="000000" w:themeColor="text1"/>
                <w14:textFill>
                  <w14:solidFill>
                    <w14:schemeClr w14:val="tx1"/>
                  </w14:solidFill>
                </w14:textFill>
              </w:rPr>
            </w:pPr>
          </w:p>
        </w:tc>
        <w:tc>
          <w:tcPr>
            <w:tcW w:w="853" w:type="pct"/>
            <w:vMerge w:val="continue"/>
            <w:vAlign w:val="center"/>
          </w:tcPr>
          <w:p>
            <w:pPr>
              <w:pStyle w:val="332"/>
              <w:rPr>
                <w:color w:val="000000" w:themeColor="text1"/>
                <w14:textFill>
                  <w14:solidFill>
                    <w14:schemeClr w14:val="tx1"/>
                  </w14:solidFill>
                </w14:textFill>
              </w:rPr>
            </w:pPr>
          </w:p>
        </w:tc>
        <w:tc>
          <w:tcPr>
            <w:tcW w:w="3909" w:type="pct"/>
            <w:gridSpan w:val="2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最近环境敏感目标      ，到达时间      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重点风险防范措施</w:t>
            </w:r>
          </w:p>
        </w:tc>
        <w:tc>
          <w:tcPr>
            <w:tcW w:w="3909" w:type="pct"/>
            <w:gridSpan w:val="22"/>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黑膜沼气池、沼液暂存池、事故池及收集管道均采取防渗措施，定期巡查检修；场内建设1座事故池。合理设置管道阀门，在出现破裂时，能及时通过阀门控制泄漏量。严禁火源进入治污区，对明火严格控制，在黑膜沼气池附近20m内不准有明火。按要求编制突发环境事件应急预案，定期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评价结论与建议</w:t>
            </w:r>
          </w:p>
        </w:tc>
        <w:tc>
          <w:tcPr>
            <w:tcW w:w="3909" w:type="pct"/>
            <w:gridSpan w:val="22"/>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环境风险可接受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24"/>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注：“□”为勾选项，“ ”为填写项。</w:t>
            </w:r>
          </w:p>
        </w:tc>
      </w:tr>
    </w:tbl>
    <w:p>
      <w:pPr>
        <w:ind w:firstLine="480"/>
        <w:rPr>
          <w:rFonts w:cs="Times New Roman"/>
          <w:color w:val="000000" w:themeColor="text1"/>
          <w14:textFill>
            <w14:solidFill>
              <w14:schemeClr w14:val="tx1"/>
            </w14:solidFill>
          </w14:textFill>
        </w:rPr>
        <w:sectPr>
          <w:pgSz w:w="11907" w:h="16840"/>
          <w:pgMar w:top="1531" w:right="1418" w:bottom="1531" w:left="1418" w:header="851" w:footer="992" w:gutter="0"/>
          <w:pgNumType w:fmt="numberInDash"/>
          <w:cols w:space="720" w:num="1"/>
          <w:docGrid w:linePitch="312" w:charSpace="0"/>
        </w:sectPr>
      </w:pPr>
    </w:p>
    <w:p>
      <w:pPr>
        <w:pStyle w:val="2"/>
        <w:spacing w:before="240" w:after="120"/>
        <w:rPr>
          <w:rFonts w:cs="Times New Roman"/>
          <w:color w:val="000000" w:themeColor="text1"/>
          <w14:textFill>
            <w14:solidFill>
              <w14:schemeClr w14:val="tx1"/>
            </w14:solidFill>
          </w14:textFill>
        </w:rPr>
      </w:pPr>
      <w:bookmarkStart w:id="614" w:name="_Toc91163962"/>
      <w:r>
        <w:rPr>
          <w:rFonts w:cs="Times New Roman"/>
          <w:color w:val="000000" w:themeColor="text1"/>
          <w14:textFill>
            <w14:solidFill>
              <w14:schemeClr w14:val="tx1"/>
            </w14:solidFill>
          </w14:textFill>
        </w:rPr>
        <w:t>第六章 环境保护措施及其可行性论证</w:t>
      </w:r>
      <w:bookmarkEnd w:id="582"/>
      <w:bookmarkEnd w:id="583"/>
      <w:bookmarkEnd w:id="584"/>
      <w:bookmarkEnd w:id="585"/>
      <w:bookmarkEnd w:id="586"/>
      <w:bookmarkEnd w:id="587"/>
      <w:bookmarkEnd w:id="588"/>
      <w:bookmarkEnd w:id="614"/>
    </w:p>
    <w:p>
      <w:pPr>
        <w:pStyle w:val="3"/>
        <w:spacing w:before="120" w:after="120"/>
        <w:rPr>
          <w:rFonts w:cs="Times New Roman"/>
          <w:color w:val="000000" w:themeColor="text1"/>
          <w14:textFill>
            <w14:solidFill>
              <w14:schemeClr w14:val="tx1"/>
            </w14:solidFill>
          </w14:textFill>
        </w:rPr>
      </w:pPr>
      <w:bookmarkStart w:id="615" w:name="_Toc52791952"/>
      <w:bookmarkStart w:id="616" w:name="_Toc47619481"/>
      <w:bookmarkStart w:id="617" w:name="_Toc47620084"/>
      <w:bookmarkStart w:id="618" w:name="_Toc47619898"/>
      <w:bookmarkStart w:id="619" w:name="_Toc47619236"/>
      <w:bookmarkStart w:id="620" w:name="_Toc91163963"/>
      <w:bookmarkStart w:id="621" w:name="_Toc47619375"/>
      <w:bookmarkStart w:id="622" w:name="_Toc58362858"/>
      <w:r>
        <w:rPr>
          <w:rFonts w:cs="Times New Roman"/>
          <w:color w:val="000000" w:themeColor="text1"/>
          <w14:textFill>
            <w14:solidFill>
              <w14:schemeClr w14:val="tx1"/>
            </w14:solidFill>
          </w14:textFill>
        </w:rPr>
        <w:t>6.1  施工期污染防治措施</w:t>
      </w:r>
      <w:bookmarkEnd w:id="615"/>
      <w:bookmarkEnd w:id="616"/>
      <w:bookmarkEnd w:id="617"/>
      <w:bookmarkEnd w:id="618"/>
      <w:bookmarkEnd w:id="619"/>
      <w:bookmarkEnd w:id="620"/>
      <w:bookmarkEnd w:id="621"/>
      <w:bookmarkEnd w:id="622"/>
    </w:p>
    <w:p>
      <w:pPr>
        <w:pStyle w:val="4"/>
        <w:rPr>
          <w:rFonts w:cs="Times New Roman"/>
          <w:color w:val="000000" w:themeColor="text1"/>
          <w14:textFill>
            <w14:solidFill>
              <w14:schemeClr w14:val="tx1"/>
            </w14:solidFill>
          </w14:textFill>
        </w:rPr>
      </w:pPr>
      <w:bookmarkStart w:id="623" w:name="_Toc91163964"/>
      <w:bookmarkStart w:id="624" w:name="_Toc47620085"/>
      <w:bookmarkStart w:id="625" w:name="_Toc58362859"/>
      <w:bookmarkStart w:id="626" w:name="_Toc52791953"/>
      <w:bookmarkStart w:id="627" w:name="_Toc47619899"/>
      <w:bookmarkStart w:id="628" w:name="_Toc47619237"/>
      <w:r>
        <w:rPr>
          <w:rFonts w:cs="Times New Roman"/>
          <w:color w:val="000000" w:themeColor="text1"/>
          <w14:textFill>
            <w14:solidFill>
              <w14:schemeClr w14:val="tx1"/>
            </w14:solidFill>
          </w14:textFill>
        </w:rPr>
        <w:t>6.1.1 大气污染防治措施</w:t>
      </w:r>
      <w:bookmarkEnd w:id="623"/>
      <w:bookmarkEnd w:id="624"/>
      <w:bookmarkEnd w:id="625"/>
      <w:bookmarkEnd w:id="626"/>
      <w:bookmarkEnd w:id="627"/>
      <w:bookmarkEnd w:id="628"/>
    </w:p>
    <w:p>
      <w:pPr>
        <w:ind w:firstLine="480"/>
        <w:rPr>
          <w:rFonts w:cs="Times New Roman"/>
          <w:color w:val="000000" w:themeColor="text1"/>
          <w14:textFill>
            <w14:solidFill>
              <w14:schemeClr w14:val="tx1"/>
            </w14:solidFill>
          </w14:textFill>
        </w:rPr>
      </w:pPr>
      <w:bookmarkStart w:id="629" w:name="_Toc52791954"/>
      <w:bookmarkStart w:id="630" w:name="_Toc58362860"/>
      <w:bookmarkStart w:id="631" w:name="_Toc47619900"/>
      <w:bookmarkStart w:id="632" w:name="_Toc47620086"/>
      <w:bookmarkStart w:id="633" w:name="_Toc47619238"/>
      <w:r>
        <w:rPr>
          <w:rFonts w:cs="Times New Roman"/>
          <w:color w:val="000000" w:themeColor="text1"/>
          <w14:textFill>
            <w14:solidFill>
              <w14:schemeClr w14:val="tx1"/>
            </w14:solidFill>
          </w14:textFill>
        </w:rPr>
        <w:t>根据《中华人民共和国大气污染防治法》和“发关于印发山西省打赢蓝天保卫战2020年决战计划的通知”，施工期扬尘污染防治措施具体如下：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施工工地各种工业料堆及固体废弃物堆场由于堆积、装卸、传送以及风蚀作用等会造成一定的扬尘，故在施工过程中应及时清运，定期洒水，遮盖蓬布等措施进行抑尘，其抑尘效率可达75%，大大减少扬尘污染对大气环境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2）当施工过程中遇到干燥、易起尘的工程作业时，应洒水抑尘，尽量缩短起尘操作时间，遇到风力较大天气时应停止作业。</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3）进出工地的运输车辆应尽可能采用密闭车斗，保证物料不遗撒外漏；当车辆无密闭车斗时，装载高度不得超过车辆槽帮上沿，并用蓬布遮盖；运输车辆应严格按照规定的行车路线和时间进行物料的输送。</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4）施工期间的工地内及出口处铺设钢板、水泥混凝土、细石等，并配以洒水、道路清扫等措施保证路面清洁，减少车辆行驶过程的道路扬尘。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禁止施工现场搅拌混凝土，全部采用预拌商品混凝土。临时料场应分别布置在各期工程施工范围内，施工过程中划定固定区域，禁止随意堆放，使用过程中对料场进行及时覆盖，使用完成后对料场进行及时地清理和恢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6）施工出口处置清除车轮泥土的设备，确保车辆不带泥土驶出工地。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7）施工物料运输车辆必须按照交通部门核准的运输路线和时间运行，本项目建设单位有责任对运输车辆的线路进行监督，不得图便利自行选择其他线路。</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8）沼液输送管道采用大开挖方式，开挖深度约1.5 m，宽度约0.5 m，管沟开挖时应将挖出的土方堆放到焊接施工对面一侧的位置，堆土距沟边距不小于0.5 m。大风天气应将土方进行覆盖，减少扬尘产生。在耕作区开挖时，应将表层耕作土与下层土分别堆放，管线铺设完成后分层回填，表层土用做耕作土。施工结束后恢复原地形地貌。</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9）根据山西省人民政府办公厅晋政办发[2020]17号《关于印发山西省打赢蓝天保卫战2020 年决战计划的通知》中第五项综合管控面源污染中提出：坚决提升扬尘污染管控水平全面加强降尘整治。严格落实施工工地扬尘整治“六个百分之百”要求。推行“阳光施工”“阳光运输”，减少夜间施工和运输。依法严查渣土运输车辆未按规定时间和路线行驶、沿途抛洒、随意倾倒等行为。</w:t>
      </w:r>
    </w:p>
    <w:p>
      <w:pPr>
        <w:pStyle w:val="4"/>
        <w:rPr>
          <w:rFonts w:cs="Times New Roman"/>
          <w:color w:val="000000" w:themeColor="text1"/>
          <w14:textFill>
            <w14:solidFill>
              <w14:schemeClr w14:val="tx1"/>
            </w14:solidFill>
          </w14:textFill>
        </w:rPr>
      </w:pPr>
      <w:bookmarkStart w:id="634" w:name="_Toc91163965"/>
      <w:r>
        <w:rPr>
          <w:rFonts w:cs="Times New Roman"/>
          <w:color w:val="000000" w:themeColor="text1"/>
          <w14:textFill>
            <w14:solidFill>
              <w14:schemeClr w14:val="tx1"/>
            </w14:solidFill>
          </w14:textFill>
        </w:rPr>
        <w:t>6.1.2 水污染防治措施</w:t>
      </w:r>
      <w:bookmarkEnd w:id="629"/>
      <w:bookmarkEnd w:id="630"/>
      <w:bookmarkEnd w:id="631"/>
      <w:bookmarkEnd w:id="632"/>
      <w:bookmarkEnd w:id="633"/>
      <w:bookmarkEnd w:id="634"/>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本项目施工阶段的废水主要有施工废水和生活污水。</w:t>
      </w:r>
    </w:p>
    <w:p>
      <w:pPr>
        <w:pStyle w:val="5"/>
        <w:rPr>
          <w:color w:val="000000" w:themeColor="text1"/>
          <w14:textFill>
            <w14:solidFill>
              <w14:schemeClr w14:val="tx1"/>
            </w14:solidFill>
          </w14:textFill>
        </w:rPr>
      </w:pPr>
      <w:r>
        <w:rPr>
          <w:color w:val="000000" w:themeColor="text1"/>
          <w14:textFill>
            <w14:solidFill>
              <w14:schemeClr w14:val="tx1"/>
            </w14:solidFill>
          </w14:textFill>
        </w:rPr>
        <w:t>6.1.2.1施工废水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施工现场设一临时沉淀池收集后回用。</w:t>
      </w:r>
    </w:p>
    <w:p>
      <w:pPr>
        <w:pStyle w:val="5"/>
        <w:rPr>
          <w:color w:val="000000" w:themeColor="text1"/>
          <w14:textFill>
            <w14:solidFill>
              <w14:schemeClr w14:val="tx1"/>
            </w14:solidFill>
          </w14:textFill>
        </w:rPr>
      </w:pPr>
      <w:r>
        <w:rPr>
          <w:color w:val="000000" w:themeColor="text1"/>
          <w14:textFill>
            <w14:solidFill>
              <w14:schemeClr w14:val="tx1"/>
            </w14:solidFill>
          </w14:textFill>
        </w:rPr>
        <w:t>6.1.2.2生活污水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环评要求将施工人员生活污水集中收集，经絮凝沉淀后，用于施工期降尘洒水。</w:t>
      </w:r>
    </w:p>
    <w:p>
      <w:pPr>
        <w:pStyle w:val="4"/>
        <w:rPr>
          <w:rFonts w:cs="Times New Roman"/>
          <w:color w:val="000000" w:themeColor="text1"/>
          <w14:textFill>
            <w14:solidFill>
              <w14:schemeClr w14:val="tx1"/>
            </w14:solidFill>
          </w14:textFill>
        </w:rPr>
      </w:pPr>
      <w:bookmarkStart w:id="635" w:name="_Toc91163966"/>
      <w:bookmarkStart w:id="636" w:name="_Toc52791955"/>
      <w:bookmarkStart w:id="637" w:name="_Toc58362861"/>
      <w:bookmarkStart w:id="638" w:name="_Toc47619901"/>
      <w:bookmarkStart w:id="639" w:name="_Toc47619239"/>
      <w:bookmarkStart w:id="640" w:name="_Toc47620087"/>
      <w:r>
        <w:rPr>
          <w:rFonts w:cs="Times New Roman"/>
          <w:color w:val="000000" w:themeColor="text1"/>
          <w14:textFill>
            <w14:solidFill>
              <w14:schemeClr w14:val="tx1"/>
            </w14:solidFill>
          </w14:textFill>
        </w:rPr>
        <w:t>6.1.3 声环境保护措施</w:t>
      </w:r>
      <w:bookmarkEnd w:id="635"/>
      <w:bookmarkEnd w:id="636"/>
      <w:bookmarkEnd w:id="637"/>
      <w:bookmarkEnd w:id="638"/>
      <w:bookmarkEnd w:id="639"/>
      <w:bookmarkEnd w:id="640"/>
    </w:p>
    <w:p>
      <w:pPr>
        <w:ind w:firstLine="480"/>
        <w:rPr>
          <w:rFonts w:cs="Times New Roman"/>
          <w:color w:val="000000" w:themeColor="text1"/>
          <w14:textFill>
            <w14:solidFill>
              <w14:schemeClr w14:val="tx1"/>
            </w14:solidFill>
          </w14:textFill>
        </w:rPr>
      </w:pPr>
      <w:bookmarkStart w:id="641" w:name="_Toc58362862"/>
      <w:bookmarkStart w:id="642" w:name="_Toc47620088"/>
      <w:bookmarkStart w:id="643" w:name="_Toc52791956"/>
      <w:bookmarkStart w:id="644" w:name="_Toc47619902"/>
      <w:bookmarkStart w:id="645" w:name="_Toc47619240"/>
      <w:r>
        <w:rPr>
          <w:rFonts w:cs="Times New Roman"/>
          <w:color w:val="000000" w:themeColor="text1"/>
          <w14:textFill>
            <w14:solidFill>
              <w14:schemeClr w14:val="tx1"/>
            </w14:solidFill>
          </w14:textFill>
        </w:rPr>
        <w:t>噪声主要来源于施工设备和汽车运输，其控制应从规范施工秩序着手，对产生高噪声设备尽量安排在白天使用，合理安排高噪声设备远离敏感目标作业，同时夜间（22：00~6：00）不使用噪声设备。汽车晚间运输尽量用灯光示警，禁鸣喇叭。此外，尽量选用低噪声机械设备或带隔声、消声的设备，对产生噪声的施工设备加强维护和维修工作，亦对噪声有良好作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经上述治理后，施工期产生的噪声满足《建筑施工场界环境噪声排放标准》（GB12523-2011）中要求，对场界声环境及敏感点声环境的影响较小。</w:t>
      </w:r>
    </w:p>
    <w:p>
      <w:pPr>
        <w:pStyle w:val="4"/>
        <w:rPr>
          <w:rFonts w:cs="Times New Roman"/>
          <w:color w:val="000000" w:themeColor="text1"/>
          <w14:textFill>
            <w14:solidFill>
              <w14:schemeClr w14:val="tx1"/>
            </w14:solidFill>
          </w14:textFill>
        </w:rPr>
      </w:pPr>
      <w:bookmarkStart w:id="646" w:name="_Toc91163967"/>
      <w:r>
        <w:rPr>
          <w:rFonts w:cs="Times New Roman"/>
          <w:color w:val="000000" w:themeColor="text1"/>
          <w14:textFill>
            <w14:solidFill>
              <w14:schemeClr w14:val="tx1"/>
            </w14:solidFill>
          </w14:textFill>
        </w:rPr>
        <w:t>6.1.4 固体废弃物处置措施</w:t>
      </w:r>
      <w:bookmarkEnd w:id="641"/>
      <w:bookmarkEnd w:id="642"/>
      <w:bookmarkEnd w:id="643"/>
      <w:bookmarkEnd w:id="644"/>
      <w:bookmarkEnd w:id="645"/>
      <w:bookmarkEnd w:id="646"/>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施工期产生的固体废物主要为开挖土方、建筑垃圾和施工人员的少量生活垃圾。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施工期土方全部回填，主要用于地基的回填、场地垫平、铺路和场地绿化，不产生废弃土方。</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施工期产生的建筑垃圾，由施工队妥善处理，及时清运。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生活垃圾应定点堆放，收集后与附近村庄生活垃圾一起处理。</w:t>
      </w:r>
    </w:p>
    <w:p>
      <w:pPr>
        <w:pStyle w:val="4"/>
        <w:rPr>
          <w:rFonts w:cs="Times New Roman"/>
          <w:color w:val="000000" w:themeColor="text1"/>
          <w14:textFill>
            <w14:solidFill>
              <w14:schemeClr w14:val="tx1"/>
            </w14:solidFill>
          </w14:textFill>
        </w:rPr>
      </w:pPr>
      <w:bookmarkStart w:id="647" w:name="_Toc58362863"/>
      <w:bookmarkStart w:id="648" w:name="_Toc91163968"/>
      <w:bookmarkStart w:id="649" w:name="_Toc52791957"/>
      <w:bookmarkStart w:id="650" w:name="_Toc47619903"/>
      <w:bookmarkStart w:id="651" w:name="_Toc47620089"/>
      <w:bookmarkStart w:id="652" w:name="_Toc47619241"/>
      <w:r>
        <w:rPr>
          <w:rFonts w:cs="Times New Roman"/>
          <w:color w:val="000000" w:themeColor="text1"/>
          <w14:textFill>
            <w14:solidFill>
              <w14:schemeClr w14:val="tx1"/>
            </w14:solidFill>
          </w14:textFill>
        </w:rPr>
        <w:t>6.1.5 生态环境保护措施</w:t>
      </w:r>
      <w:bookmarkEnd w:id="647"/>
      <w:bookmarkEnd w:id="648"/>
      <w:bookmarkEnd w:id="649"/>
      <w:bookmarkEnd w:id="650"/>
      <w:bookmarkEnd w:id="651"/>
      <w:bookmarkEnd w:id="652"/>
    </w:p>
    <w:p>
      <w:pPr>
        <w:pStyle w:val="5"/>
        <w:rPr>
          <w:color w:val="000000" w:themeColor="text1"/>
          <w14:textFill>
            <w14:solidFill>
              <w14:schemeClr w14:val="tx1"/>
            </w14:solidFill>
          </w14:textFill>
        </w:rPr>
      </w:pPr>
      <w:r>
        <w:rPr>
          <w:color w:val="000000" w:themeColor="text1"/>
          <w14:textFill>
            <w14:solidFill>
              <w14:schemeClr w14:val="tx1"/>
            </w14:solidFill>
          </w14:textFill>
        </w:rPr>
        <w:t>6.1.5.1施工现场周围生态环境保护措施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要保护周围生态环境，不允许占用工程征地外的土地。运送物料车辆要设定固定行车路线，落实运输车辆防止扬尘、降噪措施，保护施工现场周围农田生态环境。禁止在区外随意取土，用作区内土地平整等，以保护区域土地资源。加强对施工人员生态环境方面知识的教育，加强管理，增强对生态环境保护的意识和观念，并使施工人员变为自觉行为。</w:t>
      </w:r>
    </w:p>
    <w:p>
      <w:pPr>
        <w:pStyle w:val="5"/>
        <w:rPr>
          <w:color w:val="000000" w:themeColor="text1"/>
          <w14:textFill>
            <w14:solidFill>
              <w14:schemeClr w14:val="tx1"/>
            </w14:solidFill>
          </w14:textFill>
        </w:rPr>
      </w:pPr>
      <w:r>
        <w:rPr>
          <w:color w:val="000000" w:themeColor="text1"/>
          <w14:textFill>
            <w14:solidFill>
              <w14:schemeClr w14:val="tx1"/>
            </w14:solidFill>
          </w14:textFill>
        </w:rPr>
        <w:t>6.1.5.2水土流失防治措施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施工期挖方集中堆积并苫盖，采用彩钢板临时遮挡，避免造成水土流失，施工弃土用于场地平整，平整过程中及时压实。合理安排施工时间，避免雨天施工。</w:t>
      </w:r>
      <w:bookmarkStart w:id="653" w:name="_Toc58362868"/>
      <w:bookmarkStart w:id="654" w:name="_Toc52791961"/>
      <w:bookmarkStart w:id="655" w:name="_Toc47619907"/>
      <w:bookmarkStart w:id="656" w:name="_Toc47620093"/>
      <w:bookmarkStart w:id="657" w:name="_Toc47619482"/>
      <w:bookmarkStart w:id="658" w:name="_Toc47619245"/>
      <w:bookmarkStart w:id="659" w:name="_Toc47619376"/>
    </w:p>
    <w:p>
      <w:pPr>
        <w:pStyle w:val="4"/>
        <w:rPr>
          <w:rFonts w:cs="Times New Roman"/>
          <w:color w:val="000000" w:themeColor="text1"/>
          <w:lang w:bidi="en-US"/>
          <w14:textFill>
            <w14:solidFill>
              <w14:schemeClr w14:val="tx1"/>
            </w14:solidFill>
          </w14:textFill>
        </w:rPr>
      </w:pPr>
      <w:bookmarkStart w:id="660" w:name="_Toc91163969"/>
      <w:r>
        <w:rPr>
          <w:rFonts w:cs="Times New Roman"/>
          <w:color w:val="000000" w:themeColor="text1"/>
          <w14:textFill>
            <w14:solidFill>
              <w14:schemeClr w14:val="tx1"/>
            </w14:solidFill>
          </w14:textFill>
        </w:rPr>
        <w:t xml:space="preserve">6.1.6 </w:t>
      </w:r>
      <w:r>
        <w:rPr>
          <w:rFonts w:cs="Times New Roman"/>
          <w:color w:val="000000" w:themeColor="text1"/>
          <w:lang w:bidi="en-US"/>
          <w14:textFill>
            <w14:solidFill>
              <w14:schemeClr w14:val="tx1"/>
            </w14:solidFill>
          </w14:textFill>
        </w:rPr>
        <w:t>环境保护监管工作内容</w:t>
      </w:r>
      <w:bookmarkEnd w:id="660"/>
    </w:p>
    <w:p>
      <w:pPr>
        <w:ind w:firstLine="480"/>
        <w:rPr>
          <w:rFonts w:cs="Times New Roman"/>
          <w:bCs/>
          <w:color w:val="000000" w:themeColor="text1"/>
          <w:lang w:bidi="en-US"/>
          <w14:textFill>
            <w14:solidFill>
              <w14:schemeClr w14:val="tx1"/>
            </w14:solidFill>
          </w14:textFill>
        </w:rPr>
      </w:pPr>
      <w:r>
        <w:rPr>
          <w:rFonts w:cs="Times New Roman"/>
          <w:bCs/>
          <w:color w:val="000000" w:themeColor="text1"/>
          <w:lang w:bidi="en-US"/>
          <w14:textFill>
            <w14:solidFill>
              <w14:schemeClr w14:val="tx1"/>
            </w14:solidFill>
          </w14:textFill>
        </w:rPr>
        <w:t>建设单位应加强对施工队伍的环境保护培训和教育工作，认真落实环评提出的各项环境保护措施，切实加强施工过程的环境保护工作，指定专人负责施工期的环境监理工作，及时发现并处理施工过程中产生的环境问题，并将环境监理工作纳入施工期的管理工作中，定期向总经理和施工负责人汇报施工期的环境管理工作，细化施工期的环境监管内容，建设项目施工期监理工作内容详见表6.1-1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表6.1-1 施工期环境保护监管工作内容一览表</w:t>
      </w: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81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pct"/>
            <w:vAlign w:val="center"/>
          </w:tcPr>
          <w:p>
            <w:pPr>
              <w:pStyle w:val="332"/>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环境要素</w:t>
            </w:r>
          </w:p>
        </w:tc>
        <w:tc>
          <w:tcPr>
            <w:tcW w:w="4384" w:type="pct"/>
            <w:vAlign w:val="center"/>
          </w:tcPr>
          <w:p>
            <w:pPr>
              <w:pStyle w:val="332"/>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监理内容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pct"/>
            <w:vAlign w:val="center"/>
          </w:tcPr>
          <w:p>
            <w:pPr>
              <w:pStyle w:val="332"/>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大气环境</w:t>
            </w:r>
          </w:p>
        </w:tc>
        <w:tc>
          <w:tcPr>
            <w:tcW w:w="4384" w:type="pct"/>
            <w:vAlign w:val="center"/>
          </w:tcPr>
          <w:p>
            <w:pPr>
              <w:pStyle w:val="332"/>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1、对工地及进出口定期洒水抑制尘土，并清扫，保持工地整齐干净；</w:t>
            </w:r>
          </w:p>
          <w:p>
            <w:pPr>
              <w:pStyle w:val="332"/>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2、运输车辆在运输粉尘较多的物料时应用帆布覆盖；</w:t>
            </w:r>
          </w:p>
          <w:p>
            <w:pPr>
              <w:pStyle w:val="332"/>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3、施工产生的建筑垃圾等清运时应用篷布遮盖；</w:t>
            </w:r>
          </w:p>
          <w:p>
            <w:pPr>
              <w:pStyle w:val="332"/>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4、施工采用预拌商品混凝土。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pct"/>
            <w:vAlign w:val="center"/>
          </w:tcPr>
          <w:p>
            <w:pPr>
              <w:pStyle w:val="332"/>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声环境</w:t>
            </w:r>
          </w:p>
        </w:tc>
        <w:tc>
          <w:tcPr>
            <w:tcW w:w="4384" w:type="pct"/>
            <w:vAlign w:val="center"/>
          </w:tcPr>
          <w:p>
            <w:pPr>
              <w:pStyle w:val="332"/>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1、施工单位开工前15日，携带施工资料等到当地环保部门申报《建设施工环保审批表》，经批准后方可施工；</w:t>
            </w:r>
          </w:p>
          <w:p>
            <w:pPr>
              <w:pStyle w:val="332"/>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2、合理布置施工设备，避免局部声级过高；</w:t>
            </w:r>
          </w:p>
          <w:p>
            <w:pPr>
              <w:pStyle w:val="332"/>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3、施工浇筑需要连续作业的施工前3天内，由施工方报当地环保部门审批。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16" w:type="pct"/>
            <w:vAlign w:val="center"/>
          </w:tcPr>
          <w:p>
            <w:pPr>
              <w:pStyle w:val="332"/>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水环境</w:t>
            </w:r>
          </w:p>
        </w:tc>
        <w:tc>
          <w:tcPr>
            <w:tcW w:w="4384" w:type="pct"/>
            <w:vAlign w:val="center"/>
          </w:tcPr>
          <w:p>
            <w:pPr>
              <w:pStyle w:val="332"/>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1、施工期产生的施工污水经沉淀池处理后回用于施工降尘洒水；</w:t>
            </w:r>
          </w:p>
          <w:p>
            <w:pPr>
              <w:pStyle w:val="332"/>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2、施工废水做到回用，不影响水环境的水质；</w:t>
            </w:r>
          </w:p>
          <w:p>
            <w:pPr>
              <w:pStyle w:val="332"/>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3、避免在雨季进行基础开挖施工对水环境的影响。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pct"/>
            <w:vAlign w:val="center"/>
          </w:tcPr>
          <w:p>
            <w:pPr>
              <w:pStyle w:val="332"/>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固体废物</w:t>
            </w:r>
          </w:p>
        </w:tc>
        <w:tc>
          <w:tcPr>
            <w:tcW w:w="4384" w:type="pct"/>
            <w:vAlign w:val="center"/>
          </w:tcPr>
          <w:p>
            <w:pPr>
              <w:pStyle w:val="332"/>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1、施工期的废渣不能排入附近地表水；</w:t>
            </w:r>
          </w:p>
          <w:p>
            <w:pPr>
              <w:pStyle w:val="332"/>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2、施工期间产生的建筑垃圾应及时清运，不能长期堆存，做到当日产生当日清运，装满垃圾的清运车辆需用毡布遮盖，防止沿途洒落；</w:t>
            </w:r>
          </w:p>
          <w:p>
            <w:pPr>
              <w:pStyle w:val="332"/>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3、施工期间的生活垃圾集中收集，及时运出。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pct"/>
            <w:vAlign w:val="center"/>
          </w:tcPr>
          <w:p>
            <w:pPr>
              <w:pStyle w:val="332"/>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生态环境</w:t>
            </w:r>
          </w:p>
        </w:tc>
        <w:tc>
          <w:tcPr>
            <w:tcW w:w="4384" w:type="pct"/>
            <w:vAlign w:val="center"/>
          </w:tcPr>
          <w:p>
            <w:pPr>
              <w:pStyle w:val="332"/>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1、施工期间物料堆场及主体工程开挖、弃渣及弃渣堆放应符合环境管理规范要求；</w:t>
            </w:r>
          </w:p>
          <w:p>
            <w:pPr>
              <w:pStyle w:val="332"/>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2、绿化面积达到规定要求。</w:t>
            </w:r>
          </w:p>
        </w:tc>
      </w:tr>
    </w:tbl>
    <w:p>
      <w:pPr>
        <w:pStyle w:val="3"/>
        <w:spacing w:before="120" w:after="120"/>
        <w:rPr>
          <w:rFonts w:cs="Times New Roman"/>
          <w:color w:val="000000" w:themeColor="text1"/>
          <w14:textFill>
            <w14:solidFill>
              <w14:schemeClr w14:val="tx1"/>
            </w14:solidFill>
          </w14:textFill>
        </w:rPr>
      </w:pPr>
      <w:bookmarkStart w:id="661" w:name="_Toc91163970"/>
      <w:r>
        <w:rPr>
          <w:rFonts w:cs="Times New Roman"/>
          <w:color w:val="000000" w:themeColor="text1"/>
          <w14:textFill>
            <w14:solidFill>
              <w14:schemeClr w14:val="tx1"/>
            </w14:solidFill>
          </w14:textFill>
        </w:rPr>
        <w:t>6.2  运营期污染防治措施</w:t>
      </w:r>
      <w:bookmarkEnd w:id="653"/>
      <w:bookmarkEnd w:id="661"/>
    </w:p>
    <w:p>
      <w:pPr>
        <w:pStyle w:val="4"/>
        <w:rPr>
          <w:rFonts w:cs="Times New Roman"/>
          <w:color w:val="000000" w:themeColor="text1"/>
          <w:kern w:val="0"/>
          <w14:textFill>
            <w14:solidFill>
              <w14:schemeClr w14:val="tx1"/>
            </w14:solidFill>
          </w14:textFill>
        </w:rPr>
      </w:pPr>
      <w:bookmarkStart w:id="662" w:name="_Toc58362869"/>
      <w:bookmarkStart w:id="663" w:name="_Toc91163971"/>
      <w:r>
        <w:rPr>
          <w:rFonts w:cs="Times New Roman"/>
          <w:color w:val="000000" w:themeColor="text1"/>
          <w14:textFill>
            <w14:solidFill>
              <w14:schemeClr w14:val="tx1"/>
            </w14:solidFill>
          </w14:textFill>
        </w:rPr>
        <w:t xml:space="preserve">6.2.1 </w:t>
      </w:r>
      <w:bookmarkEnd w:id="662"/>
      <w:r>
        <w:rPr>
          <w:rFonts w:cs="Times New Roman"/>
          <w:color w:val="000000" w:themeColor="text1"/>
          <w:kern w:val="0"/>
          <w14:textFill>
            <w14:solidFill>
              <w14:schemeClr w14:val="tx1"/>
            </w14:solidFill>
          </w14:textFill>
        </w:rPr>
        <w:t>废气污染防治措施及其技术经济论证</w:t>
      </w:r>
      <w:bookmarkEnd w:id="663"/>
    </w:p>
    <w:p>
      <w:pPr>
        <w:pStyle w:val="5"/>
        <w:rPr>
          <w:color w:val="000000" w:themeColor="text1"/>
          <w14:textFill>
            <w14:solidFill>
              <w14:schemeClr w14:val="tx1"/>
            </w14:solidFill>
          </w14:textFill>
        </w:rPr>
      </w:pPr>
      <w:bookmarkStart w:id="664" w:name="_Toc58362870"/>
      <w:r>
        <w:rPr>
          <w:color w:val="000000" w:themeColor="text1"/>
          <w14:textFill>
            <w14:solidFill>
              <w14:schemeClr w14:val="tx1"/>
            </w14:solidFill>
          </w14:textFill>
        </w:rPr>
        <w:t>6.2.1.1无组织恶臭的防治措施</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1、产生场所</w:t>
      </w:r>
    </w:p>
    <w:p>
      <w:pPr>
        <w:ind w:firstLine="480"/>
        <w:rPr>
          <w:rFonts w:cs="Times New Roman"/>
          <w:color w:val="000000" w:themeColor="text1"/>
          <w14:textFill>
            <w14:solidFill>
              <w14:schemeClr w14:val="tx1"/>
            </w14:solidFill>
          </w14:textFill>
        </w:rPr>
      </w:pPr>
      <w:r>
        <w:rPr>
          <w:rFonts w:cs="Times New Roman"/>
          <w:color w:val="000000" w:themeColor="text1"/>
          <w:kern w:val="0"/>
          <w:szCs w:val="24"/>
          <w14:textFill>
            <w14:solidFill>
              <w14:schemeClr w14:val="tx1"/>
            </w14:solidFill>
          </w14:textFill>
        </w:rPr>
        <w:t>本项目无组织恶臭主要产生在养殖舍、粪污治理区</w:t>
      </w:r>
      <w:r>
        <w:rPr>
          <w:rFonts w:cs="Times New Roman"/>
          <w:color w:val="000000" w:themeColor="text1"/>
          <w14:textFill>
            <w14:solidFill>
              <w14:schemeClr w14:val="tx1"/>
            </w14:solidFill>
          </w14:textFill>
        </w:rPr>
        <w:t>（黑膜沼气池、沼液储存池、固粪处理区），影响畜禽场恶臭产生的</w:t>
      </w:r>
      <w:bookmarkStart w:id="890" w:name="_GoBack"/>
      <w:bookmarkEnd w:id="890"/>
      <w:r>
        <w:rPr>
          <w:rFonts w:cs="Times New Roman"/>
          <w:color w:val="000000" w:themeColor="text1"/>
          <w14:textFill>
            <w14:solidFill>
              <w14:schemeClr w14:val="tx1"/>
            </w14:solidFill>
          </w14:textFill>
        </w:rPr>
        <w:t>主要原因是清粪方式、管理水平、粪便和污水处理程度，同时也与场址选择、场地规划和布局、畜舍设计、畜舍通风等有关。</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恶臭的成分十分复杂，因家畜的种类、清粪方式、日粮组成、粪便和污水处理等不同而异，有机成分是硫醇类、胺类、吲哚、挥发性有机酸、酚类、醛类、酮类、醇类以及含氮杂环化合物等，无机成分主要是NH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和H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2、防治措施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由于猪舍的恶臭污染源很分散，集中处理困难，最有效的控制方法是预防为主，在恶臭产生的源头就地处理。根据《畜禽养殖业污染治理工程技术规范》（HJ 497-2009）及《畜禽养殖业污染防治技术规范》（HJ/T81-2001）相关要求，结合本项目生产实际，本评价主要提出如下措施减降恶臭污染物的产生：</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源头控制</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I、通过控制饲养密度，并加强舍内通风，及时清理猪舍，猪粪、沼渣等应及时进行好氧堆肥；搞好场区卫生环境，采用节水型水器，猪舍及时冲洗；</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II、温度高时恶臭气体浓度高，猪粪在1-2周后发酵较快，粪便暴露面积大的发酵率高。猪舍使用漏风地板，保证粪便冷却，并尽快从猪舍内清粪，在猪舍内加强通风，加速粪便干燥，可减少猪粪污染。</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II、通过在日粮中添加EM，并合理搭配日粮；EM是有效生物菌群（EffectiveMicoorganisms）的英文缩写，是新型复合微生物菌剂，EM菌剂中含有光合细菌群，光合细菌作为有益菌群，一方面抑制了腐败细菌的生长，改善有机物的分解途径，减少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和H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S的释放量和胺类物质的产生；另一方面它又可利用H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S做氢受体，消耗H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S，从而减轻环境中的恶臭，减少蚊蝇孪生。</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查阅资料，大量实验表明EM微生物对粪便具有明显的除臭作用。根据万世权等人《规模养殖场中的恶臭气体及控制措施》（浙江畜牧兽医2011年第6期）中资料，北京市环境保护监测中心对EM除臭效果进行测试的结果表明：使用EM一个月后，恶臭浓度下降了97.7%，臭气强度降至2.5级以下，达到国家一级标准</w:t>
      </w:r>
      <w:r>
        <w:rPr>
          <w:rFonts w:eastAsia="微软雅黑"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其除臭的主要机理为：动物摄入的大量有益微生物在胃肠道内形成了生态优势抑制了腐败菌的活动，促进营养物质的消化吸收，防止产生有害物质氨和胺，使粪便在动物体内臭味有所减轻；使摄入的有益微生物和撒在地面上的有益微生物在生长繁殖时能以氢、硫化氢等物质为营养，这样由腐败产生的氢被这些微生物吸收了一部分，如硝化菌将垫料粪中的NH</w:t>
      </w:r>
      <w:r>
        <w:rPr>
          <w:rFonts w:cs="Times New Roman"/>
          <w:color w:val="000000" w:themeColor="text1"/>
          <w:vertAlign w:val="subscript"/>
          <w14:textFill>
            <w14:solidFill>
              <w14:schemeClr w14:val="tx1"/>
            </w14:solidFill>
          </w14:textFill>
        </w:rPr>
        <w:t>4</w:t>
      </w:r>
      <w:r>
        <w:rPr>
          <w:rFonts w:cs="Times New Roman"/>
          <w:color w:val="000000" w:themeColor="text1"/>
          <w14:textFill>
            <w14:solidFill>
              <w14:schemeClr w14:val="tx1"/>
            </w14:solidFill>
          </w14:textFill>
        </w:rPr>
        <w:t>-N转化为NO</w:t>
      </w:r>
      <w:r>
        <w:rPr>
          <w:rFonts w:cs="Times New Roman"/>
          <w:color w:val="000000" w:themeColor="text1"/>
          <w:vertAlign w:val="subscript"/>
          <w14:textFill>
            <w14:solidFill>
              <w14:schemeClr w14:val="tx1"/>
            </w14:solidFill>
          </w14:textFill>
        </w:rPr>
        <w:t>3</w:t>
      </w:r>
      <w:r>
        <w:rPr>
          <w:rFonts w:cs="Times New Roman"/>
          <w:color w:val="000000" w:themeColor="text1"/>
          <w:vertAlign w:val="superscript"/>
          <w14:textFill>
            <w14:solidFill>
              <w14:schemeClr w14:val="tx1"/>
            </w14:solidFill>
          </w14:textFill>
        </w:rPr>
        <w:t>-</w:t>
      </w:r>
      <w:r>
        <w:rPr>
          <w:rFonts w:cs="Times New Roman"/>
          <w:color w:val="000000" w:themeColor="text1"/>
          <w14:textFill>
            <w14:solidFill>
              <w14:schemeClr w14:val="tx1"/>
            </w14:solidFill>
          </w14:textFill>
        </w:rPr>
        <w:t>-N，而NO</w:t>
      </w:r>
      <w:r>
        <w:rPr>
          <w:rFonts w:cs="Times New Roman"/>
          <w:color w:val="000000" w:themeColor="text1"/>
          <w:vertAlign w:val="subscript"/>
          <w14:textFill>
            <w14:solidFill>
              <w14:schemeClr w14:val="tx1"/>
            </w14:solidFill>
          </w14:textFill>
        </w:rPr>
        <w:t>3</w:t>
      </w:r>
      <w:r>
        <w:rPr>
          <w:rFonts w:cs="Times New Roman"/>
          <w:color w:val="000000" w:themeColor="text1"/>
          <w:vertAlign w:val="superscript"/>
          <w14:textFill>
            <w14:solidFill>
              <w14:schemeClr w14:val="tx1"/>
            </w14:solidFill>
          </w14:textFill>
        </w:rPr>
        <w:t>-</w:t>
      </w:r>
      <w:r>
        <w:rPr>
          <w:rFonts w:cs="Times New Roman"/>
          <w:color w:val="000000" w:themeColor="text1"/>
          <w14:textFill>
            <w14:solidFill>
              <w14:schemeClr w14:val="tx1"/>
            </w14:solidFill>
          </w14:textFill>
        </w:rPr>
        <w:t>-N则被反硝化成尾气体；多效微生态制剂中的有些微生物（如真菌）有一定的固氮作用，从而减少了NH</w:t>
      </w:r>
      <w:r>
        <w:rPr>
          <w:rFonts w:cs="Times New Roman"/>
          <w:color w:val="000000" w:themeColor="text1"/>
          <w:vertAlign w:val="subscript"/>
          <w14:textFill>
            <w14:solidFill>
              <w14:schemeClr w14:val="tx1"/>
            </w14:solidFill>
          </w14:textFill>
        </w:rPr>
        <w:t>3</w:t>
      </w:r>
      <w:r>
        <w:rPr>
          <w:rFonts w:cs="Times New Roman"/>
          <w:color w:val="000000" w:themeColor="text1"/>
          <w:vertAlign w:val="superscript"/>
          <w14:textFill>
            <w14:solidFill>
              <w14:schemeClr w14:val="tx1"/>
            </w14:solidFill>
          </w14:textFill>
        </w:rPr>
        <w:t>+</w:t>
      </w:r>
      <w:r>
        <w:rPr>
          <w:rFonts w:cs="Times New Roman"/>
          <w:color w:val="000000" w:themeColor="text1"/>
          <w14:textFill>
            <w14:solidFill>
              <w14:schemeClr w14:val="tx1"/>
            </w14:solidFill>
          </w14:textFill>
        </w:rPr>
        <w:t>-N在碱性条件下的挥发，从而改善饲养环境。另外EM微生物在除臭过程中，能有效地保持猪粪中N、P、K及有机质养分，亦有提高肥效的作用。</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过程整治</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I、猪场采用干清粪工艺，项目采用墙体集热板、猪舍内热交换器和风机相结合的方式进行猪舍内部温度控制。产生的粪渣等固废及时运至处理场所，以减少污染。</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Ⅱ、猪粪及沼渣及时运往有机肥粪棚，有机肥粪棚设置顶棚，即能防雨又能保持通风，三面设置1 m高的混凝土围堰。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III、加强养殖场生产管理，并对工作人员强化知识培训，提高饲养人员操作技能。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Ⅳ、场区布置按功能区进行相应划分，各构功能区之间设绿化隔离带，易种植椿树、柏树、小叶女贞等具有吸附恶臭功能的绿色植物，利用绿色植物的吸收作用，以减少恶臭气体的逸散，减轻恶臭等对周围环境的影响。</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t>终端处理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养殖场产生的恶臭气体用多种化学和生物产品来控制恶臭。评价建议夏季高温天气在养殖区、污水处理区及固粪处理区喷洒除臭剂进行处理，多用强氧化剂和杀菌剂等消除微生物产生的臭味或化学氧化臭味物质。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使用养殖场专用的植物型生物除臭剂，该种除臭剂主要成分为活性醛类芳香香料、樟树、桉树、柏树、香茅等天然植物提取物，无毒、无刺激、无腐蚀性、杀菌功能强。除臭剂中的活性基（-CHO）具有很高的活性，利用它的活性同挥发性含S（如硫化氢、硫醇、硫基化合物）、含N（如氨、有机胺）等易挥发物质反应，产生新的低气味且无毒的新物质，不能参与活性基（-CHO）反应的一些挥发性物质则采用气味补偿办法解决，这种补偿也不是简单的气味掩盖作用，而是利用植物提取液中的活性成分与不能和活性基（-CHO）反应的成分进行再次作用，使其失去原来的气味，以此来实现对发挥性恶臭物质的有效削减和消除。植物型除臭剂原液稀释100倍喷洒，1kg可喷洒500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。本项目养殖区、</w:t>
      </w:r>
      <w:r>
        <w:rPr>
          <w:rFonts w:cs="Times New Roman"/>
          <w:color w:val="000000" w:themeColor="text1"/>
          <w:kern w:val="0"/>
          <w:szCs w:val="24"/>
          <w14:textFill>
            <w14:solidFill>
              <w14:schemeClr w14:val="tx1"/>
            </w14:solidFill>
          </w14:textFill>
        </w:rPr>
        <w:t>粪污治理区等</w:t>
      </w:r>
      <w:r>
        <w:rPr>
          <w:rFonts w:cs="Times New Roman"/>
          <w:color w:val="000000" w:themeColor="text1"/>
          <w14:textFill>
            <w14:solidFill>
              <w14:schemeClr w14:val="tx1"/>
            </w14:solidFill>
          </w14:textFill>
        </w:rPr>
        <w:t>处需要喷洒除臭剂，喷洒频率为1天1次。</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6.2-1 </w:t>
      </w:r>
      <w:r>
        <w:rPr>
          <w:rFonts w:cs="Times New Roman"/>
          <w:color w:val="000000" w:themeColor="text1"/>
          <w14:textFill>
            <w14:solidFill>
              <w14:schemeClr w14:val="tx1"/>
            </w14:solidFill>
          </w14:textFill>
        </w:rPr>
        <w:t>本项目恶臭气体污染防治措施一览表</w:t>
      </w:r>
    </w:p>
    <w:p>
      <w:pPr>
        <w:kinsoku w:val="0"/>
        <w:overflowPunct w:val="0"/>
        <w:autoSpaceDE w:val="0"/>
        <w:autoSpaceDN w:val="0"/>
        <w:adjustRightInd w:val="0"/>
        <w:spacing w:before="3" w:line="240" w:lineRule="auto"/>
        <w:ind w:firstLine="0" w:firstLineChars="0"/>
        <w:jc w:val="left"/>
        <w:rPr>
          <w:rFonts w:cs="Times New Roman"/>
          <w:color w:val="000000" w:themeColor="text1"/>
          <w:kern w:val="0"/>
          <w:sz w:val="6"/>
          <w:szCs w:val="6"/>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413"/>
        <w:gridCol w:w="1571"/>
        <w:gridCol w:w="2996"/>
        <w:gridCol w:w="2996"/>
        <w:gridCol w:w="1125"/>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7"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863"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排放源</w:t>
            </w:r>
          </w:p>
        </w:tc>
        <w:tc>
          <w:tcPr>
            <w:tcW w:w="164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防治措施</w:t>
            </w:r>
          </w:p>
        </w:tc>
        <w:tc>
          <w:tcPr>
            <w:tcW w:w="164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实施方案</w:t>
            </w:r>
          </w:p>
        </w:tc>
        <w:tc>
          <w:tcPr>
            <w:tcW w:w="61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治理目标</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863"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（养殖区）</w:t>
            </w:r>
          </w:p>
        </w:tc>
        <w:tc>
          <w:tcPr>
            <w:tcW w:w="1646" w:type="pct"/>
            <w:tcBorders>
              <w:top w:val="single" w:color="auto" w:sz="1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控制饲养密度，全漏缝地板并及时清粪，喷洒除臭剂，饲料添加EM，加强通风，出风口处设置喷淋除臭网，可消减85%</w:t>
            </w:r>
          </w:p>
        </w:tc>
        <w:tc>
          <w:tcPr>
            <w:tcW w:w="1646" w:type="pct"/>
            <w:tcBorders>
              <w:top w:val="single" w:color="auto" w:sz="1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转栏时利用高压水枪彻底冲圈消毒，人工喷洒除臭剂，每座猪舍出风口风机后端设置除臭挡网装置，臭气通过处理后排放</w:t>
            </w:r>
          </w:p>
        </w:tc>
        <w:tc>
          <w:tcPr>
            <w:tcW w:w="618"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满足《恶臭污染物排放标准》表1中二级标准要求</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863" w:type="pct"/>
            <w:vAlign w:val="center"/>
          </w:tcPr>
          <w:p>
            <w:pPr>
              <w:pStyle w:val="332"/>
              <w:rPr>
                <w:color w:val="000000" w:themeColor="text1"/>
                <w:lang w:bidi="en-US"/>
                <w14:textFill>
                  <w14:solidFill>
                    <w14:schemeClr w14:val="tx1"/>
                  </w14:solidFill>
                </w14:textFill>
              </w:rPr>
            </w:pPr>
            <w:r>
              <w:rPr>
                <w:color w:val="000000" w:themeColor="text1"/>
                <w:lang w:bidi="en-US"/>
                <w14:textFill>
                  <w14:solidFill>
                    <w14:schemeClr w14:val="tx1"/>
                  </w14:solidFill>
                </w14:textFill>
              </w:rPr>
              <w:t>黑膜沼气池</w:t>
            </w:r>
          </w:p>
          <w:p>
            <w:pPr>
              <w:pStyle w:val="332"/>
              <w:rPr>
                <w:color w:val="000000" w:themeColor="text1"/>
                <w14:textFill>
                  <w14:solidFill>
                    <w14:schemeClr w14:val="tx1"/>
                  </w14:solidFill>
                </w14:textFill>
              </w:rPr>
            </w:pPr>
            <w:r>
              <w:rPr>
                <w:color w:val="000000" w:themeColor="text1"/>
                <w:lang w:bidi="en-US"/>
                <w14:textFill>
                  <w14:solidFill>
                    <w14:schemeClr w14:val="tx1"/>
                  </w14:solidFill>
                </w14:textFill>
              </w:rPr>
              <w:t>（厌氧发酵塘）</w:t>
            </w:r>
          </w:p>
        </w:tc>
        <w:tc>
          <w:tcPr>
            <w:tcW w:w="1646"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黑膜沼气池密闭，</w:t>
            </w:r>
            <w:r>
              <w:rPr>
                <w:color w:val="000000" w:themeColor="text1"/>
                <w:lang w:bidi="en-US"/>
                <w14:textFill>
                  <w14:solidFill>
                    <w14:schemeClr w14:val="tx1"/>
                  </w14:solidFill>
                </w14:textFill>
              </w:rPr>
              <w:t>喷洒除臭剂，周围加强绿化，</w:t>
            </w:r>
            <w:r>
              <w:rPr>
                <w:color w:val="000000" w:themeColor="text1"/>
                <w14:textFill>
                  <w14:solidFill>
                    <w14:schemeClr w14:val="tx1"/>
                  </w14:solidFill>
                </w14:textFill>
              </w:rPr>
              <w:t>可消减90%</w:t>
            </w:r>
          </w:p>
        </w:tc>
        <w:tc>
          <w:tcPr>
            <w:tcW w:w="1646"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四周加强绿化，主要种植草本、灌木、乔木等间隔立体绿化</w:t>
            </w:r>
          </w:p>
        </w:tc>
        <w:tc>
          <w:tcPr>
            <w:tcW w:w="618"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863" w:type="pct"/>
            <w:vAlign w:val="center"/>
          </w:tcPr>
          <w:p>
            <w:pPr>
              <w:pStyle w:val="332"/>
              <w:rPr>
                <w:color w:val="000000" w:themeColor="text1"/>
                <w14:textFill>
                  <w14:solidFill>
                    <w14:schemeClr w14:val="tx1"/>
                  </w14:solidFill>
                </w14:textFill>
              </w:rPr>
            </w:pPr>
            <w:r>
              <w:rPr>
                <w:color w:val="000000" w:themeColor="text1"/>
                <w:lang w:bidi="en-US"/>
                <w14:textFill>
                  <w14:solidFill>
                    <w14:schemeClr w14:val="tx1"/>
                  </w14:solidFill>
                </w14:textFill>
              </w:rPr>
              <w:t>沼液储存池</w:t>
            </w:r>
          </w:p>
        </w:tc>
        <w:tc>
          <w:tcPr>
            <w:tcW w:w="1646" w:type="pct"/>
            <w:vAlign w:val="center"/>
          </w:tcPr>
          <w:p>
            <w:pPr>
              <w:pStyle w:val="332"/>
              <w:jc w:val="both"/>
              <w:rPr>
                <w:color w:val="000000" w:themeColor="text1"/>
                <w14:textFill>
                  <w14:solidFill>
                    <w14:schemeClr w14:val="tx1"/>
                  </w14:solidFill>
                </w14:textFill>
              </w:rPr>
            </w:pPr>
            <w:r>
              <w:rPr>
                <w:color w:val="000000" w:themeColor="text1"/>
                <w:lang w:bidi="en-US"/>
                <w14:textFill>
                  <w14:solidFill>
                    <w14:schemeClr w14:val="tx1"/>
                  </w14:solidFill>
                </w14:textFill>
              </w:rPr>
              <w:t>顶部覆盖HDPE膜进行封闭，喷洒除臭剂，周围加强绿化，</w:t>
            </w:r>
            <w:r>
              <w:rPr>
                <w:color w:val="000000" w:themeColor="text1"/>
                <w14:textFill>
                  <w14:solidFill>
                    <w14:schemeClr w14:val="tx1"/>
                  </w14:solidFill>
                </w14:textFill>
              </w:rPr>
              <w:t>可消减90%</w:t>
            </w:r>
          </w:p>
        </w:tc>
        <w:tc>
          <w:tcPr>
            <w:tcW w:w="1646" w:type="pct"/>
            <w:vAlign w:val="center"/>
          </w:tcPr>
          <w:p>
            <w:pPr>
              <w:pStyle w:val="332"/>
              <w:jc w:val="both"/>
              <w:rPr>
                <w:color w:val="000000" w:themeColor="text1"/>
                <w14:textFill>
                  <w14:solidFill>
                    <w14:schemeClr w14:val="tx1"/>
                  </w14:solidFill>
                </w14:textFill>
              </w:rPr>
            </w:pPr>
            <w:r>
              <w:rPr>
                <w:color w:val="000000" w:themeColor="text1"/>
                <w:lang w:bidi="en-US"/>
                <w14:textFill>
                  <w14:solidFill>
                    <w14:schemeClr w14:val="tx1"/>
                  </w14:solidFill>
                </w14:textFill>
              </w:rPr>
              <w:t>顶部覆盖HDPE膜，</w:t>
            </w:r>
            <w:r>
              <w:rPr>
                <w:color w:val="000000" w:themeColor="text1"/>
                <w14:textFill>
                  <w14:solidFill>
                    <w14:schemeClr w14:val="tx1"/>
                  </w14:solidFill>
                </w14:textFill>
              </w:rPr>
              <w:t>四周加强绿化，主要种植草本、灌木、乔木等间隔立体绿化</w:t>
            </w:r>
          </w:p>
        </w:tc>
        <w:tc>
          <w:tcPr>
            <w:tcW w:w="618"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2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863"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固粪处理区-</w:t>
            </w:r>
          </w:p>
          <w:p>
            <w:pPr>
              <w:pStyle w:val="332"/>
              <w:rPr>
                <w:color w:val="000000" w:themeColor="text1"/>
                <w14:textFill>
                  <w14:solidFill>
                    <w14:schemeClr w14:val="tx1"/>
                  </w14:solidFill>
                </w14:textFill>
              </w:rPr>
            </w:pPr>
            <w:r>
              <w:rPr>
                <w:color w:val="000000" w:themeColor="text1"/>
                <w14:textFill>
                  <w14:solidFill>
                    <w14:schemeClr w14:val="tx1"/>
                  </w14:solidFill>
                </w14:textFill>
              </w:rPr>
              <w:t>堆肥发酵场</w:t>
            </w:r>
          </w:p>
        </w:tc>
        <w:tc>
          <w:tcPr>
            <w:tcW w:w="1646" w:type="pct"/>
            <w:vAlign w:val="center"/>
          </w:tcPr>
          <w:p>
            <w:pPr>
              <w:pStyle w:val="332"/>
              <w:jc w:val="both"/>
              <w:rPr>
                <w:color w:val="000000" w:themeColor="text1"/>
                <w:lang w:bidi="en-US"/>
                <w14:textFill>
                  <w14:solidFill>
                    <w14:schemeClr w14:val="tx1"/>
                  </w14:solidFill>
                </w14:textFill>
              </w:rPr>
            </w:pPr>
            <w:r>
              <w:rPr>
                <w:color w:val="000000" w:themeColor="text1"/>
                <w:lang w:bidi="en-US"/>
                <w14:textFill>
                  <w14:solidFill>
                    <w14:schemeClr w14:val="tx1"/>
                  </w14:solidFill>
                </w14:textFill>
              </w:rPr>
              <w:t>设置为封闭阳光房，</w:t>
            </w:r>
            <w:r>
              <w:rPr>
                <w:color w:val="000000" w:themeColor="text1"/>
                <w14:textFill>
                  <w14:solidFill>
                    <w14:schemeClr w14:val="tx1"/>
                  </w14:solidFill>
                </w14:textFill>
              </w:rPr>
              <w:t>加强通风，</w:t>
            </w:r>
            <w:r>
              <w:rPr>
                <w:color w:val="000000" w:themeColor="text1"/>
                <w:lang w:bidi="en-US"/>
                <w14:textFill>
                  <w14:solidFill>
                    <w14:schemeClr w14:val="tx1"/>
                  </w14:solidFill>
                </w14:textFill>
              </w:rPr>
              <w:t>出风口</w:t>
            </w:r>
            <w:r>
              <w:rPr>
                <w:color w:val="000000" w:themeColor="text1"/>
                <w14:textFill>
                  <w14:solidFill>
                    <w14:schemeClr w14:val="tx1"/>
                  </w14:solidFill>
                </w14:textFill>
              </w:rPr>
              <w:t>处设置喷淋除臭网，</w:t>
            </w:r>
            <w:r>
              <w:rPr>
                <w:color w:val="000000" w:themeColor="text1"/>
                <w:lang w:bidi="en-US"/>
                <w14:textFill>
                  <w14:solidFill>
                    <w14:schemeClr w14:val="tx1"/>
                  </w14:solidFill>
                </w14:textFill>
              </w:rPr>
              <w:t>喷洒除臭剂，</w:t>
            </w:r>
            <w:r>
              <w:rPr>
                <w:color w:val="000000" w:themeColor="text1"/>
                <w14:textFill>
                  <w14:solidFill>
                    <w14:schemeClr w14:val="tx1"/>
                  </w14:solidFill>
                </w14:textFill>
              </w:rPr>
              <w:t>可消减90%</w:t>
            </w:r>
          </w:p>
        </w:tc>
        <w:tc>
          <w:tcPr>
            <w:tcW w:w="1646" w:type="pct"/>
            <w:vAlign w:val="center"/>
          </w:tcPr>
          <w:p>
            <w:pPr>
              <w:pStyle w:val="332"/>
              <w:jc w:val="both"/>
              <w:rPr>
                <w:color w:val="000000" w:themeColor="text1"/>
                <w14:textFill>
                  <w14:solidFill>
                    <w14:schemeClr w14:val="tx1"/>
                  </w14:solidFill>
                </w14:textFill>
              </w:rPr>
            </w:pPr>
            <w:r>
              <w:rPr>
                <w:color w:val="000000" w:themeColor="text1"/>
                <w:lang w:bidi="en-US"/>
                <w14:textFill>
                  <w14:solidFill>
                    <w14:schemeClr w14:val="tx1"/>
                  </w14:solidFill>
                </w14:textFill>
              </w:rPr>
              <w:t>封闭阳光房，</w:t>
            </w:r>
            <w:r>
              <w:rPr>
                <w:color w:val="000000" w:themeColor="text1"/>
                <w14:textFill>
                  <w14:solidFill>
                    <w14:schemeClr w14:val="tx1"/>
                  </w14:solidFill>
                </w14:textFill>
              </w:rPr>
              <w:t>出风口风机后端设置除臭挡网装置，臭气通过处理后排放；</w:t>
            </w:r>
          </w:p>
        </w:tc>
        <w:tc>
          <w:tcPr>
            <w:tcW w:w="618" w:type="pct"/>
            <w:vMerge w:val="continue"/>
            <w:vAlign w:val="center"/>
          </w:tcPr>
          <w:p>
            <w:pPr>
              <w:pStyle w:val="332"/>
              <w:rPr>
                <w:color w:val="000000" w:themeColor="text1"/>
                <w14:textFill>
                  <w14:solidFill>
                    <w14:schemeClr w14:val="tx1"/>
                  </w14:solidFill>
                </w14:textFill>
              </w:rPr>
            </w:pP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采用上述措施治理后，可有效减轻项目无组织恶臭污染影响。</w:t>
      </w:r>
    </w:p>
    <w:p>
      <w:pPr>
        <w:pStyle w:val="5"/>
        <w:rPr>
          <w:color w:val="000000" w:themeColor="text1"/>
          <w14:textFill>
            <w14:solidFill>
              <w14:schemeClr w14:val="tx1"/>
            </w14:solidFill>
          </w14:textFill>
        </w:rPr>
      </w:pPr>
      <w:r>
        <w:rPr>
          <w:color w:val="000000" w:themeColor="text1"/>
          <w14:textFill>
            <w14:solidFill>
              <w14:schemeClr w14:val="tx1"/>
            </w14:solidFill>
          </w14:textFill>
        </w:rPr>
        <w:t>6.2.1.2无害化设备产生臭气的防治措施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采用动物尸体无害化处理一体化设备处理病死猪，分切、绞碎、发酵、杀菌、干燥等工序均在处理机罐体内密闭进行，全程自动化控制，动物尸体在处理过程中，细菌会分解猪体内的有机成分，将氮和硫氧化成恶臭气体，由于加热会产生含恶臭气体的水蒸气。</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病死猪在无害化处理过程中产生的少量恶臭气体主要成分为NH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和H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通过抽风机将处理箱体内的水蒸气抽出，通过冷凝器、冷却水塔降温，最后通过洗涤塔杀菌并喷淋石灰水除臭，通过阻力球增加气体在洗涤塔内的通道长度和停留时间，喷淋的除臭液与冷却后的尾气反应，恶臭去除效率可达60%，最终实现达标排放，对周围影响不大。</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采用的动物尸体无害化处理一体化设备厂家为集辰（福建）农林发展有限公司，其设备已取得国家知识产权局实用新型专利证书。农业部农业机械化技术开发推广总站以农机推（技）发[2014]18号发布“关于开展病死动物无害化处理装备试验示范工作的通知”，选择北京、辽宁、山东、河南、福建等地选择适度规模的畜禽养殖场（户）作为试验点，根据其养殖规模，配备集辰（福建）农林发展有限公司生产的病死动物无害化处理装备，开展试验示范；根据农业部农业机械化技术开发推广总站于2014年12月病死动物无害化处理试验示范工作材料汇编，其先进性、适用性、安全性和可靠性符合推广要求，可以大面积推广。根据北京市新型肥料质量监督检验站对病死猪处理产出物的检测，产出物样品各指标符合《有机肥料》（NY 525-2012）要求，且应用于蔬菜生产后，蔬菜的重金属等指标均符合要求。</w:t>
      </w:r>
    </w:p>
    <w:p>
      <w:pPr>
        <w:pStyle w:val="5"/>
        <w:rPr>
          <w:color w:val="000000" w:themeColor="text1"/>
          <w14:textFill>
            <w14:solidFill>
              <w14:schemeClr w14:val="tx1"/>
            </w14:solidFill>
          </w14:textFill>
        </w:rPr>
      </w:pPr>
      <w:r>
        <w:rPr>
          <w:color w:val="000000" w:themeColor="text1"/>
          <w14:textFill>
            <w14:solidFill>
              <w14:schemeClr w14:val="tx1"/>
            </w14:solidFill>
          </w14:textFill>
        </w:rPr>
        <w:t>6.2.1.3沼气发电机燃烧废气的防治措施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本项目沼气经气水分离、脱硫后用于沼气发电机燃烧发电，沼气发电机废气主要为SO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、NOx，尾气由15 m高的排气筒排放。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沼气发电机采用沼气为燃料，SO</w:t>
      </w:r>
      <w:r>
        <w:rPr>
          <w:rFonts w:cs="Times New Roman"/>
          <w:color w:val="000000" w:themeColor="text1"/>
          <w:vertAlign w:val="subscript"/>
          <w14:textFill>
            <w14:solidFill>
              <w14:schemeClr w14:val="tx1"/>
            </w14:solidFill>
          </w14:textFill>
        </w:rPr>
        <w:t xml:space="preserve">2 </w:t>
      </w:r>
      <w:r>
        <w:rPr>
          <w:rFonts w:cs="Times New Roman"/>
          <w:color w:val="000000" w:themeColor="text1"/>
          <w14:textFill>
            <w14:solidFill>
              <w14:schemeClr w14:val="tx1"/>
            </w14:solidFill>
          </w14:textFill>
        </w:rPr>
        <w:t>排放浓度为4.72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，满足《大气污染物综合排放标准》（GB16297-1996）表2中大气污染物二氧化硫、氮氧化物二级标准限值要求</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 xml:space="preserve">NOx </w:t>
      </w:r>
      <w:r>
        <w:rPr>
          <w:rFonts w:hint="eastAsia" w:cs="Times New Roman"/>
          <w:color w:val="000000" w:themeColor="text1"/>
          <w14:textFill>
            <w14:solidFill>
              <w14:schemeClr w14:val="tx1"/>
            </w14:solidFill>
          </w14:textFill>
        </w:rPr>
        <w:t>排放</w:t>
      </w:r>
      <w:r>
        <w:rPr>
          <w:rFonts w:cs="Times New Roman"/>
          <w:color w:val="000000" w:themeColor="text1"/>
          <w14:textFill>
            <w14:solidFill>
              <w14:schemeClr w14:val="tx1"/>
            </w14:solidFill>
          </w14:textFill>
        </w:rPr>
        <w:t>量为0.045 t/a</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发电量76319.4 kWh/a</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w:t>
      </w:r>
      <w:r>
        <w:rPr>
          <w:rFonts w:hint="eastAsia" w:cs="Times New Roman"/>
          <w:color w:val="000000" w:themeColor="text1"/>
          <w14:textFill>
            <w14:solidFill>
              <w14:schemeClr w14:val="tx1"/>
            </w14:solidFill>
          </w14:textFill>
        </w:rPr>
        <w:t>折合0</w:t>
      </w:r>
      <w:r>
        <w:rPr>
          <w:rFonts w:cs="Times New Roman"/>
          <w:color w:val="000000" w:themeColor="text1"/>
          <w14:textFill>
            <w14:solidFill>
              <w14:schemeClr w14:val="tx1"/>
            </w14:solidFill>
          </w14:textFill>
        </w:rPr>
        <w:t xml:space="preserve">.59 g/kwh </w:t>
      </w:r>
      <w:r>
        <w:rPr>
          <w:rFonts w:hint="eastAsia" w:cs="Times New Roman"/>
          <w:color w:val="000000" w:themeColor="text1"/>
          <w14:textFill>
            <w14:solidFill>
              <w14:schemeClr w14:val="tx1"/>
            </w14:solidFill>
          </w14:textFill>
        </w:rPr>
        <w:t>符合</w:t>
      </w:r>
      <w:r>
        <w:rPr>
          <w:rFonts w:cs="Times New Roman"/>
          <w:bCs/>
          <w:color w:val="000000" w:themeColor="text1"/>
          <w:szCs w:val="24"/>
          <w14:textFill>
            <w14:solidFill>
              <w14:schemeClr w14:val="tx1"/>
            </w14:solidFill>
          </w14:textFill>
        </w:rPr>
        <w:t>《车用压燃式、气体燃料点燃式发动机与汽车排气污染物排放限值及测量方法》（中国Ⅲ、Ⅳ、Ⅴ阶段）（GB17691—2005）中Ⅴ阶段标准</w:t>
      </w:r>
      <w:r>
        <w:rPr>
          <w:rFonts w:hint="eastAsia" w:cs="Times New Roman"/>
          <w:bCs/>
          <w:color w:val="000000" w:themeColor="text1"/>
          <w:szCs w:val="24"/>
          <w14:textFill>
            <w14:solidFill>
              <w14:schemeClr w14:val="tx1"/>
            </w14:solidFill>
          </w14:textFill>
        </w:rPr>
        <w:t>：</w:t>
      </w:r>
      <w:r>
        <w:rPr>
          <w:rFonts w:cs="Times New Roman"/>
          <w:color w:val="000000" w:themeColor="text1"/>
          <w14:textFill>
            <w14:solidFill>
              <w14:schemeClr w14:val="tx1"/>
            </w14:solidFill>
          </w14:textFill>
        </w:rPr>
        <w:t>2.0 g/kwh</w:t>
      </w:r>
      <w:r>
        <w:rPr>
          <w:rFonts w:cs="Times New Roman"/>
          <w:bCs/>
          <w:color w:val="000000" w:themeColor="text1"/>
          <w:szCs w:val="24"/>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根据估算模式计算结果，沼气发电机废气中各污染物最大落地浓度占标率均达不到标准的10%，项目沼气发电机废气污染物排放不会对周边大气环境造成明显影响。</w:t>
      </w:r>
    </w:p>
    <w:p>
      <w:pPr>
        <w:pStyle w:val="5"/>
        <w:rPr>
          <w:color w:val="000000" w:themeColor="text1"/>
          <w14:textFill>
            <w14:solidFill>
              <w14:schemeClr w14:val="tx1"/>
            </w14:solidFill>
          </w14:textFill>
        </w:rPr>
      </w:pPr>
      <w:r>
        <w:rPr>
          <w:color w:val="000000" w:themeColor="text1"/>
          <w14:textFill>
            <w14:solidFill>
              <w14:schemeClr w14:val="tx1"/>
            </w14:solidFill>
          </w14:textFill>
        </w:rPr>
        <w:t>6.2.1.4厨房油烟的防治措施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本项目共设置有1处职工食堂，设置基准灶头2个，食堂安装一台油烟净化装置，每个灶头排风量为2000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/h，处理效率大于60%，排出的烟气的油烟含量小于2 mg/m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w:t>
      </w:r>
    </w:p>
    <w:p>
      <w:pPr>
        <w:pStyle w:val="4"/>
        <w:rPr>
          <w:rFonts w:cs="Times New Roman"/>
          <w:color w:val="000000" w:themeColor="text1"/>
          <w14:textFill>
            <w14:solidFill>
              <w14:schemeClr w14:val="tx1"/>
            </w14:solidFill>
          </w14:textFill>
        </w:rPr>
      </w:pPr>
      <w:bookmarkStart w:id="665" w:name="_Toc91163972"/>
      <w:r>
        <w:rPr>
          <w:rFonts w:cs="Times New Roman"/>
          <w:color w:val="000000" w:themeColor="text1"/>
          <w14:textFill>
            <w14:solidFill>
              <w14:schemeClr w14:val="tx1"/>
            </w14:solidFill>
          </w14:textFill>
        </w:rPr>
        <w:t xml:space="preserve">6.2.2 </w:t>
      </w:r>
      <w:bookmarkEnd w:id="664"/>
      <w:r>
        <w:rPr>
          <w:rFonts w:cs="Times New Roman"/>
          <w:color w:val="000000" w:themeColor="text1"/>
          <w14:textFill>
            <w14:solidFill>
              <w14:schemeClr w14:val="tx1"/>
            </w14:solidFill>
          </w14:textFill>
        </w:rPr>
        <w:t>水污染处理措施及可行性论证</w:t>
      </w:r>
      <w:bookmarkEnd w:id="665"/>
    </w:p>
    <w:p>
      <w:pPr>
        <w:pStyle w:val="5"/>
        <w:rPr>
          <w:color w:val="000000" w:themeColor="text1"/>
          <w14:textFill>
            <w14:solidFill>
              <w14:schemeClr w14:val="tx1"/>
            </w14:solidFill>
          </w14:textFill>
        </w:rPr>
      </w:pPr>
      <w:r>
        <w:rPr>
          <w:color w:val="000000" w:themeColor="text1"/>
          <w14:textFill>
            <w14:solidFill>
              <w14:schemeClr w14:val="tx1"/>
            </w14:solidFill>
          </w14:textFill>
        </w:rPr>
        <w:t>6.2.2.1废水处理工艺选择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畜禽养殖废水属于高浓度有机废水，经过厌氧无害化处理后的沼液，不仅含有作物所需的氮、磷、钾等大量元素，还含有硼、铜、铁、锰、钙、锌等丰富的中微量元素，以及大量的有机质、多种氨基酸、维生素、赤霉素、生长素、水解酶、有机酸和腐植酸等生物活性物质，是一种非常理想的液态肥料。</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了最大限度的将沼液进行农田资源化利用，同时结合《畜禽规模养殖污染防治条例》“防治畜禽养殖污染，推进畜禽养殖废弃物的综合利用和无害化处理”的目的，以及第十六条“国家鼓励和支持采取种植和养殖相结合的方式消纳利用畜禽养殖废弃物，促进畜禽粪便、污水等废弃物就地就近利用”牧原公司在遵循“推动畜禽养殖业污染物的减量化、无害化和资源化”的根本原则下，通过“源头控制、过程处理、末端综合利用”等一系列措施，来达到粪污的资源化利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目前处理养殖废水方面主要采用以下两种处理措施：</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1、上流式厌氧污泥床反应器（UASB）</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UASB是第二代高效反应器，具有较高的水力处理负荷，适用于高浓度工业废水和养殖废水的处理。当采用UASB作为有机废水处理工艺时，废水首先进行固液分离处理，去除溶液中含有的大颗粒物质，然后废水被引进UASB反应器的底部，向上流过由絮状或颗粒状厌氧污泥组成的污泥床，随着污水与污泥相接触而发生厌氧反应，产生沼气引起污泥床的扰动。在污泥床产生的沼气有一部分附着在污泥颗粒上，自由气泡和附着在污泥颗粒上的气泡上升至反应器的上部。污泥颗粒上升撞击到三相分离器挡板的下部，这引起附着的气泡释放；脱气的污泥颗粒沉淀回到污泥层的表面。自由状态下的沼气和由污泥颗粒释放的气体被收集在三相分离器锥顶部的集气室内。液体中包含一些剩余的固体物和生物颗粒进入到三相分离器的沉淀区内，剩余固体物和生物颗粒从液体中分离并通过三相分离器的锥板间隙回到污泥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UASB反应器的优点在于可维持较高的污泥浓度，污泥泥龄（30天以上），较高的进水容积负荷率，提高了厌氧反应器单位体积的处理能力。</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UASB反应器的不足之处主要是：进水中悬浮物需要适当控制，不宜过高，否则容易造成三相分离器拥堵，损坏设备；厌氧消化受温度影响很大，冬季须对装置进行加温；水力停留时间较短，废水中的有机质很难完全腐化；为提高UASB反应器的运行可靠性，必须设置各种类型的计量设备和仪表，如控制进水量、投药量等计量设备和pH计（酸度计）、温度测量等自动化仪表；对水质和负荷突然变化较敏感，耐冲击力稍差。</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2、黑膜沼气池（黑膜厌氧发酵塘）工艺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黑膜沼气池是在开挖好的土方基础上，采用优质HDPE材料，由底膜和顶膜密封形成的全封闭厌氧反应器。在黑膜沼气池内，污水中的有机物在微生物作用下降解转化生成沼气，系统配置沼气净化和利用设施。黑膜沼气池容积大、深度较深，污水进入池内后，每天进水量相对较少，因此耐污水的冲击负荷强；加之黑膜沼气池顶部的沼气隔温和地埋式沼气池具有冬季相对恒温的特点，池内污水温度受外界影响较小，冬季不需保温。黑膜沼气池主体工程位于地面以下，顶部、底部用黑膜密封，和外界环境气温不流通，形成独特的小气候，经调查在室外温度2℃，进水温度15.8℃的环境中，经黑膜沼气池发酵后的出水温度达19℃；在室外温度-1℃，进水温度13.6℃的环境中，发酵后的出水温度达17.9℃。污水在池内的滞留期长（30天及以上），厌氧发酵充分，可收集的沼气量多，COD去除率可达到90%以上。</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黑膜沼气池的优点如下：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（1）黑膜沼气池具有优异的化学稳定性，耐高低温，耐沥青、油及焦油，耐酸、碱、盐等80多种强酸强碱化学介质腐蚀；对进水SS 浓度无要求，不会造成污泥淤积，拥堵管道。</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（2）黑膜沼气池施工简单，建设成本低；施工简单，建设周期短；安全性高，工艺流程短，运行维护方便，广泛适用于禽畜粪污水的处理。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（3）项目黑膜沼气池厌氧发酵产生的沼气可以作为燃料综合利用。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（4）黑膜沼气池内温度稳定，有利于厌氧菌发酵，即使在寒季长、气温低的北方地区，黑膜沼气池内也可以保持常温发酵温度，污水处理效果好。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（5）黑膜沼气池厌氧发酵容积大、污水滞留期长、沼气产生量大、运行处理费低。黑膜沼气池的缺点：需依靠四周充足的农田利用厌氧发酵产生的沼液。</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3、工艺比选</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（1）工艺指标对比</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UASB工艺和黑膜沼气池工艺指标对比一览表见表6.2-2。</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表6.2-2 UASB工艺和黑膜沼气池工艺指标对比一览表</w:t>
      </w:r>
    </w:p>
    <w:p>
      <w:pPr>
        <w:pStyle w:val="19"/>
        <w:kinsoku w:val="0"/>
        <w:overflowPunct w:val="0"/>
        <w:spacing w:before="2"/>
        <w:ind w:firstLine="80"/>
        <w:rPr>
          <w:rFonts w:cs="Times New Roman"/>
          <w:color w:val="000000" w:themeColor="text1"/>
          <w:sz w:val="4"/>
          <w:szCs w:val="4"/>
          <w14:textFill>
            <w14:solidFill>
              <w14:schemeClr w14:val="tx1"/>
            </w14:solidFill>
          </w14:textFill>
        </w:rPr>
      </w:pPr>
    </w:p>
    <w:tbl>
      <w:tblPr>
        <w:tblStyle w:val="53"/>
        <w:tblW w:w="9072" w:type="dxa"/>
        <w:tblInd w:w="-14"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559"/>
        <w:gridCol w:w="3827"/>
        <w:gridCol w:w="3686"/>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559"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工艺指标</w:t>
            </w:r>
          </w:p>
        </w:tc>
        <w:tc>
          <w:tcPr>
            <w:tcW w:w="3827"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UASB工艺</w:t>
            </w:r>
          </w:p>
        </w:tc>
        <w:tc>
          <w:tcPr>
            <w:tcW w:w="3686" w:type="dxa"/>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黑膜沼气池</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9" w:type="dxa"/>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原料范围</w:t>
            </w:r>
          </w:p>
        </w:tc>
        <w:tc>
          <w:tcPr>
            <w:tcW w:w="3827" w:type="dxa"/>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畜禽场污水</w:t>
            </w:r>
          </w:p>
        </w:tc>
        <w:tc>
          <w:tcPr>
            <w:tcW w:w="3686" w:type="dxa"/>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畜禽场污水</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原料TS浓度</w:t>
            </w:r>
          </w:p>
        </w:tc>
        <w:tc>
          <w:tcPr>
            <w:tcW w:w="3827"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368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无要求</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应用区域</w:t>
            </w:r>
          </w:p>
        </w:tc>
        <w:tc>
          <w:tcPr>
            <w:tcW w:w="3827"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中部、南部</w:t>
            </w:r>
          </w:p>
        </w:tc>
        <w:tc>
          <w:tcPr>
            <w:tcW w:w="368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全国各地</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单位能耗</w:t>
            </w:r>
          </w:p>
        </w:tc>
        <w:tc>
          <w:tcPr>
            <w:tcW w:w="3827"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中等</w:t>
            </w:r>
          </w:p>
        </w:tc>
        <w:tc>
          <w:tcPr>
            <w:tcW w:w="368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低</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操作难度</w:t>
            </w:r>
          </w:p>
        </w:tc>
        <w:tc>
          <w:tcPr>
            <w:tcW w:w="3827"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较高</w:t>
            </w:r>
          </w:p>
        </w:tc>
        <w:tc>
          <w:tcPr>
            <w:tcW w:w="368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低</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产气率</w:t>
            </w:r>
          </w:p>
        </w:tc>
        <w:tc>
          <w:tcPr>
            <w:tcW w:w="3827"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≥0.5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c>
          <w:tcPr>
            <w:tcW w:w="368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≥0.8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使用寿命</w:t>
            </w:r>
          </w:p>
        </w:tc>
        <w:tc>
          <w:tcPr>
            <w:tcW w:w="3827"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15~20年</w:t>
            </w:r>
          </w:p>
        </w:tc>
        <w:tc>
          <w:tcPr>
            <w:tcW w:w="368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20~30年</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配套装置</w:t>
            </w:r>
          </w:p>
        </w:tc>
        <w:tc>
          <w:tcPr>
            <w:tcW w:w="3827" w:type="dxa"/>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须配套建设保温加热设备、沼气贮存装置；自动化程度要求高，须配套监控设备</w:t>
            </w:r>
          </w:p>
        </w:tc>
        <w:tc>
          <w:tcPr>
            <w:tcW w:w="3686" w:type="dxa"/>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气池集厌氧发酵、贮气于一体；池内污水温度受外界影响较小；污水进出自流、污泥产生量小，自动除渣不容易堵塞</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建设成本</w:t>
            </w:r>
          </w:p>
        </w:tc>
        <w:tc>
          <w:tcPr>
            <w:tcW w:w="3827"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500~700元/m</w:t>
            </w:r>
            <w:r>
              <w:rPr>
                <w:color w:val="000000" w:themeColor="text1"/>
                <w:vertAlign w:val="superscript"/>
                <w14:textFill>
                  <w14:solidFill>
                    <w14:schemeClr w14:val="tx1"/>
                  </w14:solidFill>
                </w14:textFill>
              </w:rPr>
              <w:t>3</w:t>
            </w:r>
          </w:p>
        </w:tc>
        <w:tc>
          <w:tcPr>
            <w:tcW w:w="368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50~60元/m</w:t>
            </w:r>
            <w:r>
              <w:rPr>
                <w:color w:val="000000" w:themeColor="text1"/>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59"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经济效益</w:t>
            </w:r>
          </w:p>
        </w:tc>
        <w:tc>
          <w:tcPr>
            <w:tcW w:w="3827"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低</w:t>
            </w:r>
          </w:p>
        </w:tc>
        <w:tc>
          <w:tcPr>
            <w:tcW w:w="3686" w:type="dxa"/>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佳</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由以上分析可知，黑膜沼气池工艺建设成本低，抗污水冲击力强，管理方便，污染物去除率高等优点。</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（2）处理效果对比</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根据牧原公司提供的数据，牧原公司已运行养殖场（采用机械刮板干清粪养殖工艺，污水处理采用UASB厌氧发酵）废水处理效果见表6.2-3。</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表6.2-3 牧原公司已运行养殖场废水处理效果</w:t>
      </w:r>
    </w:p>
    <w:p>
      <w:pPr>
        <w:kinsoku w:val="0"/>
        <w:overflowPunct w:val="0"/>
        <w:autoSpaceDE w:val="0"/>
        <w:autoSpaceDN w:val="0"/>
        <w:adjustRightInd w:val="0"/>
        <w:spacing w:before="2" w:line="240" w:lineRule="auto"/>
        <w:ind w:firstLine="0" w:firstLineChars="0"/>
        <w:jc w:val="left"/>
        <w:rPr>
          <w:rFonts w:cs="Times New Roman"/>
          <w:color w:val="000000" w:themeColor="text1"/>
          <w:kern w:val="0"/>
          <w:sz w:val="7"/>
          <w:szCs w:val="7"/>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1695"/>
        <w:gridCol w:w="859"/>
        <w:gridCol w:w="1176"/>
        <w:gridCol w:w="987"/>
        <w:gridCol w:w="987"/>
        <w:gridCol w:w="987"/>
        <w:gridCol w:w="1571"/>
        <w:gridCol w:w="839"/>
      </w:tblGrid>
      <w:tr>
        <w:tblPrEx>
          <w:tblCellMar>
            <w:top w:w="0" w:type="dxa"/>
            <w:left w:w="0" w:type="dxa"/>
            <w:bottom w:w="0" w:type="dxa"/>
            <w:right w:w="0" w:type="dxa"/>
          </w:tblCellMar>
        </w:tblPrEx>
        <w:trPr>
          <w:trHeight w:val="397" w:hRule="atLeast"/>
        </w:trPr>
        <w:tc>
          <w:tcPr>
            <w:tcW w:w="1404" w:type="pct"/>
            <w:gridSpan w:val="2"/>
            <w:vMerge w:val="restart"/>
            <w:tcBorders>
              <w:top w:val="single" w:color="auto" w:sz="12"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处理工段</w:t>
            </w:r>
          </w:p>
        </w:tc>
        <w:tc>
          <w:tcPr>
            <w:tcW w:w="2272" w:type="pct"/>
            <w:gridSpan w:val="4"/>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主要污染物浓度（mg/L）</w:t>
            </w:r>
          </w:p>
        </w:tc>
        <w:tc>
          <w:tcPr>
            <w:tcW w:w="863" w:type="pct"/>
            <w:vMerge w:val="restar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性状</w:t>
            </w:r>
          </w:p>
        </w:tc>
        <w:tc>
          <w:tcPr>
            <w:tcW w:w="461" w:type="pct"/>
            <w:vMerge w:val="restart"/>
            <w:tcBorders>
              <w:top w:val="single" w:color="auto" w:sz="12"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水力停留时间</w:t>
            </w:r>
          </w:p>
        </w:tc>
      </w:tr>
      <w:tr>
        <w:tblPrEx>
          <w:tblCellMar>
            <w:top w:w="0" w:type="dxa"/>
            <w:left w:w="0" w:type="dxa"/>
            <w:bottom w:w="0" w:type="dxa"/>
            <w:right w:w="0" w:type="dxa"/>
          </w:tblCellMar>
        </w:tblPrEx>
        <w:trPr>
          <w:trHeight w:val="397" w:hRule="atLeast"/>
        </w:trPr>
        <w:tc>
          <w:tcPr>
            <w:tcW w:w="1404" w:type="pct"/>
            <w:gridSpan w:val="2"/>
            <w:vMerge w:val="continue"/>
            <w:tcBorders>
              <w:top w:val="single" w:color="000000" w:sz="10"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646"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542"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542"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SS</w:t>
            </w:r>
          </w:p>
        </w:tc>
        <w:tc>
          <w:tcPr>
            <w:tcW w:w="542"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863"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461" w:type="pct"/>
            <w:vMerge w:val="continue"/>
            <w:tcBorders>
              <w:top w:val="single" w:color="000000" w:sz="10"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932" w:type="pct"/>
            <w:vMerge w:val="restart"/>
            <w:tcBorders>
              <w:top w:val="single" w:color="auto" w:sz="12" w:space="0"/>
              <w:left w:val="single" w:color="auto" w:sz="12"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污水处理系统进、出口（UASB厌氧发酵）</w:t>
            </w:r>
          </w:p>
        </w:tc>
        <w:tc>
          <w:tcPr>
            <w:tcW w:w="472"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进水</w:t>
            </w:r>
          </w:p>
        </w:tc>
        <w:tc>
          <w:tcPr>
            <w:tcW w:w="646"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8230</w:t>
            </w:r>
          </w:p>
        </w:tc>
        <w:tc>
          <w:tcPr>
            <w:tcW w:w="542"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3873</w:t>
            </w:r>
          </w:p>
        </w:tc>
        <w:tc>
          <w:tcPr>
            <w:tcW w:w="542"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2424</w:t>
            </w:r>
          </w:p>
        </w:tc>
        <w:tc>
          <w:tcPr>
            <w:tcW w:w="542"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968</w:t>
            </w:r>
          </w:p>
        </w:tc>
        <w:tc>
          <w:tcPr>
            <w:tcW w:w="863" w:type="pct"/>
            <w:vMerge w:val="restart"/>
            <w:tcBorders>
              <w:top w:val="single" w:color="auto" w:sz="12"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棕色，腐化程度较低，沼液异味大</w:t>
            </w:r>
          </w:p>
        </w:tc>
        <w:tc>
          <w:tcPr>
            <w:tcW w:w="461" w:type="pct"/>
            <w:vMerge w:val="restart"/>
            <w:tcBorders>
              <w:top w:val="single" w:color="auto" w:sz="12" w:space="0"/>
              <w:left w:val="single" w:color="000000" w:sz="4" w:space="0"/>
              <w:bottom w:val="single" w:color="000000" w:sz="10"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40天</w:t>
            </w:r>
          </w:p>
        </w:tc>
      </w:tr>
      <w:tr>
        <w:tblPrEx>
          <w:tblCellMar>
            <w:top w:w="0" w:type="dxa"/>
            <w:left w:w="0" w:type="dxa"/>
            <w:bottom w:w="0" w:type="dxa"/>
            <w:right w:w="0" w:type="dxa"/>
          </w:tblCellMar>
        </w:tblPrEx>
        <w:trPr>
          <w:trHeight w:val="397" w:hRule="atLeast"/>
        </w:trPr>
        <w:tc>
          <w:tcPr>
            <w:tcW w:w="932" w:type="pct"/>
            <w:vMerge w:val="continue"/>
            <w:tcBorders>
              <w:top w:val="single" w:color="000000" w:sz="4" w:space="0"/>
              <w:left w:val="single" w:color="auto" w:sz="12"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p>
        </w:tc>
        <w:tc>
          <w:tcPr>
            <w:tcW w:w="47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去除率</w:t>
            </w:r>
          </w:p>
        </w:tc>
        <w:tc>
          <w:tcPr>
            <w:tcW w:w="64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60%</w:t>
            </w:r>
          </w:p>
        </w:tc>
        <w:tc>
          <w:tcPr>
            <w:tcW w:w="54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75%</w:t>
            </w:r>
          </w:p>
        </w:tc>
        <w:tc>
          <w:tcPr>
            <w:tcW w:w="54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65%</w:t>
            </w:r>
          </w:p>
        </w:tc>
        <w:tc>
          <w:tcPr>
            <w:tcW w:w="542"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63" w:type="pct"/>
            <w:vMerge w:val="continue"/>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p>
        </w:tc>
        <w:tc>
          <w:tcPr>
            <w:tcW w:w="461" w:type="pct"/>
            <w:vMerge w:val="continue"/>
            <w:tcBorders>
              <w:top w:val="single" w:color="000000" w:sz="4" w:space="0"/>
              <w:left w:val="single" w:color="000000" w:sz="4" w:space="0"/>
              <w:bottom w:val="single" w:color="000000" w:sz="10" w:space="0"/>
              <w:right w:val="single" w:color="auto" w:sz="12"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932" w:type="pct"/>
            <w:vMerge w:val="continue"/>
            <w:tcBorders>
              <w:top w:val="single" w:color="000000" w:sz="4"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472"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出水</w:t>
            </w:r>
          </w:p>
        </w:tc>
        <w:tc>
          <w:tcPr>
            <w:tcW w:w="646"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3292</w:t>
            </w:r>
          </w:p>
        </w:tc>
        <w:tc>
          <w:tcPr>
            <w:tcW w:w="542"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968</w:t>
            </w:r>
          </w:p>
        </w:tc>
        <w:tc>
          <w:tcPr>
            <w:tcW w:w="542"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848</w:t>
            </w:r>
          </w:p>
        </w:tc>
        <w:tc>
          <w:tcPr>
            <w:tcW w:w="542"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871</w:t>
            </w:r>
          </w:p>
        </w:tc>
        <w:tc>
          <w:tcPr>
            <w:tcW w:w="863" w:type="pct"/>
            <w:vMerge w:val="continue"/>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461" w:type="pct"/>
            <w:vMerge w:val="continue"/>
            <w:tcBorders>
              <w:top w:val="single" w:color="000000" w:sz="4"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本项目（采用环保部认可的干清粪养殖工艺，污水处理采用黑膜沼气池厌氧发酵）设计废水处理效果见表6.2-4。</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表6.2-4 本项目设计废水处理效果</w:t>
      </w:r>
    </w:p>
    <w:p>
      <w:pPr>
        <w:kinsoku w:val="0"/>
        <w:overflowPunct w:val="0"/>
        <w:autoSpaceDE w:val="0"/>
        <w:autoSpaceDN w:val="0"/>
        <w:adjustRightInd w:val="0"/>
        <w:spacing w:before="11" w:line="240" w:lineRule="auto"/>
        <w:ind w:firstLine="0" w:firstLineChars="0"/>
        <w:jc w:val="left"/>
        <w:rPr>
          <w:rFonts w:cs="Times New Roman"/>
          <w:color w:val="000000" w:themeColor="text1"/>
          <w:kern w:val="0"/>
          <w:sz w:val="6"/>
          <w:szCs w:val="6"/>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1838"/>
        <w:gridCol w:w="866"/>
        <w:gridCol w:w="972"/>
        <w:gridCol w:w="974"/>
        <w:gridCol w:w="974"/>
        <w:gridCol w:w="976"/>
        <w:gridCol w:w="1585"/>
        <w:gridCol w:w="916"/>
      </w:tblGrid>
      <w:tr>
        <w:tblPrEx>
          <w:tblCellMar>
            <w:top w:w="0" w:type="dxa"/>
            <w:left w:w="0" w:type="dxa"/>
            <w:bottom w:w="0" w:type="dxa"/>
            <w:right w:w="0" w:type="dxa"/>
          </w:tblCellMar>
        </w:tblPrEx>
        <w:trPr>
          <w:trHeight w:val="397" w:hRule="atLeast"/>
        </w:trPr>
        <w:tc>
          <w:tcPr>
            <w:tcW w:w="1486" w:type="pct"/>
            <w:gridSpan w:val="2"/>
            <w:vMerge w:val="restart"/>
            <w:tcBorders>
              <w:top w:val="single" w:color="auto" w:sz="12" w:space="0"/>
              <w:left w:val="single" w:color="auto" w:sz="12"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处理工段</w:t>
            </w:r>
          </w:p>
        </w:tc>
        <w:tc>
          <w:tcPr>
            <w:tcW w:w="2140" w:type="pct"/>
            <w:gridSpan w:val="4"/>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主要污染物浓度（mg/L）</w:t>
            </w:r>
          </w:p>
        </w:tc>
        <w:tc>
          <w:tcPr>
            <w:tcW w:w="871" w:type="pct"/>
            <w:vMerge w:val="restar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性状</w:t>
            </w:r>
          </w:p>
        </w:tc>
        <w:tc>
          <w:tcPr>
            <w:tcW w:w="503" w:type="pct"/>
            <w:vMerge w:val="restart"/>
            <w:tcBorders>
              <w:top w:val="single" w:color="auto" w:sz="12" w:space="0"/>
              <w:left w:val="single" w:color="000000" w:sz="4"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水力停留时间</w:t>
            </w:r>
          </w:p>
        </w:tc>
      </w:tr>
      <w:tr>
        <w:tblPrEx>
          <w:tblCellMar>
            <w:top w:w="0" w:type="dxa"/>
            <w:left w:w="0" w:type="dxa"/>
            <w:bottom w:w="0" w:type="dxa"/>
            <w:right w:w="0" w:type="dxa"/>
          </w:tblCellMar>
        </w:tblPrEx>
        <w:trPr>
          <w:trHeight w:val="397" w:hRule="atLeast"/>
        </w:trPr>
        <w:tc>
          <w:tcPr>
            <w:tcW w:w="1486" w:type="pct"/>
            <w:gridSpan w:val="2"/>
            <w:vMerge w:val="continue"/>
            <w:tcBorders>
              <w:top w:val="single" w:color="000000" w:sz="10"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534"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COD</w:t>
            </w:r>
          </w:p>
        </w:tc>
        <w:tc>
          <w:tcPr>
            <w:tcW w:w="535"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535"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SS</w:t>
            </w:r>
          </w:p>
        </w:tc>
        <w:tc>
          <w:tcPr>
            <w:tcW w:w="536"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871" w:type="pct"/>
            <w:vMerge w:val="continue"/>
            <w:tcBorders>
              <w:top w:val="single" w:color="000000" w:sz="10"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503" w:type="pct"/>
            <w:vMerge w:val="continue"/>
            <w:tcBorders>
              <w:top w:val="single" w:color="000000" w:sz="10"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1010" w:type="pct"/>
            <w:vMerge w:val="restart"/>
            <w:tcBorders>
              <w:top w:val="single" w:color="auto" w:sz="12" w:space="0"/>
              <w:left w:val="single" w:color="auto" w:sz="12"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污水处理系统进、出口（黑膜沼气池厌氧发酵）</w:t>
            </w:r>
          </w:p>
        </w:tc>
        <w:tc>
          <w:tcPr>
            <w:tcW w:w="476"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进水</w:t>
            </w:r>
          </w:p>
        </w:tc>
        <w:tc>
          <w:tcPr>
            <w:tcW w:w="534"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15000</w:t>
            </w:r>
          </w:p>
        </w:tc>
        <w:tc>
          <w:tcPr>
            <w:tcW w:w="535"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6000</w:t>
            </w:r>
          </w:p>
        </w:tc>
        <w:tc>
          <w:tcPr>
            <w:tcW w:w="535"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7800</w:t>
            </w:r>
          </w:p>
        </w:tc>
        <w:tc>
          <w:tcPr>
            <w:tcW w:w="536" w:type="pct"/>
            <w:tcBorders>
              <w:top w:val="single" w:color="auto" w:sz="12"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1000</w:t>
            </w:r>
          </w:p>
        </w:tc>
        <w:tc>
          <w:tcPr>
            <w:tcW w:w="871" w:type="pct"/>
            <w:vMerge w:val="restart"/>
            <w:tcBorders>
              <w:top w:val="single" w:color="auto" w:sz="12"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红棕色，腐化程度较高，沼液异味小</w:t>
            </w:r>
          </w:p>
        </w:tc>
        <w:tc>
          <w:tcPr>
            <w:tcW w:w="503" w:type="pct"/>
            <w:vMerge w:val="restart"/>
            <w:tcBorders>
              <w:top w:val="single" w:color="auto" w:sz="12" w:space="0"/>
              <w:left w:val="single" w:color="000000" w:sz="4" w:space="0"/>
              <w:bottom w:val="single" w:color="000000" w:sz="10"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45天</w:t>
            </w:r>
          </w:p>
        </w:tc>
      </w:tr>
      <w:tr>
        <w:tblPrEx>
          <w:tblCellMar>
            <w:top w:w="0" w:type="dxa"/>
            <w:left w:w="0" w:type="dxa"/>
            <w:bottom w:w="0" w:type="dxa"/>
            <w:right w:w="0" w:type="dxa"/>
          </w:tblCellMar>
        </w:tblPrEx>
        <w:trPr>
          <w:trHeight w:val="397" w:hRule="atLeast"/>
        </w:trPr>
        <w:tc>
          <w:tcPr>
            <w:tcW w:w="1010" w:type="pct"/>
            <w:vMerge w:val="continue"/>
            <w:tcBorders>
              <w:top w:val="single" w:color="000000" w:sz="4" w:space="0"/>
              <w:left w:val="single" w:color="auto" w:sz="12"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p>
        </w:tc>
        <w:tc>
          <w:tcPr>
            <w:tcW w:w="47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去除率</w:t>
            </w:r>
          </w:p>
        </w:tc>
        <w:tc>
          <w:tcPr>
            <w:tcW w:w="534"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80.0%</w:t>
            </w:r>
          </w:p>
        </w:tc>
        <w:tc>
          <w:tcPr>
            <w:tcW w:w="53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76.7%</w:t>
            </w:r>
          </w:p>
        </w:tc>
        <w:tc>
          <w:tcPr>
            <w:tcW w:w="535"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74.4%</w:t>
            </w:r>
          </w:p>
        </w:tc>
        <w:tc>
          <w:tcPr>
            <w:tcW w:w="536" w:type="pct"/>
            <w:tcBorders>
              <w:top w:val="single" w:color="000000" w:sz="4" w:space="0"/>
              <w:left w:val="single" w:color="000000" w:sz="4" w:space="0"/>
              <w:bottom w:val="single" w:color="000000" w:sz="4"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c>
          <w:tcPr>
            <w:tcW w:w="871" w:type="pct"/>
            <w:vMerge w:val="continue"/>
            <w:tcBorders>
              <w:top w:val="single" w:color="000000" w:sz="4" w:space="0"/>
              <w:left w:val="single" w:color="000000" w:sz="4" w:space="0"/>
              <w:bottom w:val="single" w:color="000000" w:sz="10" w:space="0"/>
              <w:right w:val="single" w:color="000000" w:sz="4" w:space="0"/>
            </w:tcBorders>
            <w:vAlign w:val="center"/>
          </w:tcPr>
          <w:p>
            <w:pPr>
              <w:pStyle w:val="332"/>
              <w:rPr>
                <w:color w:val="000000" w:themeColor="text1"/>
                <w14:textFill>
                  <w14:solidFill>
                    <w14:schemeClr w14:val="tx1"/>
                  </w14:solidFill>
                </w14:textFill>
              </w:rPr>
            </w:pPr>
          </w:p>
        </w:tc>
        <w:tc>
          <w:tcPr>
            <w:tcW w:w="503" w:type="pct"/>
            <w:vMerge w:val="continue"/>
            <w:tcBorders>
              <w:top w:val="single" w:color="000000" w:sz="4" w:space="0"/>
              <w:left w:val="single" w:color="000000" w:sz="4" w:space="0"/>
              <w:bottom w:val="single" w:color="000000" w:sz="10" w:space="0"/>
              <w:right w:val="single" w:color="auto" w:sz="12" w:space="0"/>
            </w:tcBorders>
            <w:vAlign w:val="center"/>
          </w:tcPr>
          <w:p>
            <w:pPr>
              <w:pStyle w:val="332"/>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1010" w:type="pct"/>
            <w:vMerge w:val="continue"/>
            <w:tcBorders>
              <w:top w:val="single" w:color="000000" w:sz="4" w:space="0"/>
              <w:left w:val="single" w:color="auto" w:sz="12"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476"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出水</w:t>
            </w:r>
          </w:p>
        </w:tc>
        <w:tc>
          <w:tcPr>
            <w:tcW w:w="534"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3000</w:t>
            </w:r>
          </w:p>
        </w:tc>
        <w:tc>
          <w:tcPr>
            <w:tcW w:w="535"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1400</w:t>
            </w:r>
          </w:p>
        </w:tc>
        <w:tc>
          <w:tcPr>
            <w:tcW w:w="535"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2000</w:t>
            </w:r>
          </w:p>
        </w:tc>
        <w:tc>
          <w:tcPr>
            <w:tcW w:w="536" w:type="pct"/>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900</w:t>
            </w:r>
          </w:p>
        </w:tc>
        <w:tc>
          <w:tcPr>
            <w:tcW w:w="871" w:type="pct"/>
            <w:vMerge w:val="continue"/>
            <w:tcBorders>
              <w:top w:val="single" w:color="000000" w:sz="4" w:space="0"/>
              <w:left w:val="single" w:color="000000" w:sz="4" w:space="0"/>
              <w:bottom w:val="single" w:color="auto" w:sz="12" w:space="0"/>
              <w:right w:val="single" w:color="000000" w:sz="4" w:space="0"/>
            </w:tcBorders>
            <w:vAlign w:val="center"/>
          </w:tcPr>
          <w:p>
            <w:pPr>
              <w:pStyle w:val="332"/>
              <w:rPr>
                <w:color w:val="000000" w:themeColor="text1"/>
                <w14:textFill>
                  <w14:solidFill>
                    <w14:schemeClr w14:val="tx1"/>
                  </w14:solidFill>
                </w14:textFill>
              </w:rPr>
            </w:pPr>
          </w:p>
        </w:tc>
        <w:tc>
          <w:tcPr>
            <w:tcW w:w="503" w:type="pct"/>
            <w:vMerge w:val="continue"/>
            <w:tcBorders>
              <w:top w:val="single" w:color="000000" w:sz="4" w:space="0"/>
              <w:left w:val="single" w:color="000000" w:sz="4"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由表6.2-2、表6.2-3可知，UASB厌氧发酵工艺主要污染物处理效率分别为COD60%、BOD575%、SS65%、氨氮10%，水力停留时间为3天，出水呈棕色，腐化程度较低，沼液异味大；由表3.2-5可知，黑膜沼气池厌氧发酵工艺主要污染物处理效率分别为COD84.6%、BOD582.5%、SS87.5%、氨氮25%，设计水力停留时间为45天，出水呈红棕色，腐化程度较高，沼液异味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参考《省环保厅、省农业厅、省畜牧局关于印发畜禽养殖业污染源总量减排技术指导意见（试行）的通知》（豫环文[2012]99号）猪场污染减排模式的基础上，对以上粪污处理工艺进行综合比较，因为采用环保部认可的干清粪工艺后，养殖废水中COD、氨氮、悬浮物浓度较大，宜采用污染物处理效率较高，对进水悬浮物浓度无要求的黑膜沼气池厌氧发酵工艺污染物处理；该工艺已在牧原公司唐河六场进行应用，取得较好的效果。</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因此，本项目选用黑膜沼气池处理场内养殖、生产及生活废水：养猪场采用干清粪方式，建设治污设施，粪便生产肥料，污水/尿液经处理后还田（项目拟选场址位于农村地区，周边有大量农田可供沼液综合利用），无污水排放口进行外排，有与养殖规模相适应的消纳土地，且治污设施满足养殖场规模需求。保证COD、氨氮100%总量减排。</w:t>
      </w:r>
    </w:p>
    <w:p>
      <w:pPr>
        <w:pStyle w:val="5"/>
        <w:rPr>
          <w:color w:val="000000" w:themeColor="text1"/>
          <w14:textFill>
            <w14:solidFill>
              <w14:schemeClr w14:val="tx1"/>
            </w14:solidFill>
          </w14:textFill>
        </w:rPr>
      </w:pPr>
      <w:r>
        <w:rPr>
          <w:color w:val="000000" w:themeColor="text1"/>
          <w14:textFill>
            <w14:solidFill>
              <w14:schemeClr w14:val="tx1"/>
            </w14:solidFill>
          </w14:textFill>
        </w:rPr>
        <w:t>6.2.2.2项目拟采用的废水处理工艺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本项目采用环保部认可的干清粪工艺清理养殖舍粪尿，养殖粪尿从粪污储存池流出后即进入污水处理区处理，项目拟采用“预处理+厌氧发酵”处理工艺处理养殖粪尿污水。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黑膜沼气池集发酵、贮气于一体，采用防渗膜材料将整个厌氧塘进行全封闭，具有施工简单方便、快速、造价低，工艺流程简单、运行维护方便，污水滞留时间长、消化充分、密封性能好、日产沼气量多，防渗膜材料抗拉强度高、抗老化及耐腐蚀性能强、防渗效果好，利用黑膜吸收阳光、增温保温效果好，池底设自动排沼渣装置、池内沼渣量少等优点。同时，黑膜沼气池还能很好地解决混凝土沼气工程因温度变化而产生收缩、胀裂引起的渗水、漏水、漏气问题以及地面式钢板沼气工程的钢板易腐蚀、管道易堵塞、设备易损坏、运行费用高等问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企业发展规划并结合上述分析，本项目采用“预处理+厌氧发酵+沼液”的处理工艺。废水经处理后，产生的沼气用于食堂用气，多余沼气经火炬燃烧处理，沼液用于农肥，沼渣堆肥发酵后作为有机肥基料外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该处理工艺实现了猪场自身产粪的全部消化和资源综合利用，使粪便和废水变废为宝，取得了良好的经济效益与生态效益。</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本项目污染物处理及综合利用具体污染治理工艺说明描述如下：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黑膜沼气池：本项目采用黑膜沼气池，粪便污水泵送至固液分离机，分离出的大分子固体颗粒黑膜沼气池，经45天厌氧发酵去除大部分有机物，污水出黑膜沼气池后，沼液排入沼液储存池暂存，在施肥季节根据农作物需求液态施肥，排出的沼渣经过固液分离、堆肥发酵后，作为有机肥基料外售。对于周围有大面积农田的养殖场，黑膜沼气池发酵后的沼液是环保高效的液态肥料，实现种养结合，零排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沼液储存池：黑膜沼气池沼液进入沼液储存池，沼液用于周围农田农肥。</w:t>
      </w:r>
    </w:p>
    <w:p>
      <w:pPr>
        <w:pStyle w:val="5"/>
        <w:rPr>
          <w:color w:val="000000" w:themeColor="text1"/>
          <w14:textFill>
            <w14:solidFill>
              <w14:schemeClr w14:val="tx1"/>
            </w14:solidFill>
          </w14:textFill>
        </w:rPr>
      </w:pPr>
      <w:r>
        <w:rPr>
          <w:color w:val="000000" w:themeColor="text1"/>
          <w14:textFill>
            <w14:solidFill>
              <w14:schemeClr w14:val="tx1"/>
            </w14:solidFill>
          </w14:textFill>
        </w:rPr>
        <w:t>6.2.2.3沼液综合利用措施可行性分析</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1、沼液综合利用可行性分析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根据国内外大量实验研究及实际运用表明，沼液尤其是养殖废水处理后的沼液，不仅含有作物所需求丰富的N、P、K 等大量元素外，还含有硼、铜、铁、锰、钙、锌等中微量元素，以及大量的有机质、多种氨基酸和维生素等。施用沼液，不仅能显著改良土壤、增加作物产量、确保农作物生长所需要的良好微生态系统，还有利于增强其抗冻、抗旱、抗虫能力。因此沼液是一种非常理想的液态肥料。对沼液进行农田利用总体是可行的。</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2、土地沼液消纳能力</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（1）沼液肥效确定</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沼液中含量最多也是最主要的可被作物吸收利用的为N素。根据工程设计，工程沼液中的氨氮含量为900 mg/L，查找类比资料可知，养殖废水中氨氮浓度为总氮的80%左右，则总氮浓度为1125 mg/L。</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（2）农田消纳能力计算</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根据第三章3.3.4.3小节中“沼液资源化利用”计算结果可知，本项目沼液全部利用所需配套消纳耕地面积为594亩。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了保证工程所产生的沼液能过100%综合利用，公司采用配套农田模式来推进沼液消纳。公司与屯留区丰宜镇牛角川村村民委员会签订协议（见附件），利用牛角川村共650亩农田消纳项目产生的沼液。沼液消纳范围详见图3.3-5。项目产生的沼液可全部被消纳。</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消纳地由当地农民根据需要自己种植作物，公司负责无偿将沼液输送管网敷设至田间地头，然后根据施肥需求定期派出技术人员指导农户合理施用沼液。</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（3）当地农田施肥规律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调研，当地施肥规律为：对于小麦和玉米均为施基肥一次、追肥一次，其中小麦在返青期或拔节期进行追肥，玉米在大喇叭口期进行追肥（多数不进行追肥），基肥和追肥用量比例为2:1~3:1，均为复合肥或化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（4）沼液农肥利用及实施方案</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建设单位在沼液消纳地区无偿建设沼液输送管网，并合理设置预留口，结合当地施肥规律，建议沼液施用规律为全部用作基肥。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根据沼液综合利用协议可知，建设单位根据农民土地位置设计并负责铺设沼液输送管网等综合利用配套设施，在每个浇灌口设有阀门，每两个浇灌口间隔50-60 m。农肥利用季节农民根据自身需要进行使用。若用作基肥，当地群众只需通过软管和预留口连接，在田间农田进行施肥。若用作追加肥，需用清水稀释后用于田间浇灌。另外，根据施肥需求建设单位定期派出管理和技术人员指导农户合理施用沼液。据调查，当地农田液态农肥施肥采用机井，若农户需要沼液配施，建设单位负责沼液的输送。</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3、沼液利用的管理措施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（1）沼液输送管线，做好防腐工作，定期进行检修，一旦发生滴漏，沼液排入沼液储存池，待维护完毕后方可输送；</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（2）沼液施肥区根据地形进行单元划分，分单元进行开沟施肥，施肥完毕后要进行覆土处理，防止农田施肥不匀引起的地下水污染问题；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（3）严格根据评价要求，控制施肥量，严禁突击沼液施肥，在非施肥期及雨季，沼液由沼液储存池暂存。</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对沼液施肥农田区域定期进行观测，施肥农田区设置地下水观测井，根据项目所在区域的地下水流向为从北向南，沼液消纳区下游杜村水井作为观测井，观察沼液长期施肥对地下水的累积性影响。此外，环评建议应对项目消纳地跟踪监测土壤养分变化范围及变化规律，分析养料供需平衡，并按照农作物生长情况科学控制沼液的施用量，避免盲目追求肥效，过量施肥，超过土壤承载能力，对地下水产生污染。</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综上所述，本项目废水处理后，完全可被周围农田消纳，所在区域周围环境可消纳本项目产生的废水，同时减少农田灌溉用水消耗。从节约用水，保护环境角度出发，本项目采用的废水处理工艺环境经济可行。</w:t>
      </w:r>
    </w:p>
    <w:p>
      <w:pPr>
        <w:pStyle w:val="4"/>
        <w:rPr>
          <w:rFonts w:cs="Times New Roman"/>
          <w:color w:val="000000" w:themeColor="text1"/>
          <w14:textFill>
            <w14:solidFill>
              <w14:schemeClr w14:val="tx1"/>
            </w14:solidFill>
          </w14:textFill>
        </w:rPr>
      </w:pPr>
      <w:bookmarkStart w:id="666" w:name="_Toc91163973"/>
      <w:r>
        <w:rPr>
          <w:rFonts w:cs="Times New Roman"/>
          <w:color w:val="000000" w:themeColor="text1"/>
          <w14:textFill>
            <w14:solidFill>
              <w14:schemeClr w14:val="tx1"/>
            </w14:solidFill>
          </w14:textFill>
        </w:rPr>
        <w:t>6.2.3 地下水污染处理措施及可行性论证</w:t>
      </w:r>
      <w:bookmarkEnd w:id="666"/>
    </w:p>
    <w:p>
      <w:pPr>
        <w:pStyle w:val="5"/>
        <w:rPr>
          <w:color w:val="000000" w:themeColor="text1"/>
          <w14:textFill>
            <w14:solidFill>
              <w14:schemeClr w14:val="tx1"/>
            </w14:solidFill>
          </w14:textFill>
        </w:rPr>
      </w:pPr>
      <w:r>
        <w:rPr>
          <w:color w:val="000000" w:themeColor="text1"/>
          <w14:textFill>
            <w14:solidFill>
              <w14:schemeClr w14:val="tx1"/>
            </w14:solidFill>
          </w14:textFill>
        </w:rPr>
        <w:t>6.2.3.1地下水防治措施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畜禽养殖业污染防治技术规范》（HJ/T81-2001）规定，养殖场的排水系统应实施雨水和污水收集输送系统分离，在场内设置的污水收集输送系统，不得采用明沟布设，排水沟应采取水泥硬化防渗措施或采用水泥排水管进行输送，防止随处溢流和下渗污染。</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2、废水、猪粪贮存设施、固粪处置区应采取有效的防渗处理工艺，防止废水、粪便淋滤污染地下水。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黑膜沼气池池壁在清场夯实的基础上采用铺设土膜夯实+HDPE膜进行防渗，底部设置排气沟，最底部排气沟中放置排水管，并设置导流渠，以防止污染地下水，同时各废水输送管道应做到防泄漏、跑冒等；固粪处置区应采取有效的防雨、防渗漏措施，其上搭建雨棚，防止降雨进入、堆肥场内，还应设渗滤水收集沟，并与污水收集系统相连。在猪舍与粪便堆放场之前建设隔离墙，并适当绿化。防止污水渗漏对地下水造成污染。因此，本项目养殖区、治污区“三防”措施应严格按照以上要求执行。</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具体本项目防渗工程污染防治分区情况见表6.2-4。</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表6.2-4 项目防渗工程污染防治分区</w:t>
      </w:r>
    </w:p>
    <w:p>
      <w:pPr>
        <w:kinsoku w:val="0"/>
        <w:overflowPunct w:val="0"/>
        <w:autoSpaceDE w:val="0"/>
        <w:autoSpaceDN w:val="0"/>
        <w:adjustRightInd w:val="0"/>
        <w:spacing w:before="1" w:line="240" w:lineRule="auto"/>
        <w:ind w:firstLine="0" w:firstLineChars="0"/>
        <w:jc w:val="left"/>
        <w:rPr>
          <w:rFonts w:cs="Times New Roman"/>
          <w:color w:val="000000" w:themeColor="text1"/>
          <w:kern w:val="0"/>
          <w:sz w:val="7"/>
          <w:szCs w:val="7"/>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391"/>
        <w:gridCol w:w="2448"/>
        <w:gridCol w:w="2141"/>
        <w:gridCol w:w="1855"/>
        <w:gridCol w:w="2266"/>
      </w:tblGrid>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15"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345"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1176"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防渗区域及部位</w:t>
            </w:r>
          </w:p>
        </w:tc>
        <w:tc>
          <w:tcPr>
            <w:tcW w:w="101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防渗等级</w:t>
            </w:r>
          </w:p>
        </w:tc>
        <w:tc>
          <w:tcPr>
            <w:tcW w:w="1245"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防渗要求</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15"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w:t>
            </w:r>
          </w:p>
        </w:tc>
        <w:tc>
          <w:tcPr>
            <w:tcW w:w="1345"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养殖区</w:t>
            </w:r>
          </w:p>
        </w:tc>
        <w:tc>
          <w:tcPr>
            <w:tcW w:w="1176"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粪道、尿道</w:t>
            </w:r>
          </w:p>
        </w:tc>
        <w:tc>
          <w:tcPr>
            <w:tcW w:w="1019"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重点</w:t>
            </w:r>
          </w:p>
        </w:tc>
        <w:tc>
          <w:tcPr>
            <w:tcW w:w="1245"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等效粘土防渗层</w:t>
            </w:r>
          </w:p>
          <w:p>
            <w:pPr>
              <w:pStyle w:val="332"/>
              <w:rPr>
                <w:color w:val="000000" w:themeColor="text1"/>
                <w14:textFill>
                  <w14:solidFill>
                    <w14:schemeClr w14:val="tx1"/>
                  </w14:solidFill>
                </w14:textFill>
              </w:rPr>
            </w:pPr>
            <w:r>
              <w:rPr>
                <w:color w:val="000000" w:themeColor="text1"/>
                <w14:textFill>
                  <w14:solidFill>
                    <w14:schemeClr w14:val="tx1"/>
                  </w14:solidFill>
                </w14:textFill>
              </w:rPr>
              <w:t>Mb≥6.0 m，</w:t>
            </w:r>
          </w:p>
          <w:p>
            <w:pPr>
              <w:pStyle w:val="332"/>
              <w:rPr>
                <w:color w:val="000000" w:themeColor="text1"/>
                <w14:textFill>
                  <w14:solidFill>
                    <w14:schemeClr w14:val="tx1"/>
                  </w14:solidFill>
                </w14:textFill>
              </w:rPr>
            </w:pPr>
            <w:r>
              <w:rPr>
                <w:color w:val="000000" w:themeColor="text1"/>
                <w14:textFill>
                  <w14:solidFill>
                    <w14:schemeClr w14:val="tx1"/>
                  </w14:solidFill>
                </w14:textFill>
              </w:rPr>
              <w:t>K≤1×10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 xml:space="preserve"> cm/s</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1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c>
          <w:tcPr>
            <w:tcW w:w="13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黑膜沼气池、沼液储存池</w:t>
            </w:r>
          </w:p>
        </w:tc>
        <w:tc>
          <w:tcPr>
            <w:tcW w:w="117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池底、池壁、收集管沟</w:t>
            </w:r>
          </w:p>
        </w:tc>
        <w:tc>
          <w:tcPr>
            <w:tcW w:w="10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重点</w:t>
            </w:r>
          </w:p>
        </w:tc>
        <w:tc>
          <w:tcPr>
            <w:tcW w:w="1245"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1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c>
          <w:tcPr>
            <w:tcW w:w="13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固粪处理区</w:t>
            </w:r>
          </w:p>
        </w:tc>
        <w:tc>
          <w:tcPr>
            <w:tcW w:w="117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地面</w:t>
            </w:r>
          </w:p>
        </w:tc>
        <w:tc>
          <w:tcPr>
            <w:tcW w:w="10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重点</w:t>
            </w:r>
          </w:p>
        </w:tc>
        <w:tc>
          <w:tcPr>
            <w:tcW w:w="1245"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1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w:t>
            </w:r>
          </w:p>
        </w:tc>
        <w:tc>
          <w:tcPr>
            <w:tcW w:w="13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无害化处理车间</w:t>
            </w:r>
          </w:p>
        </w:tc>
        <w:tc>
          <w:tcPr>
            <w:tcW w:w="117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地面</w:t>
            </w:r>
          </w:p>
        </w:tc>
        <w:tc>
          <w:tcPr>
            <w:tcW w:w="10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重点</w:t>
            </w:r>
          </w:p>
        </w:tc>
        <w:tc>
          <w:tcPr>
            <w:tcW w:w="1245"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1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13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医疗废物暂存间</w:t>
            </w:r>
          </w:p>
        </w:tc>
        <w:tc>
          <w:tcPr>
            <w:tcW w:w="117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地面</w:t>
            </w:r>
          </w:p>
        </w:tc>
        <w:tc>
          <w:tcPr>
            <w:tcW w:w="10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重点</w:t>
            </w:r>
          </w:p>
        </w:tc>
        <w:tc>
          <w:tcPr>
            <w:tcW w:w="1245"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1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6</w:t>
            </w:r>
          </w:p>
        </w:tc>
        <w:tc>
          <w:tcPr>
            <w:tcW w:w="13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事故池</w:t>
            </w:r>
          </w:p>
        </w:tc>
        <w:tc>
          <w:tcPr>
            <w:tcW w:w="117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池底、池壁、收集管沟</w:t>
            </w:r>
          </w:p>
        </w:tc>
        <w:tc>
          <w:tcPr>
            <w:tcW w:w="10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重点</w:t>
            </w:r>
          </w:p>
        </w:tc>
        <w:tc>
          <w:tcPr>
            <w:tcW w:w="1245"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1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7</w:t>
            </w:r>
          </w:p>
        </w:tc>
        <w:tc>
          <w:tcPr>
            <w:tcW w:w="13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办公楼、场内道路</w:t>
            </w:r>
          </w:p>
        </w:tc>
        <w:tc>
          <w:tcPr>
            <w:tcW w:w="117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地面</w:t>
            </w:r>
          </w:p>
        </w:tc>
        <w:tc>
          <w:tcPr>
            <w:tcW w:w="10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简单</w:t>
            </w:r>
          </w:p>
        </w:tc>
        <w:tc>
          <w:tcPr>
            <w:tcW w:w="1245"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压实、一般地面硬化</w:t>
            </w:r>
          </w:p>
        </w:tc>
      </w:tr>
      <w:tr>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1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8</w:t>
            </w:r>
          </w:p>
        </w:tc>
        <w:tc>
          <w:tcPr>
            <w:tcW w:w="1345"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其他区域</w:t>
            </w:r>
          </w:p>
        </w:tc>
        <w:tc>
          <w:tcPr>
            <w:tcW w:w="117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地面</w:t>
            </w:r>
          </w:p>
        </w:tc>
        <w:tc>
          <w:tcPr>
            <w:tcW w:w="10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简单</w:t>
            </w:r>
          </w:p>
        </w:tc>
        <w:tc>
          <w:tcPr>
            <w:tcW w:w="1245" w:type="pct"/>
            <w:vMerge w:val="continue"/>
            <w:vAlign w:val="center"/>
          </w:tcPr>
          <w:p>
            <w:pPr>
              <w:pStyle w:val="332"/>
              <w:rPr>
                <w:color w:val="000000" w:themeColor="text1"/>
                <w14:textFill>
                  <w14:solidFill>
                    <w14:schemeClr w14:val="tx1"/>
                  </w14:solidFill>
                </w14:textFill>
              </w:rPr>
            </w:pP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3、做好各池体的防渗工作，应充分考虑农田作期影响和雨季影响，能够保证有足够的容量以容纳养殖场产生的废水。各池建设时应高出地面至少20 cm以上，以保证大雨时雨水不进入，污水不外溢。</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沼液适当施用，由企业结合天气状况、当地土地消纳能力、当地农田施肥规律等定时定量合理施肥，防治过度施肥而影响地下水环境。并且，防止在雨天进行施肥，以避免沼液随雨水垂直进入地下水，造成污染。</w:t>
      </w:r>
    </w:p>
    <w:p>
      <w:pPr>
        <w:pStyle w:val="5"/>
        <w:rPr>
          <w:color w:val="000000" w:themeColor="text1"/>
          <w14:textFill>
            <w14:solidFill>
              <w14:schemeClr w14:val="tx1"/>
            </w14:solidFill>
          </w14:textFill>
        </w:rPr>
      </w:pPr>
      <w:r>
        <w:rPr>
          <w:color w:val="000000" w:themeColor="text1"/>
          <w14:textFill>
            <w14:solidFill>
              <w14:schemeClr w14:val="tx1"/>
            </w14:solidFill>
          </w14:textFill>
        </w:rPr>
        <w:t>6.2.3.2分区防渗方案</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1、重点防渗区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重点防渗区主要为猪舍下方粪便暂存池、粪道、尿道，黑膜沼气池、沼液储存池、事故池的池底、池壁，固粪处理区地面、医疗废物暂存间贮泥池和粪污收集管道、沼液消纳管网等区域。依据《规模化畜禽养殖场沼气工程设计规范》（NY/T1222）、《混凝土结构设计规范》（GB50010）的要求和《危险废物贮存污染控制标准》（GB 18597-2001）对重点污染防治区进行了防渗设计。具体见表6.2-5。</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6.2-5 </w:t>
      </w:r>
      <w:r>
        <w:rPr>
          <w:rFonts w:cs="Times New Roman"/>
          <w:color w:val="000000" w:themeColor="text1"/>
          <w14:textFill>
            <w14:solidFill>
              <w14:schemeClr w14:val="tx1"/>
            </w14:solidFill>
          </w14:textFill>
        </w:rPr>
        <w:t>项目污染地下途径及防治措施一览表</w:t>
      </w:r>
    </w:p>
    <w:tbl>
      <w:tblPr>
        <w:tblStyle w:val="54"/>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458"/>
        <w:gridCol w:w="4955"/>
        <w:gridCol w:w="21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786"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项目</w:t>
            </w:r>
          </w:p>
        </w:tc>
        <w:tc>
          <w:tcPr>
            <w:tcW w:w="2671"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保护措施</w:t>
            </w:r>
          </w:p>
        </w:tc>
        <w:tc>
          <w:tcPr>
            <w:tcW w:w="1159"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达到效果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w:t>
            </w:r>
          </w:p>
        </w:tc>
        <w:tc>
          <w:tcPr>
            <w:tcW w:w="786"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养殖区</w:t>
            </w:r>
          </w:p>
        </w:tc>
        <w:tc>
          <w:tcPr>
            <w:tcW w:w="2671" w:type="pct"/>
            <w:tcBorders>
              <w:top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养殖区猪舍底部采用混凝土防渗，减少污染物的跑、冒、滴、漏，将污染物泄漏的环境风险降到最低限度。防渗系数</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1159" w:type="pct"/>
            <w:vMerge w:val="restart"/>
            <w:tcBorders>
              <w:top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各反应池及储存池均符合《规模化畜禽养殖场沼气工程设计规范（NY/T1222）和《混凝土结构设计规范》（GB50010的要求，具备“防渗、防雨、防溢”的三防措施；畜禽粪便的贮存相关要求，应具备防渗、防风、防雨的三防措施，雨污分流满足《畜禽养殖业污染防治技术规范》（HJ/T81-2001）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w:t>
            </w:r>
          </w:p>
        </w:tc>
        <w:tc>
          <w:tcPr>
            <w:tcW w:w="78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黑膜沼气池</w:t>
            </w:r>
          </w:p>
        </w:tc>
        <w:tc>
          <w:tcPr>
            <w:tcW w:w="267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池内采用土膜夯实+HDPE防渗膜，防渗系数K≤1×10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1159"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3</w:t>
            </w:r>
          </w:p>
        </w:tc>
        <w:tc>
          <w:tcPr>
            <w:tcW w:w="78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沼液储存池</w:t>
            </w:r>
          </w:p>
        </w:tc>
        <w:tc>
          <w:tcPr>
            <w:tcW w:w="267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池内采用土膜夯实+HDPE防渗膜，防渗系数K≤1×10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cm/s；沼液输送管网为PVC-U管</w:t>
            </w:r>
          </w:p>
        </w:tc>
        <w:tc>
          <w:tcPr>
            <w:tcW w:w="1159"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78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无害化处理车间</w:t>
            </w:r>
          </w:p>
        </w:tc>
        <w:tc>
          <w:tcPr>
            <w:tcW w:w="267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防渗层为至少1m厚粘土层（渗透系数≤1×10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cm/s），或2 mm厚高密度聚乙烯，或至少2 mm厚的其它人工材料，渗透系数≤1×10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1159"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w:t>
            </w:r>
          </w:p>
        </w:tc>
        <w:tc>
          <w:tcPr>
            <w:tcW w:w="78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固粪处理区</w:t>
            </w:r>
          </w:p>
        </w:tc>
        <w:tc>
          <w:tcPr>
            <w:tcW w:w="267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采用素土夯实+混凝土防渗，具备“三防”措施。防渗系数</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1159"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6</w:t>
            </w:r>
          </w:p>
        </w:tc>
        <w:tc>
          <w:tcPr>
            <w:tcW w:w="78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排污沟</w:t>
            </w:r>
          </w:p>
        </w:tc>
        <w:tc>
          <w:tcPr>
            <w:tcW w:w="267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采取暗沟形式，具备防止淤集以利于定期清理的条件， 排污沟混凝土结构，渗透系数1.0×10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 xml:space="preserve"> cm/s</w:t>
            </w:r>
          </w:p>
        </w:tc>
        <w:tc>
          <w:tcPr>
            <w:tcW w:w="1159"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7</w:t>
            </w:r>
          </w:p>
        </w:tc>
        <w:tc>
          <w:tcPr>
            <w:tcW w:w="78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场区雨、污管网</w:t>
            </w:r>
          </w:p>
        </w:tc>
        <w:tc>
          <w:tcPr>
            <w:tcW w:w="267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雨水管道混凝土防渗，粪污管道是地埋式PE管和PVC管道</w:t>
            </w:r>
          </w:p>
        </w:tc>
        <w:tc>
          <w:tcPr>
            <w:tcW w:w="1159"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8</w:t>
            </w:r>
          </w:p>
        </w:tc>
        <w:tc>
          <w:tcPr>
            <w:tcW w:w="78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事故池</w:t>
            </w:r>
          </w:p>
        </w:tc>
        <w:tc>
          <w:tcPr>
            <w:tcW w:w="267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池内采用土膜夯实+HDPE防渗膜，防渗系数K≤1×10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1159" w:type="pct"/>
            <w:vMerge w:val="continue"/>
            <w:vAlign w:val="center"/>
          </w:tcPr>
          <w:p>
            <w:pPr>
              <w:pStyle w:val="332"/>
              <w:widowControl w:val="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4"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9</w:t>
            </w:r>
          </w:p>
        </w:tc>
        <w:tc>
          <w:tcPr>
            <w:tcW w:w="786"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医疗废物暂存间</w:t>
            </w:r>
          </w:p>
        </w:tc>
        <w:tc>
          <w:tcPr>
            <w:tcW w:w="267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基础必须防渗，防渗层为至少</w:t>
            </w:r>
            <w:r>
              <w:rPr>
                <w:color w:val="000000" w:themeColor="text1"/>
                <w:spacing w:val="-59"/>
                <w14:textFill>
                  <w14:solidFill>
                    <w14:schemeClr w14:val="tx1"/>
                  </w14:solidFill>
                </w14:textFill>
              </w:rPr>
              <w:t xml:space="preserve"> </w:t>
            </w:r>
            <w:r>
              <w:rPr>
                <w:color w:val="000000" w:themeColor="text1"/>
                <w14:textFill>
                  <w14:solidFill>
                    <w14:schemeClr w14:val="tx1"/>
                  </w14:solidFill>
                </w14:textFill>
              </w:rPr>
              <w:t>1 m厚粘土层（渗透系数≤10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cm/s），或</w:t>
            </w:r>
            <w:r>
              <w:rPr>
                <w:color w:val="000000" w:themeColor="text1"/>
                <w:spacing w:val="-56"/>
                <w14:textFill>
                  <w14:solidFill>
                    <w14:schemeClr w14:val="tx1"/>
                  </w14:solidFill>
                </w14:textFill>
              </w:rPr>
              <w:t xml:space="preserve"> </w:t>
            </w:r>
            <w:r>
              <w:rPr>
                <w:color w:val="000000" w:themeColor="text1"/>
                <w14:textFill>
                  <w14:solidFill>
                    <w14:schemeClr w14:val="tx1"/>
                  </w14:solidFill>
                </w14:textFill>
              </w:rPr>
              <w:t>2</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mm厚高密度聚乙烯，或至少</w:t>
            </w:r>
            <w:r>
              <w:rPr>
                <w:color w:val="000000" w:themeColor="text1"/>
                <w:spacing w:val="-56"/>
                <w14:textFill>
                  <w14:solidFill>
                    <w14:schemeClr w14:val="tx1"/>
                  </w14:solidFill>
                </w14:textFill>
              </w:rPr>
              <w:t xml:space="preserve"> </w:t>
            </w:r>
            <w:r>
              <w:rPr>
                <w:color w:val="000000" w:themeColor="text1"/>
                <w14:textFill>
                  <w14:solidFill>
                    <w14:schemeClr w14:val="tx1"/>
                  </w14:solidFill>
                </w14:textFill>
              </w:rPr>
              <w:t>2</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mm厚的其它人工材料，渗透系数≤10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115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《危险废物贮存污染控制标准》（GB18597-2001）及2013修改单</w:t>
            </w:r>
          </w:p>
        </w:tc>
      </w:tr>
    </w:tbl>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2、简单防渗区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简单防渗区主要为场内道路、生活区和沼液消纳管网，场内道路和生活区为一般地面硬化。沼液消纳管网采取地埋PE管或PCV管形式。</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本项目防渗区图见图6.2-1。</w:t>
      </w:r>
    </w:p>
    <w:p>
      <w:pPr>
        <w:ind w:firstLine="480"/>
        <w:rPr>
          <w:rFonts w:cs="Times New Roman"/>
          <w:color w:val="000000" w:themeColor="text1"/>
          <w14:textFill>
            <w14:solidFill>
              <w14:schemeClr w14:val="tx1"/>
            </w14:solidFill>
          </w14:textFill>
        </w:rPr>
        <w:sectPr>
          <w:pgSz w:w="11907" w:h="16840"/>
          <w:pgMar w:top="1531" w:right="1418" w:bottom="1531" w:left="1418" w:header="851" w:footer="992" w:gutter="0"/>
          <w:pgNumType w:fmt="numberInDash"/>
          <w:cols w:space="720" w:num="1"/>
          <w:docGrid w:linePitch="312" w:charSpace="0"/>
        </w:sectPr>
      </w:pPr>
      <w:r>
        <w:rPr>
          <w:rFonts w:cs="Times New Roman"/>
          <w:color w:val="000000" w:themeColor="text1"/>
          <w14:textFill>
            <w14:solidFill>
              <w14:schemeClr w14:val="tx1"/>
            </w14:solidFill>
          </w14:textFill>
        </w:rPr>
        <w:t>综上分析，建设项目场区地下水敏感性差，污染物排放简单，在落实好防渗、防污措施后，本项目污染物能到达有效处理，对下水水质影响较小，项目的建设不会产生其他环境地质问题，因此对下水环境影响较小。</w:t>
      </w:r>
    </w:p>
    <w:p>
      <w:pPr>
        <w:pStyle w:val="333"/>
        <w:spacing w:before="120"/>
        <w:rPr>
          <w:rFonts w:cs="Times New Roman"/>
          <w:color w:val="000000" w:themeColor="text1"/>
          <w14:textFill>
            <w14:solidFill>
              <w14:schemeClr w14:val="tx1"/>
            </w14:solidFill>
          </w14:textFill>
        </w:rPr>
        <w:sectPr>
          <w:pgSz w:w="11907" w:h="16840"/>
          <w:pgMar w:top="1531" w:right="1418" w:bottom="1531" w:left="1418" w:header="851" w:footer="992" w:gutter="0"/>
          <w:pgNumType w:fmt="numberInDash"/>
          <w:cols w:space="720" w:num="1"/>
          <w:docGrid w:linePitch="312" w:charSpace="0"/>
        </w:sectPr>
      </w:pPr>
      <w:r>
        <w:rPr>
          <w:rFonts w:cs="Times New Roman"/>
          <w:color w:val="000000" w:themeColor="text1"/>
          <w14:textFill>
            <w14:solidFill>
              <w14:schemeClr w14:val="tx1"/>
            </w14:solidFill>
          </w14:textFill>
        </w:rPr>
        <w:drawing>
          <wp:anchor distT="0" distB="0" distL="114300" distR="114300" simplePos="0" relativeHeight="251784192" behindDoc="0" locked="0" layoutInCell="1" allowOverlap="1">
            <wp:simplePos x="0" y="0"/>
            <wp:positionH relativeFrom="column">
              <wp:posOffset>0</wp:posOffset>
            </wp:positionH>
            <wp:positionV relativeFrom="paragraph">
              <wp:posOffset>228600</wp:posOffset>
            </wp:positionV>
            <wp:extent cx="5484495" cy="6788150"/>
            <wp:effectExtent l="0" t="0" r="1905" b="0"/>
            <wp:wrapTopAndBottom/>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noChangeArrowheads="true"/>
                    </pic:cNvPicPr>
                  </pic:nvPicPr>
                  <pic:blipFill>
                    <a:blip r:embed="rId54" cstate="print">
                      <a:extLst>
                        <a:ext uri="{28A0092B-C50C-407E-A947-70E740481C1C}">
                          <a14:useLocalDpi xmlns:a14="http://schemas.microsoft.com/office/drawing/2010/main" val="false"/>
                        </a:ext>
                      </a:extLst>
                    </a:blip>
                    <a:srcRect/>
                    <a:stretch>
                      <a:fillRect/>
                    </a:stretch>
                  </pic:blipFill>
                  <pic:spPr>
                    <a:xfrm>
                      <a:off x="0" y="0"/>
                      <a:ext cx="5484495" cy="6788150"/>
                    </a:xfrm>
                    <a:prstGeom prst="rect">
                      <a:avLst/>
                    </a:prstGeom>
                    <a:noFill/>
                    <a:ln>
                      <a:noFill/>
                    </a:ln>
                  </pic:spPr>
                </pic:pic>
              </a:graphicData>
            </a:graphic>
          </wp:anchor>
        </w:drawing>
      </w:r>
      <w:r>
        <w:rPr>
          <w:rFonts w:cs="Times New Roman"/>
          <w:color w:val="000000" w:themeColor="text1"/>
          <w14:textFill>
            <w14:solidFill>
              <w14:schemeClr w14:val="tx1"/>
            </w14:solidFill>
          </w14:textFill>
        </w:rPr>
        <w:t>图6.2-1 本项目分区防渗示意图</w:t>
      </w:r>
    </w:p>
    <w:p>
      <w:pPr>
        <w:pStyle w:val="4"/>
        <w:rPr>
          <w:rFonts w:cs="Times New Roman"/>
          <w:color w:val="000000" w:themeColor="text1"/>
          <w14:textFill>
            <w14:solidFill>
              <w14:schemeClr w14:val="tx1"/>
            </w14:solidFill>
          </w14:textFill>
        </w:rPr>
      </w:pPr>
      <w:bookmarkStart w:id="667" w:name="_Toc91163974"/>
      <w:r>
        <w:rPr>
          <w:rFonts w:cs="Times New Roman"/>
          <w:color w:val="000000" w:themeColor="text1"/>
          <w14:textFill>
            <w14:solidFill>
              <w14:schemeClr w14:val="tx1"/>
            </w14:solidFill>
          </w14:textFill>
        </w:rPr>
        <w:t>6.2.4 噪声污染防治措施及可行性论证</w:t>
      </w:r>
      <w:bookmarkEnd w:id="66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1、基本原则</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噪声防治对策首先从声源上进行控制，其次采取有效的隔声、消声和吸声等控制措施，并从场区平面布置上综合考虑设备噪声对场区及周边环境的影响。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2、防治措施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（1）从设备选型入手，设备定货时向设备制造企业提出噪声限值，必须选择低噪声的设备；</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（2）对机械传动部件动态不平衡处认真进行平整调整；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（3）对设备进行定期检修，加强润滑作用，保持设备良好的运转状态，尽量降低噪声；</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（4）要求给风机、污水处理区水泵等高噪声设备安装减震垫，并安装在室内；</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在场区周围及场内加强绿化，充分利用建筑的边角孔隙土地及不规划土地进行绿化，场区绿化应结合场区与猪舍之间的隔离、遮荫及防风需要进行。可根据当地实际种植能美化环境、净化空气的树种和花草、不宜种植有毒、有利、飞絮的植物。经预测场界噪声预测为32.1~41.9 dB（A）之间，均达到《工业企业厂界环境噪声排放标准》（GB12348-2008）中1类标准限值要求。</w:t>
      </w:r>
    </w:p>
    <w:p>
      <w:pPr>
        <w:pStyle w:val="4"/>
        <w:rPr>
          <w:rFonts w:cs="Times New Roman"/>
          <w:color w:val="000000" w:themeColor="text1"/>
          <w14:textFill>
            <w14:solidFill>
              <w14:schemeClr w14:val="tx1"/>
            </w14:solidFill>
          </w14:textFill>
        </w:rPr>
      </w:pPr>
      <w:bookmarkStart w:id="668" w:name="_Toc91163975"/>
      <w:r>
        <w:rPr>
          <w:rFonts w:cs="Times New Roman"/>
          <w:color w:val="000000" w:themeColor="text1"/>
          <w14:textFill>
            <w14:solidFill>
              <w14:schemeClr w14:val="tx1"/>
            </w14:solidFill>
          </w14:textFill>
        </w:rPr>
        <w:t>6.2.5 运营期固废防治措施及可行性论证</w:t>
      </w:r>
      <w:bookmarkEnd w:id="668"/>
    </w:p>
    <w:p>
      <w:pPr>
        <w:pStyle w:val="5"/>
        <w:rPr>
          <w:color w:val="000000" w:themeColor="text1"/>
          <w14:textFill>
            <w14:solidFill>
              <w14:schemeClr w14:val="tx1"/>
            </w14:solidFill>
          </w14:textFill>
        </w:rPr>
      </w:pPr>
      <w:r>
        <w:rPr>
          <w:color w:val="000000" w:themeColor="text1"/>
          <w14:textFill>
            <w14:solidFill>
              <w14:schemeClr w14:val="tx1"/>
            </w14:solidFill>
          </w14:textFill>
        </w:rPr>
        <w:t>6.2.5.1固体废物暂存措施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本项目产生的固体废物主要是一般固体废物和危险固体废物。其中一般固体废物主要为猪粪、沼渣、固体残渣、废脱硫剂及生活垃圾，危险固废主要有疾病防疫产生的医疗废物。固体废物的暂存措施如下：</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1、一般固体废物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设置固废暂存池用以暂存废脱硫剂和生活垃圾，按照《一般工业固体废物贮存和填埋》(GB18599-2020)中相应规定，对固废暂存池必须采取防扬撒、防流失、防渗漏等三防措施，进行地面硬化，设顶棚和围挡，避免雨水进入，地基加高10 cm，达到三防要求。</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2、危险废物（医疗废物）</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本项目设置医疗废物暂存间1间，位于办公楼南侧，面积10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，用于收集、贮存养猪过程产生的医疗废物，定期交由有资质的单位处置。</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治理措施可行性分析：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（1）目前国内对于项目运营期间产生的医疗废物，基本都是先暂存于医疗废物暂存间内，收集后交由有资质单位处置，这种处置方式是普遍、可以可靠运行，且所需资金量不大。</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医疗废物暂存间建成具有防水、防渗、防流失的专用危险废物贮存设施贮存危险废物。贮存危险废物的容器材质和衬里要与危险废物相容（不相互反应）。贮存设施必须防渗，基础必须防渗，医疗废物暂存间地面采用环氧树脂地面（防渗要求达到等效黏土防渗层Mb≥1.5 m，K≤1×10</w:t>
      </w:r>
      <w:r>
        <w:rPr>
          <w:rFonts w:cs="Times New Roman"/>
          <w:color w:val="000000" w:themeColor="text1"/>
          <w:vertAlign w:val="superscript"/>
          <w14:textFill>
            <w14:solidFill>
              <w14:schemeClr w14:val="tx1"/>
            </w14:solidFill>
          </w14:textFill>
        </w:rPr>
        <w:t>-7</w:t>
      </w:r>
      <w:r>
        <w:rPr>
          <w:rFonts w:cs="Times New Roman"/>
          <w:color w:val="000000" w:themeColor="text1"/>
          <w14:textFill>
            <w14:solidFill>
              <w14:schemeClr w14:val="tx1"/>
            </w14:solidFill>
          </w14:textFill>
        </w:rPr>
        <w:t>cm/s，防渗等级为P8）。有足够地面承载能力，并能确保雨水不会流至贮存设施内，贮存设施应封闭，以防风、防雨、防日晒。贮存设施内应有安全照明设施及安全防护设施，环工部门应对贮存设施及危险废物进行定期检查。盛装危险废物的容器上必须粘贴符合《危险废物贮存污染控制标准》（GB18597-2001）附录A所示的标签。危险废物贮存库房不得接收未粘贴上述规定的标签或标签填写不规范的危险废物。必须作好危险废物记录，记录上须注明危险废物的名称、来源、数量、特性和包装容器的类别、入库日期、存放库位、废物出库日期及接收单位名称； 危险废物的记录和货单在危险废物回取后应继续保留三年。须定期对所贮存的危险废物包装容器及贮存设施进行检查，发现破损，应及时采取措施清理更换。危险废物贮存库房设置灭火器等防火设备，做好火灾的预防工作。在转移危险废物前，建设单位须按照国家有关规定报批危险废物转移计划；经批准后，产生单位应当向当地生态环境行政主管部门申请领取国务院生态环境行政主管部门统一制定的联单。并在危险废物转移前三日内报告当地生态环境行政主管部门，并同时将预期到达时间报告接受地生态环境行政主管部门。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联单保存期限为五年；贮存危险废物的，其联单保存期限与危险废物贮存期限相同。</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3、本项目运营期医疗废弃物产生量为0.075 t/a，医疗废物暂存间总面积10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，最大储存量约为0.50 t，本项目医疗废物每月清运一次，项目拟建医疗废物暂存间满足本项目医疗废物贮存需求。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因此，从技术、经济、运行可靠、运输过程等角度分析，本项目医疗废物处置措施是可行的。</w:t>
      </w:r>
    </w:p>
    <w:p>
      <w:pPr>
        <w:pStyle w:val="5"/>
        <w:rPr>
          <w:color w:val="000000" w:themeColor="text1"/>
          <w14:textFill>
            <w14:solidFill>
              <w14:schemeClr w14:val="tx1"/>
            </w14:solidFill>
          </w14:textFill>
        </w:rPr>
      </w:pPr>
      <w:r>
        <w:rPr>
          <w:color w:val="000000" w:themeColor="text1"/>
          <w14:textFill>
            <w14:solidFill>
              <w14:schemeClr w14:val="tx1"/>
            </w14:solidFill>
          </w14:textFill>
        </w:rPr>
        <w:t>6.2.5.2固体废物处置</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1、病死猪尸、母猪胎盘的处理与处置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采用集辰（福建）农林发展有限公司生产的病死动物无害化设备对病死猪进行无害化处理，处理工艺为分切、绞碎、发酵、杀菌、干燥五大步骤，在专用微生物菌的作用下，将动物尸体及其废弃物转化为无害粉状有机原料，最终实现批量环保处理、循环经济，达到“源头减废，消除病原菌”的目的。本项目无害化处理机处理能力为1.3 t/d（年处理能力最高可达474.5 t/a），项目病死猪及母猪胎盘年产生量为13.09 t/a，可以随时对病死猪等有机废弃物进行无害化处理，完全分解成粉状有机肥料，处理能力可满足项目需求。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农业部农业机械化技术开发推广总站以农机推（技）发[2014]18 号发布“关于开展病死动物无害化处理装备试验示范工作的通知”，选择北京、辽宁、山东、河南、福建等地选择湿度规模的畜禽养殖场（户）作为试验点，根据其养殖规模，配备集辰（福建）农林发展有限公司生产的病死动物无害化处理装备，开展试验示范。根据农业部农业机械化技术开发推广总站于2014 年12 月病死动物无害化处理试验示范工作材料汇编，集辰（福建）农林发展有限公司病死动物无害化处理设备经试验示范点试验验证，证明其先进性、适用性、安全性和可靠性符合推广要求，可以大面积推广。且根据北京市新型肥料质量监督检验站对病死猪处理产出物的检测，产出物样品各指标符合《有机肥料》（NY 525-2012）要求。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无害化处理后的固体残渣可运至有机肥粪棚进行堆肥处理。</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2、猪粪、沼渣、固体残余物综合利用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本项目猪粪产生量为1351.7 t/a，沼渣产生量为750.95 t/a，无害化处理后固体残渣产生量为1.3 t/a，运至有机肥粪棚进行好氧发酵。新鲜畜禽粪便含水率高为80%，体积大臭味重，企业本着无害化处理和综合利用的原则，拟对产生的猪粪运至有机肥发酵区采取条垛式好氧发酵无害化处理。根据堆肥技术的复杂程度以及使用情况，目前我国主要有三大类堆肥系统：条垛式、静态垛式和反应器系统。</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条垛式是在露天或棚架下，将混合好的原料堆成条垛状，在好氧条件下进行分解的一种堆肥化方式。条垛式堆肥一次发酵周期为1个月。</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在条垛堆肥的基础上进行了改进：选用专门的翻抛机定期翻堆，操作简单，同时该翻抛机还具有破碎的功能，可增大物料的充氧量，更有利于好氧堆肥。为减小气候条件对堆肥的影响，项目有机肥粪棚采用半封闭场棚结构，受气候条件影响的程度降低；在有机肥粪棚通过喷洒植物型除臭剂对恶臭气体进行脱除，操作简单；公司直接在猪舍的机械刮板终端设置有机肥粪棚，减小了堆肥所需的占地面积，同时还减少了运输粪便带来的环境污染。</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堆肥的过程分为4个阶段：前处理、升温期、高温期、后熟期。堆肥进入高温期后，翻堆是控制发酵进程的重要因素。翻堆是堆肥过程中有效的供氧方式，同时有利于散发热量，本项目利用机械翻堆，每天一次。</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项目粪污处理间在满足上述工程措施及运行管理措施后，可实现猪粪污堆肥无害化处理要求，具有技术可行性。</w:t>
      </w:r>
    </w:p>
    <w:p>
      <w:pPr>
        <w:ind w:firstLine="482"/>
        <w:rPr>
          <w:rFonts w:cs="Times New Roman"/>
          <w:b/>
          <w:color w:val="000000" w:themeColor="text1"/>
          <w:szCs w:val="24"/>
          <w14:textFill>
            <w14:solidFill>
              <w14:schemeClr w14:val="tx1"/>
            </w14:solidFill>
          </w14:textFill>
        </w:rPr>
      </w:pPr>
      <w:r>
        <w:rPr>
          <w:rFonts w:cs="Times New Roman"/>
          <w:b/>
          <w:color w:val="000000" w:themeColor="text1"/>
          <w:szCs w:val="24"/>
          <w14:textFill>
            <w14:solidFill>
              <w14:schemeClr w14:val="tx1"/>
            </w14:solidFill>
          </w14:textFill>
        </w:rPr>
        <w:fldChar w:fldCharType="begin"/>
      </w:r>
      <w:r>
        <w:rPr>
          <w:rFonts w:cs="Times New Roman"/>
          <w:b/>
          <w:color w:val="000000" w:themeColor="text1"/>
          <w:szCs w:val="24"/>
          <w14:textFill>
            <w14:solidFill>
              <w14:schemeClr w14:val="tx1"/>
            </w14:solidFill>
          </w14:textFill>
        </w:rPr>
        <w:instrText xml:space="preserve"> = 1 \* GB3 </w:instrText>
      </w:r>
      <w:r>
        <w:rPr>
          <w:rFonts w:cs="Times New Roman"/>
          <w:b/>
          <w:color w:val="000000" w:themeColor="text1"/>
          <w:szCs w:val="24"/>
          <w14:textFill>
            <w14:solidFill>
              <w14:schemeClr w14:val="tx1"/>
            </w14:solidFill>
          </w14:textFill>
        </w:rPr>
        <w:fldChar w:fldCharType="separate"/>
      </w:r>
      <w:r>
        <w:rPr>
          <w:rFonts w:hint="eastAsia" w:ascii="宋体" w:hAnsi="宋体" w:cs="宋体"/>
          <w:b/>
          <w:color w:val="000000" w:themeColor="text1"/>
          <w:szCs w:val="24"/>
          <w14:textFill>
            <w14:solidFill>
              <w14:schemeClr w14:val="tx1"/>
            </w14:solidFill>
          </w14:textFill>
        </w:rPr>
        <w:t>①</w:t>
      </w:r>
      <w:r>
        <w:rPr>
          <w:rFonts w:cs="Times New Roman"/>
          <w:b/>
          <w:color w:val="000000" w:themeColor="text1"/>
          <w:szCs w:val="24"/>
          <w14:textFill>
            <w14:solidFill>
              <w14:schemeClr w14:val="tx1"/>
            </w14:solidFill>
          </w14:textFill>
        </w:rPr>
        <w:fldChar w:fldCharType="end"/>
      </w:r>
      <w:r>
        <w:rPr>
          <w:rFonts w:cs="Times New Roman"/>
          <w:b/>
          <w:color w:val="000000" w:themeColor="text1"/>
          <w:szCs w:val="24"/>
          <w14:textFill>
            <w14:solidFill>
              <w14:schemeClr w14:val="tx1"/>
            </w14:solidFill>
          </w14:textFill>
        </w:rPr>
        <w:t>《畜禽规模养殖场粪污资源化利用设施建设规范（试行）》（2018年，农业部办公厅）符合性分析</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《畜禽规模养殖场粪污资源化利用设施建设规范（试行）》中第二条规定，禽畜粪污资源化利用是指在禽畜粪污处理过程中，通过生产沼气、堆肥、沤肥、水、商品有机肥、电料、基质等方式进行合理利用。</w:t>
      </w:r>
    </w:p>
    <w:p>
      <w:pPr>
        <w:ind w:firstLine="480"/>
        <w:rPr>
          <w:rFonts w:cs="Times New Roman"/>
          <w:color w:val="000000" w:themeColor="text1"/>
          <w:szCs w:val="24"/>
          <w14:textFill>
            <w14:solidFill>
              <w14:schemeClr w14:val="tx1"/>
            </w14:solidFill>
          </w14:textFill>
        </w:rPr>
      </w:pPr>
      <w:r>
        <w:rPr>
          <w:rFonts w:cs="Times New Roman"/>
          <w:color w:val="000000" w:themeColor="text1"/>
          <w:szCs w:val="24"/>
          <w14:textFill>
            <w14:solidFill>
              <w14:schemeClr w14:val="tx1"/>
            </w14:solidFill>
          </w14:textFill>
        </w:rPr>
        <w:t>本项目设置污水处理工程以及有机肥制造工程，对项目产生的粪污进行资源化利用。因此项目符合《畜禽规模养殖场粪污资源化利用设施建设规范（试行）》的要求。</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3、医疗废物的处理与处置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猪只在生长过程接种免疫或发病期接收治疗将产生医疗废物，猪防疫产生医疗废物量为0.075 t/a，定期交由有资质的医疗废物处置单位处置。</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4、废脱硫剂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本项目废脱硫剂产生量约为0.039 t/a，沼气脱硫装置中失去活性的废脱硫剂收集后交由生产厂家回收。</w:t>
      </w:r>
    </w:p>
    <w:p>
      <w:pPr>
        <w:ind w:firstLine="482"/>
        <w:rPr>
          <w:rFonts w:cs="Times New Roman"/>
          <w:b/>
          <w:bCs/>
          <w:color w:val="000000" w:themeColor="text1"/>
          <w14:textFill>
            <w14:solidFill>
              <w14:schemeClr w14:val="tx1"/>
            </w14:solidFill>
          </w14:textFill>
        </w:rPr>
      </w:pPr>
      <w:r>
        <w:rPr>
          <w:rFonts w:cs="Times New Roman"/>
          <w:b/>
          <w:bCs/>
          <w:color w:val="000000" w:themeColor="text1"/>
          <w14:textFill>
            <w14:solidFill>
              <w14:schemeClr w14:val="tx1"/>
            </w14:solidFill>
          </w14:textFill>
        </w:rPr>
        <w:t>5、生活垃圾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本项目生活垃圾产生量为5.48 t/a，场区内设若干垃圾桶，收集后交由环卫部门处理。</w:t>
      </w:r>
    </w:p>
    <w:p>
      <w:pPr>
        <w:pStyle w:val="4"/>
        <w:rPr>
          <w:rFonts w:cs="Times New Roman"/>
          <w:color w:val="000000" w:themeColor="text1"/>
          <w14:textFill>
            <w14:solidFill>
              <w14:schemeClr w14:val="tx1"/>
            </w14:solidFill>
          </w14:textFill>
        </w:rPr>
      </w:pPr>
      <w:bookmarkStart w:id="669" w:name="_Toc91163976"/>
      <w:r>
        <w:rPr>
          <w:rFonts w:cs="Times New Roman"/>
          <w:color w:val="000000" w:themeColor="text1"/>
          <w14:textFill>
            <w14:solidFill>
              <w14:schemeClr w14:val="tx1"/>
            </w14:solidFill>
          </w14:textFill>
        </w:rPr>
        <w:t>6.2.6生态环境保护措施</w:t>
      </w:r>
      <w:bookmarkEnd w:id="669"/>
    </w:p>
    <w:p>
      <w:pPr>
        <w:pStyle w:val="5"/>
        <w:rPr>
          <w:color w:val="000000" w:themeColor="text1"/>
          <w14:textFill>
            <w14:solidFill>
              <w14:schemeClr w14:val="tx1"/>
            </w14:solidFill>
          </w14:textFill>
        </w:rPr>
      </w:pPr>
      <w:r>
        <w:rPr>
          <w:color w:val="000000" w:themeColor="text1"/>
          <w14:textFill>
            <w14:solidFill>
              <w14:schemeClr w14:val="tx1"/>
            </w14:solidFill>
          </w14:textFill>
        </w:rPr>
        <w:t>6.2.6.1防护措施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为进一步改善区域生态环境，建设单位在加强厂内“三废”治理同时，还应加强厂内绿化和硬化工作，保证项目建成后，除设备占地外，全厂地面硬化。利用植物作为治理工业污染的一种经济手段，发挥它们在吸收有害气体、净化空气，降低噪声，改善环境，保持生态平衡方面作用。重点为：生产区周围和道路两侧，应以乔木绿化为主，乔、灌、草合理配置；在厂界四周根据实际条件营造防护林，用以防止污染物对周边生态环境的影响。绿色植物具有多种环境生态效应，如调节空气、温度、湿度，阻挡风沙、滞留空气中的灰尘、恶臭等有害气体等，有些植物还有一定的杀菌能力，此外，树本身还有降噪隔声的功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2、随同项目建设，厂内应健全管理体制，加强生态意识教育，以利于生态环境资源保护。</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结合项目及当地具体情况，进行场区绿化。绿化重点是道路两侧、厂内零散空地、生活区等处。绿化植被以四季常绿且适应当地环境的绿植为主，在场区周围、主厂房等四周种植阔叶乔木树带，以降噪吸尘，减少恶臭影响；在场内道路两旁及各建筑物之间闲散空地，以杨树为骨干树种，配栽灌木绿篱、小乔木等，使其高低相结合，组成浓密树丛；在办公区空地上布置花坛，种植一些低矮而树冠大的观赏树种及开花期长的灌木类，以美化环境；对建设期取土面、施工面及时复垦种草；按当地环保、水保部门的要求对周围设绿化带。树种选用抗毒性强，枝叶茂密、适宜于当地生长条件的乔灌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4、严格保护项目周边的农田生态系统，不得向外扩张和多占土地，所有设施和道路建设不能妨碍农田基本设施的正常运行和周边居民的正常的生产生活活动。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5、场区道路须进行场地硬化。</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6、黑膜沼气池、沼液储存池等处底部均须进行防渗、硬化处理，并定期进行检查、维修。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7、医疗废物暂存间处严格按照《危险废物贮存污染控制标准》，医疗废物暂存间底部、四周均须进行防渗、硬化处理，并定期进行检查、维修。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8、积极预防人为因素引起的环境生态破坏，降低环境风险，及时消除潜在的环境影响。让职工享有环境知情权，调动职工关心健康、预防污染、保护环境的自觉性，通过他们的生产操作消除环境隐患的威胁。</w:t>
      </w:r>
    </w:p>
    <w:p>
      <w:pPr>
        <w:pStyle w:val="5"/>
        <w:rPr>
          <w:color w:val="000000" w:themeColor="text1"/>
          <w14:textFill>
            <w14:solidFill>
              <w14:schemeClr w14:val="tx1"/>
            </w14:solidFill>
          </w14:textFill>
        </w:rPr>
      </w:pPr>
      <w:r>
        <w:rPr>
          <w:color w:val="000000" w:themeColor="text1"/>
          <w14:textFill>
            <w14:solidFill>
              <w14:schemeClr w14:val="tx1"/>
            </w14:solidFill>
          </w14:textFill>
        </w:rPr>
        <w:t>6.2.6.2生态恢复措施</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绿化是改善生态环境的最重要途径之一。绿化具有蓄水、挡风、固沙、降噪、改善小气候、防止水土流失等功能。因此，在项目建设过程中，应有绿化规划，在单项工程设计中应把绿化设计作为一项重要的环保工程来对待。</w:t>
      </w:r>
    </w:p>
    <w:p>
      <w:pPr>
        <w:pStyle w:val="3"/>
        <w:spacing w:before="120" w:after="120"/>
        <w:rPr>
          <w:rFonts w:cs="Times New Roman"/>
          <w:color w:val="000000" w:themeColor="text1"/>
          <w14:textFill>
            <w14:solidFill>
              <w14:schemeClr w14:val="tx1"/>
            </w14:solidFill>
          </w14:textFill>
        </w:rPr>
      </w:pPr>
      <w:bookmarkStart w:id="670" w:name="_Toc58362871"/>
      <w:bookmarkStart w:id="671" w:name="_Toc91163977"/>
      <w:r>
        <w:rPr>
          <w:rFonts w:cs="Times New Roman"/>
          <w:color w:val="000000" w:themeColor="text1"/>
          <w14:textFill>
            <w14:solidFill>
              <w14:schemeClr w14:val="tx1"/>
            </w14:solidFill>
          </w14:textFill>
        </w:rPr>
        <w:t>6.3  环境保护措施汇总</w:t>
      </w:r>
      <w:bookmarkEnd w:id="654"/>
      <w:bookmarkEnd w:id="655"/>
      <w:bookmarkEnd w:id="656"/>
      <w:bookmarkEnd w:id="657"/>
      <w:bookmarkEnd w:id="658"/>
      <w:bookmarkEnd w:id="659"/>
      <w:bookmarkEnd w:id="670"/>
      <w:bookmarkEnd w:id="671"/>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项目环境保护措施汇总见表6.2-7。</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表6.2-7 环保措施汇总表</w:t>
      </w:r>
    </w:p>
    <w:tbl>
      <w:tblPr>
        <w:tblStyle w:val="53"/>
        <w:tblW w:w="5000" w:type="pct"/>
        <w:tblInd w:w="0" w:type="dxa"/>
        <w:tblLayout w:type="autofit"/>
        <w:tblCellMar>
          <w:top w:w="0" w:type="dxa"/>
          <w:left w:w="0" w:type="dxa"/>
          <w:bottom w:w="0" w:type="dxa"/>
          <w:right w:w="0" w:type="dxa"/>
        </w:tblCellMar>
      </w:tblPr>
      <w:tblGrid>
        <w:gridCol w:w="554"/>
        <w:gridCol w:w="1571"/>
        <w:gridCol w:w="714"/>
        <w:gridCol w:w="4709"/>
        <w:gridCol w:w="1553"/>
      </w:tblGrid>
      <w:tr>
        <w:tblPrEx>
          <w:tblCellMar>
            <w:top w:w="0" w:type="dxa"/>
            <w:left w:w="0" w:type="dxa"/>
            <w:bottom w:w="0" w:type="dxa"/>
            <w:right w:w="0" w:type="dxa"/>
          </w:tblCellMar>
        </w:tblPrEx>
        <w:trPr>
          <w:trHeight w:val="397" w:hRule="atLeast"/>
          <w:tblHeader/>
        </w:trPr>
        <w:tc>
          <w:tcPr>
            <w:tcW w:w="305" w:type="pct"/>
            <w:tcBorders>
              <w:top w:val="single" w:color="auto" w:sz="12" w:space="0"/>
              <w:left w:val="single" w:color="auto" w:sz="12" w:space="0"/>
              <w:bottom w:val="single" w:color="auto" w:sz="12" w:space="0"/>
              <w:right w:val="single" w:color="000000" w:sz="6" w:space="0"/>
            </w:tcBorders>
            <w:vAlign w:val="center"/>
          </w:tcPr>
          <w:p>
            <w:pPr>
              <w:pStyle w:val="332"/>
              <w:rPr>
                <w:color w:val="000000" w:themeColor="text1"/>
                <w:sz w:val="24"/>
                <w14:textFill>
                  <w14:solidFill>
                    <w14:schemeClr w14:val="tx1"/>
                  </w14:solidFill>
                </w14:textFill>
              </w:rPr>
            </w:pPr>
            <w:r>
              <w:rPr>
                <w:color w:val="000000" w:themeColor="text1"/>
                <w14:textFill>
                  <w14:solidFill>
                    <w14:schemeClr w14:val="tx1"/>
                  </w14:solidFill>
                </w14:textFill>
              </w:rPr>
              <w:t>类别</w:t>
            </w:r>
          </w:p>
        </w:tc>
        <w:tc>
          <w:tcPr>
            <w:tcW w:w="863"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sz w:val="24"/>
                <w14:textFill>
                  <w14:solidFill>
                    <w14:schemeClr w14:val="tx1"/>
                  </w14:solidFill>
                </w14:textFill>
              </w:rPr>
            </w:pPr>
            <w:r>
              <w:rPr>
                <w:color w:val="000000" w:themeColor="text1"/>
                <w14:textFill>
                  <w14:solidFill>
                    <w14:schemeClr w14:val="tx1"/>
                  </w14:solidFill>
                </w14:textFill>
              </w:rPr>
              <w:t>污染源</w:t>
            </w:r>
          </w:p>
        </w:tc>
        <w:tc>
          <w:tcPr>
            <w:tcW w:w="392"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sz w:val="24"/>
                <w14:textFill>
                  <w14:solidFill>
                    <w14:schemeClr w14:val="tx1"/>
                  </w14:solidFill>
                </w14:textFill>
              </w:rPr>
            </w:pPr>
            <w:r>
              <w:rPr>
                <w:color w:val="000000" w:themeColor="text1"/>
                <w:spacing w:val="-22"/>
                <w14:textFill>
                  <w14:solidFill>
                    <w14:schemeClr w14:val="tx1"/>
                  </w14:solidFill>
                </w14:textFill>
              </w:rPr>
              <w:t>污</w:t>
            </w:r>
            <w:r>
              <w:rPr>
                <w:color w:val="000000" w:themeColor="text1"/>
                <w:spacing w:val="-20"/>
                <w14:textFill>
                  <w14:solidFill>
                    <w14:schemeClr w14:val="tx1"/>
                  </w14:solidFill>
                </w14:textFill>
              </w:rPr>
              <w:t>染</w:t>
            </w:r>
            <w:r>
              <w:rPr>
                <w:color w:val="000000" w:themeColor="text1"/>
                <w14:textFill>
                  <w14:solidFill>
                    <w14:schemeClr w14:val="tx1"/>
                  </w14:solidFill>
                </w14:textFill>
              </w:rPr>
              <w:t>物</w:t>
            </w:r>
          </w:p>
        </w:tc>
        <w:tc>
          <w:tcPr>
            <w:tcW w:w="2587"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sz w:val="24"/>
                <w14:textFill>
                  <w14:solidFill>
                    <w14:schemeClr w14:val="tx1"/>
                  </w14:solidFill>
                </w14:textFill>
              </w:rPr>
            </w:pPr>
            <w:r>
              <w:rPr>
                <w:color w:val="000000" w:themeColor="text1"/>
                <w14:textFill>
                  <w14:solidFill>
                    <w14:schemeClr w14:val="tx1"/>
                  </w14:solidFill>
                </w14:textFill>
              </w:rPr>
              <w:t>污染</w:t>
            </w:r>
            <w:r>
              <w:rPr>
                <w:color w:val="000000" w:themeColor="text1"/>
                <w:spacing w:val="-3"/>
                <w14:textFill>
                  <w14:solidFill>
                    <w14:schemeClr w14:val="tx1"/>
                  </w14:solidFill>
                </w14:textFill>
              </w:rPr>
              <w:t>治</w:t>
            </w:r>
            <w:r>
              <w:rPr>
                <w:color w:val="000000" w:themeColor="text1"/>
                <w14:textFill>
                  <w14:solidFill>
                    <w14:schemeClr w14:val="tx1"/>
                  </w14:solidFill>
                </w14:textFill>
              </w:rPr>
              <w:t>理</w:t>
            </w:r>
            <w:r>
              <w:rPr>
                <w:color w:val="000000" w:themeColor="text1"/>
                <w:spacing w:val="-3"/>
                <w14:textFill>
                  <w14:solidFill>
                    <w14:schemeClr w14:val="tx1"/>
                  </w14:solidFill>
                </w14:textFill>
              </w:rPr>
              <w:t>措</w:t>
            </w:r>
            <w:r>
              <w:rPr>
                <w:color w:val="000000" w:themeColor="text1"/>
                <w14:textFill>
                  <w14:solidFill>
                    <w14:schemeClr w14:val="tx1"/>
                  </w14:solidFill>
                </w14:textFill>
              </w:rPr>
              <w:t>施</w:t>
            </w:r>
          </w:p>
        </w:tc>
        <w:tc>
          <w:tcPr>
            <w:tcW w:w="853" w:type="pct"/>
            <w:tcBorders>
              <w:top w:val="single" w:color="auto" w:sz="12" w:space="0"/>
              <w:left w:val="single" w:color="000000" w:sz="6" w:space="0"/>
              <w:bottom w:val="single" w:color="auto" w:sz="12" w:space="0"/>
              <w:right w:val="single" w:color="auto" w:sz="12" w:space="0"/>
            </w:tcBorders>
            <w:vAlign w:val="center"/>
          </w:tcPr>
          <w:p>
            <w:pPr>
              <w:pStyle w:val="332"/>
              <w:rPr>
                <w:color w:val="000000" w:themeColor="text1"/>
                <w:sz w:val="24"/>
                <w14:textFill>
                  <w14:solidFill>
                    <w14:schemeClr w14:val="tx1"/>
                  </w14:solidFill>
                </w14:textFill>
              </w:rPr>
            </w:pPr>
            <w:r>
              <w:rPr>
                <w:color w:val="000000" w:themeColor="text1"/>
                <w14:textFill>
                  <w14:solidFill>
                    <w14:schemeClr w14:val="tx1"/>
                  </w14:solidFill>
                </w14:textFill>
              </w:rPr>
              <w:t>治理</w:t>
            </w:r>
            <w:r>
              <w:rPr>
                <w:color w:val="000000" w:themeColor="text1"/>
                <w:spacing w:val="-3"/>
                <w14:textFill>
                  <w14:solidFill>
                    <w14:schemeClr w14:val="tx1"/>
                  </w14:solidFill>
                </w14:textFill>
              </w:rPr>
              <w:t>效</w:t>
            </w:r>
            <w:r>
              <w:rPr>
                <w:color w:val="000000" w:themeColor="text1"/>
                <w14:textFill>
                  <w14:solidFill>
                    <w14:schemeClr w14:val="tx1"/>
                  </w14:solidFill>
                </w14:textFill>
              </w:rPr>
              <w:t>果</w:t>
            </w:r>
          </w:p>
        </w:tc>
      </w:tr>
      <w:tr>
        <w:tblPrEx>
          <w:tblCellMar>
            <w:top w:w="0" w:type="dxa"/>
            <w:left w:w="0" w:type="dxa"/>
            <w:bottom w:w="0" w:type="dxa"/>
            <w:right w:w="0" w:type="dxa"/>
          </w:tblCellMar>
        </w:tblPrEx>
        <w:trPr>
          <w:trHeight w:val="397" w:hRule="atLeast"/>
        </w:trPr>
        <w:tc>
          <w:tcPr>
            <w:tcW w:w="305" w:type="pct"/>
            <w:vMerge w:val="restart"/>
            <w:tcBorders>
              <w:top w:val="single" w:color="auto" w:sz="12" w:space="0"/>
              <w:left w:val="single" w:color="auto" w:sz="12" w:space="0"/>
              <w:right w:val="single" w:color="000000" w:sz="6" w:space="0"/>
            </w:tcBorders>
            <w:vAlign w:val="center"/>
          </w:tcPr>
          <w:p>
            <w:pPr>
              <w:pStyle w:val="332"/>
              <w:rPr>
                <w:color w:val="000000" w:themeColor="text1"/>
                <w:sz w:val="24"/>
                <w14:textFill>
                  <w14:solidFill>
                    <w14:schemeClr w14:val="tx1"/>
                  </w14:solidFill>
                </w14:textFill>
              </w:rPr>
            </w:pPr>
            <w:r>
              <w:rPr>
                <w:color w:val="000000" w:themeColor="text1"/>
                <w14:textFill>
                  <w14:solidFill>
                    <w14:schemeClr w14:val="tx1"/>
                  </w14:solidFill>
                </w14:textFill>
              </w:rPr>
              <w:t>废气</w:t>
            </w:r>
          </w:p>
        </w:tc>
        <w:tc>
          <w:tcPr>
            <w:tcW w:w="863" w:type="pct"/>
            <w:tcBorders>
              <w:top w:val="single" w:color="auto" w:sz="12" w:space="0"/>
              <w:left w:val="single" w:color="000000" w:sz="6" w:space="0"/>
              <w:bottom w:val="single" w:color="auto"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p>
            <w:pPr>
              <w:pStyle w:val="332"/>
              <w:rPr>
                <w:color w:val="000000" w:themeColor="text1"/>
                <w:sz w:val="24"/>
                <w14:textFill>
                  <w14:solidFill>
                    <w14:schemeClr w14:val="tx1"/>
                  </w14:solidFill>
                </w14:textFill>
              </w:rPr>
            </w:pPr>
            <w:r>
              <w:rPr>
                <w:color w:val="000000" w:themeColor="text1"/>
                <w14:textFill>
                  <w14:solidFill>
                    <w14:schemeClr w14:val="tx1"/>
                  </w14:solidFill>
                </w14:textFill>
              </w:rPr>
              <w:t>（养殖区）</w:t>
            </w:r>
          </w:p>
        </w:tc>
        <w:tc>
          <w:tcPr>
            <w:tcW w:w="392" w:type="pct"/>
            <w:vMerge w:val="restart"/>
            <w:tcBorders>
              <w:top w:val="single" w:color="auto" w:sz="12" w:space="0"/>
              <w:left w:val="single" w:color="000000" w:sz="6" w:space="0"/>
              <w:right w:val="single" w:color="000000" w:sz="6" w:space="0"/>
            </w:tcBorders>
            <w:vAlign w:val="center"/>
          </w:tcPr>
          <w:p>
            <w:pPr>
              <w:pStyle w:val="332"/>
              <w:rPr>
                <w:color w:val="000000" w:themeColor="text1"/>
                <w:sz w:val="24"/>
                <w14:textFill>
                  <w14:solidFill>
                    <w14:schemeClr w14:val="tx1"/>
                  </w14:solidFill>
                </w14:textFill>
              </w:rPr>
            </w:pPr>
            <w:r>
              <w:rPr>
                <w:color w:val="000000" w:themeColor="text1"/>
                <w:spacing w:val="-11"/>
                <w14:textFill>
                  <w14:solidFill>
                    <w14:schemeClr w14:val="tx1"/>
                  </w14:solidFill>
                </w14:textFill>
              </w:rPr>
              <w:t>N</w:t>
            </w:r>
            <w:r>
              <w:rPr>
                <w:color w:val="000000" w:themeColor="text1"/>
                <w:spacing w:val="-9"/>
                <w14:textFill>
                  <w14:solidFill>
                    <w14:schemeClr w14:val="tx1"/>
                  </w14:solidFill>
                </w14:textFill>
              </w:rPr>
              <w:t>H</w:t>
            </w:r>
            <w:r>
              <w:rPr>
                <w:color w:val="000000" w:themeColor="text1"/>
                <w:spacing w:val="-12"/>
                <w:w w:val="99"/>
                <w:position w:val="-3"/>
                <w:sz w:val="14"/>
                <w:szCs w:val="14"/>
                <w14:textFill>
                  <w14:solidFill>
                    <w14:schemeClr w14:val="tx1"/>
                  </w14:solidFill>
                </w14:textFill>
              </w:rPr>
              <w:t>3</w:t>
            </w:r>
            <w:r>
              <w:rPr>
                <w:color w:val="000000" w:themeColor="text1"/>
                <w:spacing w:val="-22"/>
                <w14:textFill>
                  <w14:solidFill>
                    <w14:schemeClr w14:val="tx1"/>
                  </w14:solidFill>
                </w14:textFill>
              </w:rPr>
              <w:t>、</w:t>
            </w:r>
            <w:r>
              <w:rPr>
                <w:color w:val="000000" w:themeColor="text1"/>
                <w:spacing w:val="-9"/>
                <w14:textFill>
                  <w14:solidFill>
                    <w14:schemeClr w14:val="tx1"/>
                  </w14:solidFill>
                </w14:textFill>
              </w:rPr>
              <w:t>H</w:t>
            </w:r>
            <w:r>
              <w:rPr>
                <w:color w:val="000000" w:themeColor="text1"/>
                <w:spacing w:val="-10"/>
                <w:w w:val="99"/>
                <w:position w:val="-3"/>
                <w:sz w:val="14"/>
                <w:szCs w:val="14"/>
                <w14:textFill>
                  <w14:solidFill>
                    <w14:schemeClr w14:val="tx1"/>
                  </w14:solidFill>
                </w14:textFill>
              </w:rPr>
              <w:t>2</w:t>
            </w:r>
            <w:r>
              <w:rPr>
                <w:color w:val="000000" w:themeColor="text1"/>
                <w14:textFill>
                  <w14:solidFill>
                    <w14:schemeClr w14:val="tx1"/>
                  </w14:solidFill>
                </w14:textFill>
              </w:rPr>
              <w:t>S</w:t>
            </w:r>
          </w:p>
        </w:tc>
        <w:tc>
          <w:tcPr>
            <w:tcW w:w="2587" w:type="pct"/>
            <w:tcBorders>
              <w:top w:val="single" w:color="auto" w:sz="12" w:space="0"/>
              <w:left w:val="single" w:color="000000" w:sz="6" w:space="0"/>
              <w:bottom w:val="single" w:color="auto" w:sz="4" w:space="0"/>
              <w:right w:val="single" w:color="000000" w:sz="6" w:space="0"/>
            </w:tcBorders>
            <w:vAlign w:val="center"/>
          </w:tcPr>
          <w:p>
            <w:pPr>
              <w:pStyle w:val="332"/>
              <w:jc w:val="both"/>
              <w:rPr>
                <w:color w:val="000000" w:themeColor="text1"/>
                <w:sz w:val="24"/>
                <w14:textFill>
                  <w14:solidFill>
                    <w14:schemeClr w14:val="tx1"/>
                  </w14:solidFill>
                </w14:textFill>
              </w:rPr>
            </w:pPr>
            <w:r>
              <w:rPr>
                <w:color w:val="000000" w:themeColor="text1"/>
                <w14:textFill>
                  <w14:solidFill>
                    <w14:schemeClr w14:val="tx1"/>
                  </w14:solidFill>
                </w14:textFill>
              </w:rPr>
              <w:t>饲料添加EM，加强通风，每栋猪舍出风口处设置过滤吸附除臭装置，喷淋含除臭剂的水对臭气进行吸附处理；控制饲养密度、全漏缝地板并及时清粪，喷洒除臭剂等</w:t>
            </w:r>
            <w:r>
              <w:rPr>
                <w:color w:val="000000" w:themeColor="text1"/>
                <w:lang w:bidi="en-US"/>
                <w14:textFill>
                  <w14:solidFill>
                    <w14:schemeClr w14:val="tx1"/>
                  </w14:solidFill>
                </w14:textFill>
              </w:rPr>
              <w:t>，</w:t>
            </w:r>
            <w:r>
              <w:rPr>
                <w:color w:val="000000" w:themeColor="text1"/>
                <w14:textFill>
                  <w14:solidFill>
                    <w14:schemeClr w14:val="tx1"/>
                  </w14:solidFill>
                </w14:textFill>
              </w:rPr>
              <w:t>可消减85%</w:t>
            </w:r>
          </w:p>
        </w:tc>
        <w:tc>
          <w:tcPr>
            <w:tcW w:w="853" w:type="pct"/>
            <w:vMerge w:val="restart"/>
            <w:tcBorders>
              <w:top w:val="single" w:color="auto" w:sz="12" w:space="0"/>
              <w:left w:val="single" w:color="000000" w:sz="6" w:space="0"/>
              <w:right w:val="single" w:color="auto" w:sz="12" w:space="0"/>
            </w:tcBorders>
            <w:vAlign w:val="center"/>
          </w:tcPr>
          <w:p>
            <w:pPr>
              <w:pStyle w:val="332"/>
              <w:jc w:val="both"/>
              <w:rPr>
                <w:color w:val="000000" w:themeColor="text1"/>
                <w:sz w:val="24"/>
                <w14:textFill>
                  <w14:solidFill>
                    <w14:schemeClr w14:val="tx1"/>
                  </w14:solidFill>
                </w14:textFill>
              </w:rPr>
            </w:pPr>
            <w:r>
              <w:rPr>
                <w:color w:val="000000" w:themeColor="text1"/>
                <w:spacing w:val="-3"/>
                <w14:textFill>
                  <w14:solidFill>
                    <w14:schemeClr w14:val="tx1"/>
                  </w14:solidFill>
                </w14:textFill>
              </w:rPr>
              <w:t>《</w:t>
            </w:r>
            <w:r>
              <w:rPr>
                <w:color w:val="000000" w:themeColor="text1"/>
                <w14:textFill>
                  <w14:solidFill>
                    <w14:schemeClr w14:val="tx1"/>
                  </w14:solidFill>
                </w14:textFill>
              </w:rPr>
              <w:t>恶</w:t>
            </w:r>
            <w:r>
              <w:rPr>
                <w:color w:val="000000" w:themeColor="text1"/>
                <w:spacing w:val="-3"/>
                <w14:textFill>
                  <w14:solidFill>
                    <w14:schemeClr w14:val="tx1"/>
                  </w14:solidFill>
                </w14:textFill>
              </w:rPr>
              <w:t>臭</w:t>
            </w:r>
            <w:r>
              <w:rPr>
                <w:color w:val="000000" w:themeColor="text1"/>
                <w14:textFill>
                  <w14:solidFill>
                    <w14:schemeClr w14:val="tx1"/>
                  </w14:solidFill>
                </w14:textFill>
              </w:rPr>
              <w:t>污</w:t>
            </w:r>
            <w:r>
              <w:rPr>
                <w:color w:val="000000" w:themeColor="text1"/>
                <w:spacing w:val="-3"/>
                <w14:textFill>
                  <w14:solidFill>
                    <w14:schemeClr w14:val="tx1"/>
                  </w14:solidFill>
                </w14:textFill>
              </w:rPr>
              <w:t>染</w:t>
            </w:r>
            <w:r>
              <w:rPr>
                <w:color w:val="000000" w:themeColor="text1"/>
                <w14:textFill>
                  <w14:solidFill>
                    <w14:schemeClr w14:val="tx1"/>
                  </w14:solidFill>
                </w14:textFill>
              </w:rPr>
              <w:t>物</w:t>
            </w:r>
            <w:r>
              <w:rPr>
                <w:color w:val="000000" w:themeColor="text1"/>
                <w:spacing w:val="-3"/>
                <w14:textFill>
                  <w14:solidFill>
                    <w14:schemeClr w14:val="tx1"/>
                  </w14:solidFill>
                </w14:textFill>
              </w:rPr>
              <w:t>排</w:t>
            </w:r>
            <w:r>
              <w:rPr>
                <w:color w:val="000000" w:themeColor="text1"/>
                <w14:textFill>
                  <w14:solidFill>
                    <w14:schemeClr w14:val="tx1"/>
                  </w14:solidFill>
                </w14:textFill>
              </w:rPr>
              <w:t>放</w:t>
            </w:r>
            <w:r>
              <w:rPr>
                <w:color w:val="000000" w:themeColor="text1"/>
                <w:spacing w:val="-3"/>
                <w14:textFill>
                  <w14:solidFill>
                    <w14:schemeClr w14:val="tx1"/>
                  </w14:solidFill>
                </w14:textFill>
              </w:rPr>
              <w:t>标</w:t>
            </w:r>
            <w:r>
              <w:rPr>
                <w:color w:val="000000" w:themeColor="text1"/>
                <w14:textFill>
                  <w14:solidFill>
                    <w14:schemeClr w14:val="tx1"/>
                  </w14:solidFill>
                </w14:textFill>
              </w:rPr>
              <w:t>准</w:t>
            </w:r>
            <w:r>
              <w:rPr>
                <w:color w:val="000000" w:themeColor="text1"/>
                <w:spacing w:val="-2"/>
                <w14:textFill>
                  <w14:solidFill>
                    <w14:schemeClr w14:val="tx1"/>
                  </w14:solidFill>
                </w14:textFill>
              </w:rPr>
              <w:t>G</w:t>
            </w:r>
            <w:r>
              <w:rPr>
                <w:color w:val="000000" w:themeColor="text1"/>
                <w14:textFill>
                  <w14:solidFill>
                    <w14:schemeClr w14:val="tx1"/>
                  </w14:solidFill>
                </w14:textFill>
              </w:rPr>
              <w:t>B1</w:t>
            </w:r>
            <w:r>
              <w:rPr>
                <w:color w:val="000000" w:themeColor="text1"/>
                <w:spacing w:val="-3"/>
                <w14:textFill>
                  <w14:solidFill>
                    <w14:schemeClr w14:val="tx1"/>
                  </w14:solidFill>
                </w14:textFill>
              </w:rPr>
              <w:t>4</w:t>
            </w:r>
            <w:r>
              <w:rPr>
                <w:color w:val="000000" w:themeColor="text1"/>
                <w14:textFill>
                  <w14:solidFill>
                    <w14:schemeClr w14:val="tx1"/>
                  </w14:solidFill>
                </w14:textFill>
              </w:rPr>
              <w:t>554</w:t>
            </w:r>
            <w:r>
              <w:rPr>
                <w:color w:val="000000" w:themeColor="text1"/>
                <w:spacing w:val="-4"/>
                <w14:textFill>
                  <w14:solidFill>
                    <w14:schemeClr w14:val="tx1"/>
                  </w14:solidFill>
                </w14:textFill>
              </w:rPr>
              <w:t>-</w:t>
            </w:r>
            <w:r>
              <w:rPr>
                <w:color w:val="000000" w:themeColor="text1"/>
                <w14:textFill>
                  <w14:solidFill>
                    <w14:schemeClr w14:val="tx1"/>
                  </w14:solidFill>
                </w14:textFill>
              </w:rPr>
              <w:t>93表</w:t>
            </w:r>
            <w:r>
              <w:rPr>
                <w:color w:val="000000" w:themeColor="text1"/>
                <w:spacing w:val="-55"/>
                <w14:textFill>
                  <w14:solidFill>
                    <w14:schemeClr w14:val="tx1"/>
                  </w14:solidFill>
                </w14:textFill>
              </w:rPr>
              <w:t xml:space="preserve"> </w:t>
            </w:r>
            <w:r>
              <w:rPr>
                <w:color w:val="000000" w:themeColor="text1"/>
                <w14:textFill>
                  <w14:solidFill>
                    <w14:schemeClr w14:val="tx1"/>
                  </w14:solidFill>
                </w14:textFill>
              </w:rPr>
              <w:t>1</w:t>
            </w:r>
            <w:r>
              <w:rPr>
                <w:color w:val="000000" w:themeColor="text1"/>
                <w:spacing w:val="-39"/>
                <w14:textFill>
                  <w14:solidFill>
                    <w14:schemeClr w14:val="tx1"/>
                  </w14:solidFill>
                </w14:textFill>
              </w:rPr>
              <w:t>及</w:t>
            </w:r>
            <w:r>
              <w:rPr>
                <w:color w:val="000000" w:themeColor="text1"/>
                <w:spacing w:val="-3"/>
                <w14:textFill>
                  <w14:solidFill>
                    <w14:schemeClr w14:val="tx1"/>
                  </w14:solidFill>
                </w14:textFill>
              </w:rPr>
              <w:t>《</w:t>
            </w:r>
            <w:r>
              <w:rPr>
                <w:color w:val="000000" w:themeColor="text1"/>
                <w14:textFill>
                  <w14:solidFill>
                    <w14:schemeClr w14:val="tx1"/>
                  </w14:solidFill>
                </w14:textFill>
              </w:rPr>
              <w:t>畜禽养殖</w:t>
            </w:r>
            <w:r>
              <w:rPr>
                <w:color w:val="000000" w:themeColor="text1"/>
                <w:spacing w:val="-3"/>
                <w14:textFill>
                  <w14:solidFill>
                    <w14:schemeClr w14:val="tx1"/>
                  </w14:solidFill>
                </w14:textFill>
              </w:rPr>
              <w:t>业</w:t>
            </w:r>
            <w:r>
              <w:rPr>
                <w:color w:val="000000" w:themeColor="text1"/>
                <w14:textFill>
                  <w14:solidFill>
                    <w14:schemeClr w14:val="tx1"/>
                  </w14:solidFill>
                </w14:textFill>
              </w:rPr>
              <w:t>污</w:t>
            </w:r>
            <w:r>
              <w:rPr>
                <w:color w:val="000000" w:themeColor="text1"/>
                <w:spacing w:val="-3"/>
                <w14:textFill>
                  <w14:solidFill>
                    <w14:schemeClr w14:val="tx1"/>
                  </w14:solidFill>
                </w14:textFill>
              </w:rPr>
              <w:t>染</w:t>
            </w:r>
            <w:r>
              <w:rPr>
                <w:color w:val="000000" w:themeColor="text1"/>
                <w14:textFill>
                  <w14:solidFill>
                    <w14:schemeClr w14:val="tx1"/>
                  </w14:solidFill>
                </w14:textFill>
              </w:rPr>
              <w:t>物</w:t>
            </w:r>
            <w:r>
              <w:rPr>
                <w:color w:val="000000" w:themeColor="text1"/>
                <w:spacing w:val="-3"/>
                <w14:textFill>
                  <w14:solidFill>
                    <w14:schemeClr w14:val="tx1"/>
                  </w14:solidFill>
                </w14:textFill>
              </w:rPr>
              <w:t>排</w:t>
            </w:r>
            <w:r>
              <w:rPr>
                <w:color w:val="000000" w:themeColor="text1"/>
                <w14:textFill>
                  <w14:solidFill>
                    <w14:schemeClr w14:val="tx1"/>
                  </w14:solidFill>
                </w14:textFill>
              </w:rPr>
              <w:t>放</w:t>
            </w:r>
            <w:r>
              <w:rPr>
                <w:color w:val="000000" w:themeColor="text1"/>
                <w:spacing w:val="-3"/>
                <w14:textFill>
                  <w14:solidFill>
                    <w14:schemeClr w14:val="tx1"/>
                  </w14:solidFill>
                </w14:textFill>
              </w:rPr>
              <w:t>标</w:t>
            </w:r>
            <w:r>
              <w:rPr>
                <w:color w:val="000000" w:themeColor="text1"/>
                <w14:textFill>
                  <w14:solidFill>
                    <w14:schemeClr w14:val="tx1"/>
                  </w14:solidFill>
                </w14:textFill>
              </w:rPr>
              <w:t>准》</w:t>
            </w:r>
            <w:r>
              <w:rPr>
                <w:color w:val="000000" w:themeColor="text1"/>
                <w:spacing w:val="-2"/>
                <w14:textFill>
                  <w14:solidFill>
                    <w14:schemeClr w14:val="tx1"/>
                  </w14:solidFill>
                </w14:textFill>
              </w:rPr>
              <w:t>G</w:t>
            </w:r>
            <w:r>
              <w:rPr>
                <w:color w:val="000000" w:themeColor="text1"/>
                <w14:textFill>
                  <w14:solidFill>
                    <w14:schemeClr w14:val="tx1"/>
                  </w14:solidFill>
                </w14:textFill>
              </w:rPr>
              <w:t>B1</w:t>
            </w:r>
            <w:r>
              <w:rPr>
                <w:color w:val="000000" w:themeColor="text1"/>
                <w:spacing w:val="-3"/>
                <w14:textFill>
                  <w14:solidFill>
                    <w14:schemeClr w14:val="tx1"/>
                  </w14:solidFill>
                </w14:textFill>
              </w:rPr>
              <w:t>8</w:t>
            </w:r>
            <w:r>
              <w:rPr>
                <w:color w:val="000000" w:themeColor="text1"/>
                <w14:textFill>
                  <w14:solidFill>
                    <w14:schemeClr w14:val="tx1"/>
                  </w14:solidFill>
                </w14:textFill>
              </w:rPr>
              <w:t>596</w:t>
            </w:r>
            <w:r>
              <w:rPr>
                <w:color w:val="000000" w:themeColor="text1"/>
                <w:spacing w:val="-3"/>
                <w14:textFill>
                  <w14:solidFill>
                    <w14:schemeClr w14:val="tx1"/>
                  </w14:solidFill>
                </w14:textFill>
              </w:rPr>
              <w:t>-</w:t>
            </w:r>
            <w:r>
              <w:rPr>
                <w:color w:val="000000" w:themeColor="text1"/>
                <w14:textFill>
                  <w14:solidFill>
                    <w14:schemeClr w14:val="tx1"/>
                  </w14:solidFill>
                </w14:textFill>
              </w:rPr>
              <w:t>200</w:t>
            </w:r>
            <w:r>
              <w:rPr>
                <w:color w:val="000000" w:themeColor="text1"/>
                <w:spacing w:val="-3"/>
                <w14:textFill>
                  <w14:solidFill>
                    <w14:schemeClr w14:val="tx1"/>
                  </w14:solidFill>
                </w14:textFill>
              </w:rPr>
              <w:t>1</w:t>
            </w:r>
            <w:r>
              <w:rPr>
                <w:color w:val="000000" w:themeColor="text1"/>
                <w14:textFill>
                  <w14:solidFill>
                    <w14:schemeClr w14:val="tx1"/>
                  </w14:solidFill>
                </w14:textFill>
              </w:rPr>
              <w:t>表</w:t>
            </w:r>
            <w:r>
              <w:rPr>
                <w:color w:val="000000" w:themeColor="text1"/>
                <w:spacing w:val="-53"/>
                <w14:textFill>
                  <w14:solidFill>
                    <w14:schemeClr w14:val="tx1"/>
                  </w14:solidFill>
                </w14:textFill>
              </w:rPr>
              <w:t xml:space="preserve"> </w:t>
            </w:r>
            <w:r>
              <w:rPr>
                <w:color w:val="000000" w:themeColor="text1"/>
                <w14:textFill>
                  <w14:solidFill>
                    <w14:schemeClr w14:val="tx1"/>
                  </w14:solidFill>
                </w14:textFill>
              </w:rPr>
              <w:t>7</w:t>
            </w:r>
            <w:r>
              <w:rPr>
                <w:color w:val="000000" w:themeColor="text1"/>
                <w:spacing w:val="-3"/>
                <w14:textFill>
                  <w14:solidFill>
                    <w14:schemeClr w14:val="tx1"/>
                  </w14:solidFill>
                </w14:textFill>
              </w:rPr>
              <w:t>要求</w:t>
            </w:r>
          </w:p>
        </w:tc>
      </w:tr>
      <w:tr>
        <w:tblPrEx>
          <w:tblCellMar>
            <w:top w:w="0" w:type="dxa"/>
            <w:left w:w="0" w:type="dxa"/>
            <w:bottom w:w="0" w:type="dxa"/>
            <w:right w:w="0" w:type="dxa"/>
          </w:tblCellMar>
        </w:tblPrEx>
        <w:trPr>
          <w:trHeight w:val="397" w:hRule="atLeast"/>
        </w:trPr>
        <w:tc>
          <w:tcPr>
            <w:tcW w:w="305" w:type="pct"/>
            <w:vMerge w:val="continue"/>
            <w:tcBorders>
              <w:left w:val="single" w:color="auto" w:sz="12" w:space="0"/>
              <w:right w:val="single" w:color="000000" w:sz="6" w:space="0"/>
            </w:tcBorders>
            <w:vAlign w:val="center"/>
          </w:tcPr>
          <w:p>
            <w:pPr>
              <w:pStyle w:val="332"/>
              <w:rPr>
                <w:color w:val="000000" w:themeColor="text1"/>
                <w:highlight w:val="yellow"/>
                <w14:textFill>
                  <w14:solidFill>
                    <w14:schemeClr w14:val="tx1"/>
                  </w14:solidFill>
                </w14:textFill>
              </w:rPr>
            </w:pPr>
          </w:p>
        </w:tc>
        <w:tc>
          <w:tcPr>
            <w:tcW w:w="863" w:type="pct"/>
            <w:tcBorders>
              <w:top w:val="single" w:color="auto" w:sz="4" w:space="0"/>
              <w:left w:val="single" w:color="000000" w:sz="6" w:space="0"/>
              <w:bottom w:val="single" w:color="auto" w:sz="4" w:space="0"/>
              <w:right w:val="single" w:color="000000" w:sz="6" w:space="0"/>
            </w:tcBorders>
            <w:vAlign w:val="center"/>
          </w:tcPr>
          <w:p>
            <w:pPr>
              <w:pStyle w:val="332"/>
              <w:rPr>
                <w:color w:val="000000" w:themeColor="text1"/>
                <w:sz w:val="24"/>
                <w14:textFill>
                  <w14:solidFill>
                    <w14:schemeClr w14:val="tx1"/>
                  </w14:solidFill>
                </w14:textFill>
              </w:rPr>
            </w:pPr>
            <w:r>
              <w:rPr>
                <w:color w:val="000000" w:themeColor="text1"/>
                <w:lang w:bidi="en-US"/>
                <w14:textFill>
                  <w14:solidFill>
                    <w14:schemeClr w14:val="tx1"/>
                  </w14:solidFill>
                </w14:textFill>
              </w:rPr>
              <w:t>黑膜沼气池、沼液储存池</w:t>
            </w:r>
          </w:p>
        </w:tc>
        <w:tc>
          <w:tcPr>
            <w:tcW w:w="392" w:type="pct"/>
            <w:vMerge w:val="continue"/>
            <w:tcBorders>
              <w:left w:val="single" w:color="000000" w:sz="6" w:space="0"/>
              <w:right w:val="single" w:color="000000" w:sz="6" w:space="0"/>
            </w:tcBorders>
            <w:vAlign w:val="center"/>
          </w:tcPr>
          <w:p>
            <w:pPr>
              <w:pStyle w:val="332"/>
              <w:rPr>
                <w:color w:val="000000" w:themeColor="text1"/>
                <w:sz w:val="24"/>
                <w14:textFill>
                  <w14:solidFill>
                    <w14:schemeClr w14:val="tx1"/>
                  </w14:solidFill>
                </w14:textFill>
              </w:rPr>
            </w:pPr>
          </w:p>
        </w:tc>
        <w:tc>
          <w:tcPr>
            <w:tcW w:w="2587" w:type="pct"/>
            <w:tcBorders>
              <w:top w:val="single" w:color="auto" w:sz="4" w:space="0"/>
              <w:left w:val="single" w:color="000000" w:sz="6" w:space="0"/>
              <w:bottom w:val="single" w:color="auto" w:sz="4" w:space="0"/>
              <w:right w:val="single" w:color="000000" w:sz="6" w:space="0"/>
            </w:tcBorders>
            <w:vAlign w:val="center"/>
          </w:tcPr>
          <w:p>
            <w:pPr>
              <w:pStyle w:val="332"/>
              <w:jc w:val="both"/>
              <w:rPr>
                <w:color w:val="000000" w:themeColor="text1"/>
                <w:sz w:val="24"/>
                <w14:textFill>
                  <w14:solidFill>
                    <w14:schemeClr w14:val="tx1"/>
                  </w14:solidFill>
                </w14:textFill>
              </w:rPr>
            </w:pPr>
            <w:r>
              <w:rPr>
                <w:color w:val="000000" w:themeColor="text1"/>
                <w14:textFill>
                  <w14:solidFill>
                    <w14:schemeClr w14:val="tx1"/>
                  </w14:solidFill>
                </w14:textFill>
              </w:rPr>
              <w:t>黑膜沼气池密闭，</w:t>
            </w:r>
            <w:r>
              <w:rPr>
                <w:color w:val="000000" w:themeColor="text1"/>
                <w:lang w:bidi="en-US"/>
                <w14:textFill>
                  <w14:solidFill>
                    <w14:schemeClr w14:val="tx1"/>
                  </w14:solidFill>
                </w14:textFill>
              </w:rPr>
              <w:t>沼液储存池顶部覆盖HDPE膜，</w:t>
            </w:r>
            <w:r>
              <w:rPr>
                <w:color w:val="000000" w:themeColor="text1"/>
                <w14:textFill>
                  <w14:solidFill>
                    <w14:schemeClr w14:val="tx1"/>
                  </w14:solidFill>
                </w14:textFill>
              </w:rPr>
              <w:t>四周绿化；定期</w:t>
            </w:r>
            <w:r>
              <w:rPr>
                <w:color w:val="000000" w:themeColor="text1"/>
                <w:lang w:bidi="en-US"/>
                <w14:textFill>
                  <w14:solidFill>
                    <w14:schemeClr w14:val="tx1"/>
                  </w14:solidFill>
                </w14:textFill>
              </w:rPr>
              <w:t>喷洒除臭剂，</w:t>
            </w:r>
            <w:r>
              <w:rPr>
                <w:color w:val="000000" w:themeColor="text1"/>
                <w14:textFill>
                  <w14:solidFill>
                    <w14:schemeClr w14:val="tx1"/>
                  </w14:solidFill>
                </w14:textFill>
              </w:rPr>
              <w:t>可消减90%；</w:t>
            </w:r>
          </w:p>
        </w:tc>
        <w:tc>
          <w:tcPr>
            <w:tcW w:w="853" w:type="pct"/>
            <w:vMerge w:val="continue"/>
            <w:tcBorders>
              <w:left w:val="single" w:color="000000" w:sz="6" w:space="0"/>
              <w:right w:val="single" w:color="auto" w:sz="12" w:space="0"/>
            </w:tcBorders>
            <w:vAlign w:val="center"/>
          </w:tcPr>
          <w:p>
            <w:pPr>
              <w:pStyle w:val="332"/>
              <w:rPr>
                <w:color w:val="000000" w:themeColor="text1"/>
                <w:sz w:val="24"/>
                <w:highlight w:val="yellow"/>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5" w:type="pct"/>
            <w:vMerge w:val="continue"/>
            <w:tcBorders>
              <w:left w:val="single" w:color="auto" w:sz="12" w:space="0"/>
              <w:right w:val="single" w:color="000000" w:sz="6" w:space="0"/>
            </w:tcBorders>
            <w:vAlign w:val="center"/>
          </w:tcPr>
          <w:p>
            <w:pPr>
              <w:pStyle w:val="332"/>
              <w:rPr>
                <w:color w:val="000000" w:themeColor="text1"/>
                <w:sz w:val="24"/>
                <w:highlight w:val="yellow"/>
                <w14:textFill>
                  <w14:solidFill>
                    <w14:schemeClr w14:val="tx1"/>
                  </w14:solidFill>
                </w14:textFill>
              </w:rPr>
            </w:pPr>
          </w:p>
        </w:tc>
        <w:tc>
          <w:tcPr>
            <w:tcW w:w="863" w:type="pct"/>
            <w:tcBorders>
              <w:top w:val="single" w:color="auto" w:sz="4" w:space="0"/>
              <w:left w:val="single" w:color="000000" w:sz="6" w:space="0"/>
              <w:bottom w:val="single" w:color="auto"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固粪处理区</w:t>
            </w:r>
          </w:p>
        </w:tc>
        <w:tc>
          <w:tcPr>
            <w:tcW w:w="392" w:type="pct"/>
            <w:vMerge w:val="continue"/>
            <w:tcBorders>
              <w:left w:val="single" w:color="000000" w:sz="6" w:space="0"/>
              <w:right w:val="single" w:color="000000" w:sz="6" w:space="0"/>
            </w:tcBorders>
            <w:vAlign w:val="center"/>
          </w:tcPr>
          <w:p>
            <w:pPr>
              <w:pStyle w:val="332"/>
              <w:rPr>
                <w:color w:val="000000" w:themeColor="text1"/>
                <w:spacing w:val="-10"/>
                <w14:textFill>
                  <w14:solidFill>
                    <w14:schemeClr w14:val="tx1"/>
                  </w14:solidFill>
                </w14:textFill>
              </w:rPr>
            </w:pPr>
          </w:p>
        </w:tc>
        <w:tc>
          <w:tcPr>
            <w:tcW w:w="2587" w:type="pct"/>
            <w:tcBorders>
              <w:top w:val="single" w:color="auto" w:sz="4" w:space="0"/>
              <w:left w:val="single" w:color="000000" w:sz="6" w:space="0"/>
              <w:bottom w:val="single" w:color="auto" w:sz="4"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lang w:bidi="en-US"/>
                <w14:textFill>
                  <w14:solidFill>
                    <w14:schemeClr w14:val="tx1"/>
                  </w14:solidFill>
                </w14:textFill>
              </w:rPr>
              <w:t>置为封闭阳光房，</w:t>
            </w:r>
            <w:r>
              <w:rPr>
                <w:color w:val="000000" w:themeColor="text1"/>
                <w14:textFill>
                  <w14:solidFill>
                    <w14:schemeClr w14:val="tx1"/>
                  </w14:solidFill>
                </w14:textFill>
              </w:rPr>
              <w:t>加强通风，</w:t>
            </w:r>
            <w:r>
              <w:rPr>
                <w:color w:val="000000" w:themeColor="text1"/>
                <w:lang w:bidi="en-US"/>
                <w14:textFill>
                  <w14:solidFill>
                    <w14:schemeClr w14:val="tx1"/>
                  </w14:solidFill>
                </w14:textFill>
              </w:rPr>
              <w:t>出风口</w:t>
            </w:r>
            <w:r>
              <w:rPr>
                <w:color w:val="000000" w:themeColor="text1"/>
                <w14:textFill>
                  <w14:solidFill>
                    <w14:schemeClr w14:val="tx1"/>
                  </w14:solidFill>
                </w14:textFill>
              </w:rPr>
              <w:t>处设置喷淋除臭网，</w:t>
            </w:r>
            <w:r>
              <w:rPr>
                <w:color w:val="000000" w:themeColor="text1"/>
                <w:lang w:bidi="en-US"/>
                <w14:textFill>
                  <w14:solidFill>
                    <w14:schemeClr w14:val="tx1"/>
                  </w14:solidFill>
                </w14:textFill>
              </w:rPr>
              <w:t>喷洒除臭剂，</w:t>
            </w:r>
            <w:r>
              <w:rPr>
                <w:color w:val="000000" w:themeColor="text1"/>
                <w14:textFill>
                  <w14:solidFill>
                    <w14:schemeClr w14:val="tx1"/>
                  </w14:solidFill>
                </w14:textFill>
              </w:rPr>
              <w:t>可消减90%；</w:t>
            </w:r>
          </w:p>
        </w:tc>
        <w:tc>
          <w:tcPr>
            <w:tcW w:w="853" w:type="pct"/>
            <w:vMerge w:val="continue"/>
            <w:tcBorders>
              <w:left w:val="single" w:color="000000" w:sz="6" w:space="0"/>
              <w:right w:val="single" w:color="auto" w:sz="12" w:space="0"/>
            </w:tcBorders>
            <w:vAlign w:val="center"/>
          </w:tcPr>
          <w:p>
            <w:pPr>
              <w:pStyle w:val="332"/>
              <w:jc w:val="both"/>
              <w:rPr>
                <w:color w:val="000000" w:themeColor="text1"/>
                <w:highlight w:val="yellow"/>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5" w:type="pct"/>
            <w:vMerge w:val="continue"/>
            <w:tcBorders>
              <w:left w:val="single" w:color="auto" w:sz="12" w:space="0"/>
              <w:right w:val="single" w:color="000000" w:sz="6" w:space="0"/>
            </w:tcBorders>
            <w:vAlign w:val="center"/>
          </w:tcPr>
          <w:p>
            <w:pPr>
              <w:pStyle w:val="332"/>
              <w:rPr>
                <w:color w:val="000000" w:themeColor="text1"/>
                <w:sz w:val="24"/>
                <w:highlight w:val="yellow"/>
                <w14:textFill>
                  <w14:solidFill>
                    <w14:schemeClr w14:val="tx1"/>
                  </w14:solidFill>
                </w14:textFill>
              </w:rPr>
            </w:pPr>
          </w:p>
        </w:tc>
        <w:tc>
          <w:tcPr>
            <w:tcW w:w="863" w:type="pct"/>
            <w:tcBorders>
              <w:top w:val="single" w:color="auto" w:sz="4" w:space="0"/>
              <w:left w:val="single" w:color="000000" w:sz="6" w:space="0"/>
              <w:bottom w:val="single" w:color="000000" w:sz="6"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w:t>
            </w:r>
            <w:r>
              <w:rPr>
                <w:color w:val="000000" w:themeColor="text1"/>
                <w:spacing w:val="-3"/>
                <w14:textFill>
                  <w14:solidFill>
                    <w14:schemeClr w14:val="tx1"/>
                  </w14:solidFill>
                </w14:textFill>
              </w:rPr>
              <w:t>化</w:t>
            </w:r>
            <w:r>
              <w:rPr>
                <w:color w:val="000000" w:themeColor="text1"/>
                <w14:textFill>
                  <w14:solidFill>
                    <w14:schemeClr w14:val="tx1"/>
                  </w14:solidFill>
                </w14:textFill>
              </w:rPr>
              <w:t>处理设备</w:t>
            </w:r>
          </w:p>
        </w:tc>
        <w:tc>
          <w:tcPr>
            <w:tcW w:w="392" w:type="pct"/>
            <w:vMerge w:val="continue"/>
            <w:tcBorders>
              <w:left w:val="single" w:color="000000" w:sz="6" w:space="0"/>
              <w:bottom w:val="single" w:color="000000" w:sz="4" w:space="0"/>
              <w:right w:val="single" w:color="000000" w:sz="6" w:space="0"/>
            </w:tcBorders>
            <w:vAlign w:val="center"/>
          </w:tcPr>
          <w:p>
            <w:pPr>
              <w:pStyle w:val="332"/>
              <w:rPr>
                <w:color w:val="000000" w:themeColor="text1"/>
                <w:spacing w:val="-10"/>
                <w14:textFill>
                  <w14:solidFill>
                    <w14:schemeClr w14:val="tx1"/>
                  </w14:solidFill>
                </w14:textFill>
              </w:rPr>
            </w:pPr>
          </w:p>
        </w:tc>
        <w:tc>
          <w:tcPr>
            <w:tcW w:w="2587" w:type="pct"/>
            <w:tcBorders>
              <w:top w:val="single" w:color="auto" w:sz="4" w:space="0"/>
              <w:left w:val="single" w:color="000000" w:sz="6" w:space="0"/>
              <w:bottom w:val="single" w:color="000000" w:sz="6"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采用</w:t>
            </w:r>
            <w:r>
              <w:rPr>
                <w:color w:val="000000" w:themeColor="text1"/>
                <w:spacing w:val="-3"/>
                <w14:textFill>
                  <w14:solidFill>
                    <w14:schemeClr w14:val="tx1"/>
                  </w14:solidFill>
                </w14:textFill>
              </w:rPr>
              <w:t>无</w:t>
            </w:r>
            <w:r>
              <w:rPr>
                <w:color w:val="000000" w:themeColor="text1"/>
                <w14:textFill>
                  <w14:solidFill>
                    <w14:schemeClr w14:val="tx1"/>
                  </w14:solidFill>
                </w14:textFill>
              </w:rPr>
              <w:t>害</w:t>
            </w:r>
            <w:r>
              <w:rPr>
                <w:color w:val="000000" w:themeColor="text1"/>
                <w:spacing w:val="-3"/>
                <w14:textFill>
                  <w14:solidFill>
                    <w14:schemeClr w14:val="tx1"/>
                  </w14:solidFill>
                </w14:textFill>
              </w:rPr>
              <w:t>化</w:t>
            </w:r>
            <w:r>
              <w:rPr>
                <w:color w:val="000000" w:themeColor="text1"/>
                <w14:textFill>
                  <w14:solidFill>
                    <w14:schemeClr w14:val="tx1"/>
                  </w14:solidFill>
                </w14:textFill>
              </w:rPr>
              <w:t>降</w:t>
            </w:r>
            <w:r>
              <w:rPr>
                <w:color w:val="000000" w:themeColor="text1"/>
                <w:spacing w:val="-3"/>
                <w14:textFill>
                  <w14:solidFill>
                    <w14:schemeClr w14:val="tx1"/>
                  </w14:solidFill>
                </w14:textFill>
              </w:rPr>
              <w:t>解</w:t>
            </w:r>
            <w:r>
              <w:rPr>
                <w:color w:val="000000" w:themeColor="text1"/>
                <w14:textFill>
                  <w14:solidFill>
                    <w14:schemeClr w14:val="tx1"/>
                  </w14:solidFill>
                </w14:textFill>
              </w:rPr>
              <w:t>一</w:t>
            </w:r>
            <w:r>
              <w:rPr>
                <w:color w:val="000000" w:themeColor="text1"/>
                <w:spacing w:val="-3"/>
                <w14:textFill>
                  <w14:solidFill>
                    <w14:schemeClr w14:val="tx1"/>
                  </w14:solidFill>
                </w14:textFill>
              </w:rPr>
              <w:t>体</w:t>
            </w:r>
            <w:r>
              <w:rPr>
                <w:color w:val="000000" w:themeColor="text1"/>
                <w14:textFill>
                  <w14:solidFill>
                    <w14:schemeClr w14:val="tx1"/>
                  </w14:solidFill>
                </w14:textFill>
              </w:rPr>
              <w:t>机</w:t>
            </w:r>
            <w:r>
              <w:rPr>
                <w:color w:val="000000" w:themeColor="text1"/>
                <w:spacing w:val="-3"/>
                <w14:textFill>
                  <w14:solidFill>
                    <w14:schemeClr w14:val="tx1"/>
                  </w14:solidFill>
                </w14:textFill>
              </w:rPr>
              <w:t>，</w:t>
            </w:r>
            <w:r>
              <w:rPr>
                <w:color w:val="000000" w:themeColor="text1"/>
                <w14:textFill>
                  <w14:solidFill>
                    <w14:schemeClr w14:val="tx1"/>
                  </w14:solidFill>
                </w14:textFill>
              </w:rPr>
              <w:t>尾气</w:t>
            </w:r>
            <w:r>
              <w:rPr>
                <w:color w:val="000000" w:themeColor="text1"/>
                <w:spacing w:val="-3"/>
                <w14:textFill>
                  <w14:solidFill>
                    <w14:schemeClr w14:val="tx1"/>
                  </w14:solidFill>
                </w14:textFill>
              </w:rPr>
              <w:t>经</w:t>
            </w:r>
            <w:r>
              <w:rPr>
                <w:color w:val="000000" w:themeColor="text1"/>
                <w14:textFill>
                  <w14:solidFill>
                    <w14:schemeClr w14:val="tx1"/>
                  </w14:solidFill>
                </w14:textFill>
              </w:rPr>
              <w:t>自</w:t>
            </w:r>
            <w:r>
              <w:rPr>
                <w:color w:val="000000" w:themeColor="text1"/>
                <w:spacing w:val="-3"/>
                <w14:textFill>
                  <w14:solidFill>
                    <w14:schemeClr w14:val="tx1"/>
                  </w14:solidFill>
                </w14:textFill>
              </w:rPr>
              <w:t>带</w:t>
            </w:r>
            <w:r>
              <w:rPr>
                <w:color w:val="000000" w:themeColor="text1"/>
                <w14:textFill>
                  <w14:solidFill>
                    <w14:schemeClr w14:val="tx1"/>
                  </w14:solidFill>
                </w14:textFill>
              </w:rPr>
              <w:t>喷</w:t>
            </w:r>
            <w:r>
              <w:rPr>
                <w:color w:val="000000" w:themeColor="text1"/>
                <w:spacing w:val="-3"/>
                <w14:textFill>
                  <w14:solidFill>
                    <w14:schemeClr w14:val="tx1"/>
                  </w14:solidFill>
                </w14:textFill>
              </w:rPr>
              <w:t>淋</w:t>
            </w:r>
            <w:r>
              <w:rPr>
                <w:color w:val="000000" w:themeColor="text1"/>
                <w14:textFill>
                  <w14:solidFill>
                    <w14:schemeClr w14:val="tx1"/>
                  </w14:solidFill>
                </w14:textFill>
              </w:rPr>
              <w:t>除</w:t>
            </w:r>
            <w:r>
              <w:rPr>
                <w:color w:val="000000" w:themeColor="text1"/>
                <w:spacing w:val="-3"/>
                <w14:textFill>
                  <w14:solidFill>
                    <w14:schemeClr w14:val="tx1"/>
                  </w14:solidFill>
                </w14:textFill>
              </w:rPr>
              <w:t>臭</w:t>
            </w:r>
            <w:r>
              <w:rPr>
                <w:color w:val="000000" w:themeColor="text1"/>
                <w14:textFill>
                  <w14:solidFill>
                    <w14:schemeClr w14:val="tx1"/>
                  </w14:solidFill>
                </w14:textFill>
              </w:rPr>
              <w:t>装</w:t>
            </w:r>
            <w:r>
              <w:rPr>
                <w:color w:val="000000" w:themeColor="text1"/>
                <w:spacing w:val="-3"/>
                <w14:textFill>
                  <w14:solidFill>
                    <w14:schemeClr w14:val="tx1"/>
                  </w14:solidFill>
                </w14:textFill>
              </w:rPr>
              <w:t>置</w:t>
            </w:r>
            <w:r>
              <w:rPr>
                <w:color w:val="000000" w:themeColor="text1"/>
                <w14:textFill>
                  <w14:solidFill>
                    <w14:schemeClr w14:val="tx1"/>
                  </w14:solidFill>
                </w14:textFill>
              </w:rPr>
              <w:t>处理</w:t>
            </w:r>
            <w:r>
              <w:rPr>
                <w:color w:val="000000" w:themeColor="text1"/>
                <w:spacing w:val="-3"/>
                <w14:textFill>
                  <w14:solidFill>
                    <w14:schemeClr w14:val="tx1"/>
                  </w14:solidFill>
                </w14:textFill>
              </w:rPr>
              <w:t>后</w:t>
            </w:r>
            <w:r>
              <w:rPr>
                <w:color w:val="000000" w:themeColor="text1"/>
                <w14:textFill>
                  <w14:solidFill>
                    <w14:schemeClr w14:val="tx1"/>
                  </w14:solidFill>
                </w14:textFill>
              </w:rPr>
              <w:t>排</w:t>
            </w:r>
            <w:r>
              <w:rPr>
                <w:color w:val="000000" w:themeColor="text1"/>
                <w:spacing w:val="-3"/>
                <w14:textFill>
                  <w14:solidFill>
                    <w14:schemeClr w14:val="tx1"/>
                  </w14:solidFill>
                </w14:textFill>
              </w:rPr>
              <w:t>放</w:t>
            </w:r>
            <w:r>
              <w:rPr>
                <w:color w:val="000000" w:themeColor="text1"/>
                <w14:textFill>
                  <w14:solidFill>
                    <w14:schemeClr w14:val="tx1"/>
                  </w14:solidFill>
                </w14:textFill>
              </w:rPr>
              <w:t>，</w:t>
            </w:r>
            <w:r>
              <w:rPr>
                <w:color w:val="000000" w:themeColor="text1"/>
                <w:spacing w:val="-3"/>
                <w14:textFill>
                  <w14:solidFill>
                    <w14:schemeClr w14:val="tx1"/>
                  </w14:solidFill>
                </w14:textFill>
              </w:rPr>
              <w:t>除</w:t>
            </w:r>
            <w:r>
              <w:rPr>
                <w:color w:val="000000" w:themeColor="text1"/>
                <w14:textFill>
                  <w14:solidFill>
                    <w14:schemeClr w14:val="tx1"/>
                  </w14:solidFill>
                </w14:textFill>
              </w:rPr>
              <w:t>臭</w:t>
            </w:r>
            <w:r>
              <w:rPr>
                <w:color w:val="000000" w:themeColor="text1"/>
                <w:spacing w:val="-3"/>
                <w14:textFill>
                  <w14:solidFill>
                    <w14:schemeClr w14:val="tx1"/>
                  </w14:solidFill>
                </w14:textFill>
              </w:rPr>
              <w:t>效</w:t>
            </w:r>
            <w:r>
              <w:rPr>
                <w:color w:val="000000" w:themeColor="text1"/>
                <w14:textFill>
                  <w14:solidFill>
                    <w14:schemeClr w14:val="tx1"/>
                  </w14:solidFill>
                </w14:textFill>
              </w:rPr>
              <w:t>率</w:t>
            </w:r>
            <w:r>
              <w:rPr>
                <w:color w:val="000000" w:themeColor="text1"/>
                <w:spacing w:val="-52"/>
                <w14:textFill>
                  <w14:solidFill>
                    <w14:schemeClr w14:val="tx1"/>
                  </w14:solidFill>
                </w14:textFill>
              </w:rPr>
              <w:t xml:space="preserve"> </w:t>
            </w:r>
            <w:r>
              <w:rPr>
                <w:color w:val="000000" w:themeColor="text1"/>
                <w:spacing w:val="-3"/>
                <w14:textFill>
                  <w14:solidFill>
                    <w14:schemeClr w14:val="tx1"/>
                  </w14:solidFill>
                </w14:textFill>
              </w:rPr>
              <w:t>60</w:t>
            </w:r>
            <w:r>
              <w:rPr>
                <w:color w:val="000000" w:themeColor="text1"/>
                <w14:textFill>
                  <w14:solidFill>
                    <w14:schemeClr w14:val="tx1"/>
                  </w14:solidFill>
                </w14:textFill>
              </w:rPr>
              <w:t>%</w:t>
            </w:r>
          </w:p>
        </w:tc>
        <w:tc>
          <w:tcPr>
            <w:tcW w:w="853" w:type="pct"/>
            <w:vMerge w:val="continue"/>
            <w:tcBorders>
              <w:left w:val="single" w:color="000000" w:sz="6" w:space="0"/>
              <w:bottom w:val="single" w:color="000000" w:sz="4" w:space="0"/>
              <w:right w:val="single" w:color="auto" w:sz="12" w:space="0"/>
            </w:tcBorders>
            <w:vAlign w:val="center"/>
          </w:tcPr>
          <w:p>
            <w:pPr>
              <w:pStyle w:val="332"/>
              <w:jc w:val="both"/>
              <w:rPr>
                <w:color w:val="000000" w:themeColor="text1"/>
                <w:highlight w:val="yellow"/>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5" w:type="pct"/>
            <w:vMerge w:val="continue"/>
            <w:tcBorders>
              <w:left w:val="single" w:color="auto" w:sz="12" w:space="0"/>
              <w:right w:val="single" w:color="000000" w:sz="6" w:space="0"/>
            </w:tcBorders>
            <w:vAlign w:val="center"/>
          </w:tcPr>
          <w:p>
            <w:pPr>
              <w:pStyle w:val="332"/>
              <w:rPr>
                <w:color w:val="000000" w:themeColor="text1"/>
                <w:sz w:val="24"/>
                <w:highlight w:val="yellow"/>
                <w14:textFill>
                  <w14:solidFill>
                    <w14:schemeClr w14:val="tx1"/>
                  </w14:solidFill>
                </w14:textFill>
              </w:rPr>
            </w:pPr>
          </w:p>
        </w:tc>
        <w:tc>
          <w:tcPr>
            <w:tcW w:w="863" w:type="pct"/>
            <w:vMerge w:val="restart"/>
            <w:tcBorders>
              <w:top w:val="single" w:color="000000" w:sz="6" w:space="0"/>
              <w:left w:val="single" w:color="000000" w:sz="6"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w:t>
            </w:r>
            <w:r>
              <w:rPr>
                <w:color w:val="000000" w:themeColor="text1"/>
                <w:spacing w:val="-3"/>
                <w14:textFill>
                  <w14:solidFill>
                    <w14:schemeClr w14:val="tx1"/>
                  </w14:solidFill>
                </w14:textFill>
              </w:rPr>
              <w:t>发</w:t>
            </w:r>
            <w:r>
              <w:rPr>
                <w:color w:val="000000" w:themeColor="text1"/>
                <w14:textFill>
                  <w14:solidFill>
                    <w14:schemeClr w14:val="tx1"/>
                  </w14:solidFill>
                </w14:textFill>
              </w:rPr>
              <w:t>电机</w:t>
            </w:r>
          </w:p>
        </w:tc>
        <w:tc>
          <w:tcPr>
            <w:tcW w:w="392"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spacing w:val="-10"/>
                <w14:textFill>
                  <w14:solidFill>
                    <w14:schemeClr w14:val="tx1"/>
                  </w14:solidFill>
                </w14:textFill>
              </w:rPr>
            </w:pPr>
            <w:r>
              <w:rPr>
                <w:color w:val="000000" w:themeColor="text1"/>
                <w:spacing w:val="-10"/>
                <w14:textFill>
                  <w14:solidFill>
                    <w14:schemeClr w14:val="tx1"/>
                  </w14:solidFill>
                </w14:textFill>
              </w:rPr>
              <w:t>S</w:t>
            </w:r>
            <w:r>
              <w:rPr>
                <w:color w:val="000000" w:themeColor="text1"/>
                <w:spacing w:val="-9"/>
                <w14:textFill>
                  <w14:solidFill>
                    <w14:schemeClr w14:val="tx1"/>
                  </w14:solidFill>
                </w14:textFill>
              </w:rPr>
              <w:t>O</w:t>
            </w:r>
            <w:r>
              <w:rPr>
                <w:color w:val="000000" w:themeColor="text1"/>
                <w:spacing w:val="-12"/>
                <w:w w:val="99"/>
                <w:position w:val="-3"/>
                <w:sz w:val="14"/>
                <w:szCs w:val="14"/>
                <w14:textFill>
                  <w14:solidFill>
                    <w14:schemeClr w14:val="tx1"/>
                  </w14:solidFill>
                </w14:textFill>
              </w:rPr>
              <w:t>2</w:t>
            </w:r>
          </w:p>
        </w:tc>
        <w:tc>
          <w:tcPr>
            <w:tcW w:w="2587" w:type="pct"/>
            <w:vMerge w:val="restart"/>
            <w:tcBorders>
              <w:top w:val="single" w:color="000000" w:sz="6" w:space="0"/>
              <w:left w:val="single" w:color="000000" w:sz="6"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燃用脱水、脱硫净化后的沼气；</w:t>
            </w:r>
            <w:r>
              <w:rPr>
                <w:color w:val="000000" w:themeColor="text1"/>
                <w:spacing w:val="-1"/>
                <w14:textFill>
                  <w14:solidFill>
                    <w14:schemeClr w14:val="tx1"/>
                  </w14:solidFill>
                </w14:textFill>
              </w:rPr>
              <w:t>废</w:t>
            </w:r>
            <w:r>
              <w:rPr>
                <w:color w:val="000000" w:themeColor="text1"/>
                <w:spacing w:val="-3"/>
                <w14:textFill>
                  <w14:solidFill>
                    <w14:schemeClr w14:val="tx1"/>
                  </w14:solidFill>
                </w14:textFill>
              </w:rPr>
              <w:t>气</w:t>
            </w:r>
            <w:r>
              <w:rPr>
                <w:color w:val="000000" w:themeColor="text1"/>
                <w14:textFill>
                  <w14:solidFill>
                    <w14:schemeClr w14:val="tx1"/>
                  </w14:solidFill>
                </w14:textFill>
              </w:rPr>
              <w:t>经</w:t>
            </w:r>
            <w:r>
              <w:rPr>
                <w:color w:val="000000" w:themeColor="text1"/>
                <w:spacing w:val="-53"/>
                <w14:textFill>
                  <w14:solidFill>
                    <w14:schemeClr w14:val="tx1"/>
                  </w14:solidFill>
                </w14:textFill>
              </w:rPr>
              <w:t xml:space="preserve"> </w:t>
            </w:r>
            <w:r>
              <w:rPr>
                <w:color w:val="000000" w:themeColor="text1"/>
                <w:spacing w:val="-3"/>
                <w14:textFill>
                  <w14:solidFill>
                    <w14:schemeClr w14:val="tx1"/>
                  </w14:solidFill>
                </w14:textFill>
              </w:rPr>
              <w:t>1</w:t>
            </w:r>
            <w:r>
              <w:rPr>
                <w:color w:val="000000" w:themeColor="text1"/>
                <w14:textFill>
                  <w14:solidFill>
                    <w14:schemeClr w14:val="tx1"/>
                  </w14:solidFill>
                </w14:textFill>
              </w:rPr>
              <w:t>5m高烟囱</w:t>
            </w:r>
            <w:r>
              <w:rPr>
                <w:color w:val="000000" w:themeColor="text1"/>
                <w:spacing w:val="-3"/>
                <w14:textFill>
                  <w14:solidFill>
                    <w14:schemeClr w14:val="tx1"/>
                  </w14:solidFill>
                </w14:textFill>
              </w:rPr>
              <w:t>排放</w:t>
            </w:r>
          </w:p>
        </w:tc>
        <w:tc>
          <w:tcPr>
            <w:tcW w:w="853"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《大气污染物综合排放标准》GB16297-1996</w:t>
            </w:r>
          </w:p>
        </w:tc>
      </w:tr>
      <w:tr>
        <w:tblPrEx>
          <w:tblCellMar>
            <w:top w:w="0" w:type="dxa"/>
            <w:left w:w="0" w:type="dxa"/>
            <w:bottom w:w="0" w:type="dxa"/>
            <w:right w:w="0" w:type="dxa"/>
          </w:tblCellMar>
        </w:tblPrEx>
        <w:trPr>
          <w:trHeight w:val="397" w:hRule="atLeast"/>
        </w:trPr>
        <w:tc>
          <w:tcPr>
            <w:tcW w:w="305" w:type="pct"/>
            <w:vMerge w:val="continue"/>
            <w:tcBorders>
              <w:left w:val="single" w:color="auto" w:sz="12" w:space="0"/>
              <w:right w:val="single" w:color="000000" w:sz="6" w:space="0"/>
            </w:tcBorders>
            <w:vAlign w:val="center"/>
          </w:tcPr>
          <w:p>
            <w:pPr>
              <w:pStyle w:val="332"/>
              <w:rPr>
                <w:color w:val="000000" w:themeColor="text1"/>
                <w:sz w:val="24"/>
                <w:highlight w:val="yellow"/>
                <w14:textFill>
                  <w14:solidFill>
                    <w14:schemeClr w14:val="tx1"/>
                  </w14:solidFill>
                </w14:textFill>
              </w:rPr>
            </w:pPr>
          </w:p>
        </w:tc>
        <w:tc>
          <w:tcPr>
            <w:tcW w:w="863" w:type="pct"/>
            <w:vMerge w:val="continue"/>
            <w:tcBorders>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p>
        </w:tc>
        <w:tc>
          <w:tcPr>
            <w:tcW w:w="392"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spacing w:val="-10"/>
                <w14:textFill>
                  <w14:solidFill>
                    <w14:schemeClr w14:val="tx1"/>
                  </w14:solidFill>
                </w14:textFill>
              </w:rPr>
            </w:pPr>
            <w:r>
              <w:rPr>
                <w:color w:val="000000" w:themeColor="text1"/>
                <w:spacing w:val="-11"/>
                <w14:textFill>
                  <w14:solidFill>
                    <w14:schemeClr w14:val="tx1"/>
                  </w14:solidFill>
                </w14:textFill>
              </w:rPr>
              <w:t>NOx</w:t>
            </w:r>
          </w:p>
        </w:tc>
        <w:tc>
          <w:tcPr>
            <w:tcW w:w="2587" w:type="pct"/>
            <w:vMerge w:val="continue"/>
            <w:tcBorders>
              <w:left w:val="single" w:color="000000" w:sz="6" w:space="0"/>
              <w:bottom w:val="single" w:color="000000" w:sz="4" w:space="0"/>
              <w:right w:val="single" w:color="000000" w:sz="6" w:space="0"/>
            </w:tcBorders>
            <w:vAlign w:val="center"/>
          </w:tcPr>
          <w:p>
            <w:pPr>
              <w:pStyle w:val="332"/>
              <w:jc w:val="both"/>
              <w:rPr>
                <w:color w:val="000000" w:themeColor="text1"/>
                <w14:textFill>
                  <w14:solidFill>
                    <w14:schemeClr w14:val="tx1"/>
                  </w14:solidFill>
                </w14:textFill>
              </w:rPr>
            </w:pPr>
          </w:p>
        </w:tc>
        <w:tc>
          <w:tcPr>
            <w:tcW w:w="853"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bCs/>
                <w:color w:val="000000" w:themeColor="text1"/>
                <w14:textFill>
                  <w14:solidFill>
                    <w14:schemeClr w14:val="tx1"/>
                  </w14:solidFill>
                </w14:textFill>
              </w:rPr>
              <w:t>GB17691—2005</w:t>
            </w:r>
          </w:p>
        </w:tc>
      </w:tr>
      <w:tr>
        <w:tblPrEx>
          <w:tblCellMar>
            <w:top w:w="0" w:type="dxa"/>
            <w:left w:w="0" w:type="dxa"/>
            <w:bottom w:w="0" w:type="dxa"/>
            <w:right w:w="0" w:type="dxa"/>
          </w:tblCellMar>
        </w:tblPrEx>
        <w:trPr>
          <w:trHeight w:val="397" w:hRule="atLeast"/>
        </w:trPr>
        <w:tc>
          <w:tcPr>
            <w:tcW w:w="305" w:type="pct"/>
            <w:vMerge w:val="continue"/>
            <w:tcBorders>
              <w:left w:val="single" w:color="auto" w:sz="12" w:space="0"/>
              <w:bottom w:val="single" w:color="000000" w:sz="6" w:space="0"/>
              <w:right w:val="single" w:color="000000" w:sz="6" w:space="0"/>
            </w:tcBorders>
            <w:vAlign w:val="center"/>
          </w:tcPr>
          <w:p>
            <w:pPr>
              <w:pStyle w:val="332"/>
              <w:rPr>
                <w:color w:val="000000" w:themeColor="text1"/>
                <w:sz w:val="24"/>
                <w:highlight w:val="yellow"/>
                <w14:textFill>
                  <w14:solidFill>
                    <w14:schemeClr w14:val="tx1"/>
                  </w14:solidFill>
                </w14:textFill>
              </w:rPr>
            </w:pPr>
          </w:p>
        </w:tc>
        <w:tc>
          <w:tcPr>
            <w:tcW w:w="863" w:type="pct"/>
            <w:tcBorders>
              <w:top w:val="single" w:color="000000" w:sz="6" w:space="0"/>
              <w:left w:val="single" w:color="000000" w:sz="6" w:space="0"/>
              <w:bottom w:val="single" w:color="000000" w:sz="6"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食堂</w:t>
            </w:r>
          </w:p>
        </w:tc>
        <w:tc>
          <w:tcPr>
            <w:tcW w:w="392" w:type="pct"/>
            <w:tcBorders>
              <w:top w:val="single" w:color="000000" w:sz="4" w:space="0"/>
              <w:left w:val="single" w:color="000000" w:sz="6" w:space="0"/>
              <w:bottom w:val="single" w:color="000000" w:sz="6" w:space="0"/>
              <w:right w:val="single" w:color="000000" w:sz="6" w:space="0"/>
            </w:tcBorders>
            <w:vAlign w:val="center"/>
          </w:tcPr>
          <w:p>
            <w:pPr>
              <w:pStyle w:val="332"/>
              <w:rPr>
                <w:color w:val="000000" w:themeColor="text1"/>
                <w:spacing w:val="-10"/>
                <w14:textFill>
                  <w14:solidFill>
                    <w14:schemeClr w14:val="tx1"/>
                  </w14:solidFill>
                </w14:textFill>
              </w:rPr>
            </w:pPr>
            <w:r>
              <w:rPr>
                <w:color w:val="000000" w:themeColor="text1"/>
                <w:spacing w:val="-10"/>
                <w14:textFill>
                  <w14:solidFill>
                    <w14:schemeClr w14:val="tx1"/>
                  </w14:solidFill>
                </w14:textFill>
              </w:rPr>
              <w:t>油烟</w:t>
            </w:r>
          </w:p>
        </w:tc>
        <w:tc>
          <w:tcPr>
            <w:tcW w:w="2587" w:type="pct"/>
            <w:tcBorders>
              <w:top w:val="single" w:color="000000" w:sz="6" w:space="0"/>
              <w:left w:val="single" w:color="000000" w:sz="6" w:space="0"/>
              <w:bottom w:val="single" w:color="000000" w:sz="6"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2个基准灶头，每个灶头排风量为2000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/h，安装一台油烟净化装置，处理效率大于60%；</w:t>
            </w:r>
          </w:p>
        </w:tc>
        <w:tc>
          <w:tcPr>
            <w:tcW w:w="853"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《饮食业油烟排放标准》（GB18483-2001）小型规模</w:t>
            </w:r>
          </w:p>
        </w:tc>
      </w:tr>
      <w:tr>
        <w:tblPrEx>
          <w:tblCellMar>
            <w:top w:w="0" w:type="dxa"/>
            <w:left w:w="0" w:type="dxa"/>
            <w:bottom w:w="0" w:type="dxa"/>
            <w:right w:w="0" w:type="dxa"/>
          </w:tblCellMar>
        </w:tblPrEx>
        <w:trPr>
          <w:trHeight w:val="397" w:hRule="atLeast"/>
        </w:trPr>
        <w:tc>
          <w:tcPr>
            <w:tcW w:w="305" w:type="pct"/>
            <w:vMerge w:val="restart"/>
            <w:tcBorders>
              <w:top w:val="single" w:color="000000" w:sz="6" w:space="0"/>
              <w:left w:val="single" w:color="auto" w:sz="12" w:space="0"/>
              <w:bottom w:val="single" w:color="auto" w:sz="4" w:space="0"/>
              <w:right w:val="single" w:color="auto" w:sz="4" w:space="0"/>
            </w:tcBorders>
            <w:vAlign w:val="center"/>
          </w:tcPr>
          <w:p>
            <w:pPr>
              <w:pStyle w:val="332"/>
              <w:rPr>
                <w:color w:val="000000" w:themeColor="text1"/>
                <w:sz w:val="24"/>
                <w14:textFill>
                  <w14:solidFill>
                    <w14:schemeClr w14:val="tx1"/>
                  </w14:solidFill>
                </w14:textFill>
              </w:rPr>
            </w:pPr>
            <w:r>
              <w:rPr>
                <w:color w:val="000000" w:themeColor="text1"/>
                <w14:textFill>
                  <w14:solidFill>
                    <w14:schemeClr w14:val="tx1"/>
                  </w14:solidFill>
                </w14:textFill>
              </w:rPr>
              <w:t>废水</w:t>
            </w:r>
          </w:p>
        </w:tc>
        <w:tc>
          <w:tcPr>
            <w:tcW w:w="863" w:type="pct"/>
            <w:vMerge w:val="restart"/>
            <w:tcBorders>
              <w:top w:val="single" w:color="000000" w:sz="6" w:space="0"/>
              <w:left w:val="single" w:color="auto" w:sz="4" w:space="0"/>
              <w:bottom w:val="single" w:color="auto" w:sz="4" w:space="0"/>
              <w:right w:val="single" w:color="auto" w:sz="4" w:space="0"/>
            </w:tcBorders>
            <w:vAlign w:val="center"/>
          </w:tcPr>
          <w:p>
            <w:pPr>
              <w:pStyle w:val="332"/>
              <w:rPr>
                <w:color w:val="000000" w:themeColor="text1"/>
                <w:sz w:val="24"/>
                <w14:textFill>
                  <w14:solidFill>
                    <w14:schemeClr w14:val="tx1"/>
                  </w14:solidFill>
                </w14:textFill>
              </w:rPr>
            </w:pPr>
            <w:r>
              <w:rPr>
                <w:color w:val="000000" w:themeColor="text1"/>
                <w:spacing w:val="-3"/>
                <w14:textFill>
                  <w14:solidFill>
                    <w14:schemeClr w14:val="tx1"/>
                  </w14:solidFill>
                </w14:textFill>
              </w:rPr>
              <w:t>生</w:t>
            </w:r>
            <w:r>
              <w:rPr>
                <w:color w:val="000000" w:themeColor="text1"/>
                <w14:textFill>
                  <w14:solidFill>
                    <w14:schemeClr w14:val="tx1"/>
                  </w14:solidFill>
                </w14:textFill>
              </w:rPr>
              <w:t>活污水、养殖废水、无害化设备冷凝水、堆肥渗滤液等</w:t>
            </w:r>
          </w:p>
        </w:tc>
        <w:tc>
          <w:tcPr>
            <w:tcW w:w="392" w:type="pct"/>
            <w:vMerge w:val="restart"/>
            <w:tcBorders>
              <w:top w:val="single" w:color="000000" w:sz="6" w:space="0"/>
              <w:left w:val="single" w:color="auto" w:sz="4" w:space="0"/>
              <w:bottom w:val="single" w:color="auto" w:sz="4" w:space="0"/>
              <w:right w:val="single" w:color="auto" w:sz="4" w:space="0"/>
            </w:tcBorders>
            <w:vAlign w:val="center"/>
          </w:tcPr>
          <w:p>
            <w:pPr>
              <w:pStyle w:val="332"/>
              <w:rPr>
                <w:color w:val="000000" w:themeColor="text1"/>
                <w:sz w:val="24"/>
                <w14:textFill>
                  <w14:solidFill>
                    <w14:schemeClr w14:val="tx1"/>
                  </w14:solidFill>
                </w14:textFill>
              </w:rPr>
            </w:pPr>
            <w:r>
              <w:rPr>
                <w:color w:val="000000" w:themeColor="text1"/>
                <w14:textFill>
                  <w14:solidFill>
                    <w14:schemeClr w14:val="tx1"/>
                  </w14:solidFill>
                </w14:textFill>
              </w:rPr>
              <w:t>C</w:t>
            </w:r>
            <w:r>
              <w:rPr>
                <w:color w:val="000000" w:themeColor="text1"/>
                <w:spacing w:val="-2"/>
                <w14:textFill>
                  <w14:solidFill>
                    <w14:schemeClr w14:val="tx1"/>
                  </w14:solidFill>
                </w14:textFill>
              </w:rPr>
              <w:t>O</w:t>
            </w:r>
            <w:r>
              <w:rPr>
                <w:color w:val="000000" w:themeColor="text1"/>
                <w:spacing w:val="-1"/>
                <w14:textFill>
                  <w14:solidFill>
                    <w14:schemeClr w14:val="tx1"/>
                  </w14:solidFill>
                </w14:textFill>
              </w:rPr>
              <w:t>D</w:t>
            </w:r>
            <w:r>
              <w:rPr>
                <w:color w:val="000000" w:themeColor="text1"/>
                <w14:textFill>
                  <w14:solidFill>
                    <w14:schemeClr w14:val="tx1"/>
                  </w14:solidFill>
                </w14:textFill>
              </w:rPr>
              <w:t>、B</w:t>
            </w:r>
            <w:r>
              <w:rPr>
                <w:color w:val="000000" w:themeColor="text1"/>
                <w:spacing w:val="-2"/>
                <w14:textFill>
                  <w14:solidFill>
                    <w14:schemeClr w14:val="tx1"/>
                  </w14:solidFill>
                </w14:textFill>
              </w:rPr>
              <w:t>O</w:t>
            </w:r>
            <w:r>
              <w:rPr>
                <w:color w:val="000000" w:themeColor="text1"/>
                <w:spacing w:val="-1"/>
                <w14:textFill>
                  <w14:solidFill>
                    <w14:schemeClr w14:val="tx1"/>
                  </w14:solidFill>
                </w14:textFill>
              </w:rPr>
              <w:t>D</w:t>
            </w:r>
            <w:r>
              <w:rPr>
                <w:color w:val="000000" w:themeColor="text1"/>
                <w14:textFill>
                  <w14:solidFill>
                    <w14:schemeClr w14:val="tx1"/>
                  </w14:solidFill>
                </w14:textFill>
              </w:rPr>
              <w:t>、</w:t>
            </w:r>
            <w:r>
              <w:rPr>
                <w:color w:val="000000" w:themeColor="text1"/>
                <w:spacing w:val="-3"/>
                <w14:textFill>
                  <w14:solidFill>
                    <w14:schemeClr w14:val="tx1"/>
                  </w14:solidFill>
                </w14:textFill>
              </w:rPr>
              <w:t>氨</w:t>
            </w:r>
            <w:r>
              <w:rPr>
                <w:color w:val="000000" w:themeColor="text1"/>
                <w14:textFill>
                  <w14:solidFill>
                    <w14:schemeClr w14:val="tx1"/>
                  </w14:solidFill>
                </w14:textFill>
              </w:rPr>
              <w:t>氮等</w:t>
            </w:r>
          </w:p>
        </w:tc>
        <w:tc>
          <w:tcPr>
            <w:tcW w:w="2587" w:type="pct"/>
            <w:tcBorders>
              <w:top w:val="single" w:color="000000" w:sz="6" w:space="0"/>
              <w:left w:val="single" w:color="auto" w:sz="4" w:space="0"/>
              <w:bottom w:val="single" w:color="auto" w:sz="4" w:space="0"/>
              <w:right w:val="single" w:color="000000" w:sz="6" w:space="0"/>
            </w:tcBorders>
            <w:vAlign w:val="center"/>
          </w:tcPr>
          <w:p>
            <w:pPr>
              <w:pStyle w:val="332"/>
              <w:jc w:val="both"/>
              <w:rPr>
                <w:color w:val="000000" w:themeColor="text1"/>
                <w:sz w:val="24"/>
                <w14:textFill>
                  <w14:solidFill>
                    <w14:schemeClr w14:val="tx1"/>
                  </w14:solidFill>
                </w14:textFill>
              </w:rPr>
            </w:pPr>
            <w:r>
              <w:rPr>
                <w:color w:val="000000" w:themeColor="text1"/>
                <w14:textFill>
                  <w14:solidFill>
                    <w14:schemeClr w14:val="tx1"/>
                  </w14:solidFill>
                </w14:textFill>
              </w:rPr>
              <w:t>食堂含油废水经隔油池处理后与生活污水、养殖区废水经废水收集管网，进入粪污处理区处理；</w:t>
            </w:r>
          </w:p>
        </w:tc>
        <w:tc>
          <w:tcPr>
            <w:tcW w:w="853" w:type="pct"/>
            <w:vMerge w:val="restart"/>
            <w:tcBorders>
              <w:top w:val="single" w:color="000000" w:sz="4" w:space="0"/>
              <w:left w:val="single" w:color="000000" w:sz="6" w:space="0"/>
              <w:bottom w:val="single" w:color="000000" w:sz="4" w:space="0"/>
              <w:right w:val="single" w:color="auto" w:sz="12" w:space="0"/>
            </w:tcBorders>
            <w:vAlign w:val="center"/>
          </w:tcPr>
          <w:p>
            <w:pPr>
              <w:pStyle w:val="332"/>
              <w:jc w:val="both"/>
              <w:rPr>
                <w:color w:val="000000" w:themeColor="text1"/>
                <w:sz w:val="24"/>
                <w14:textFill>
                  <w14:solidFill>
                    <w14:schemeClr w14:val="tx1"/>
                  </w14:solidFill>
                </w14:textFill>
              </w:rPr>
            </w:pPr>
            <w:r>
              <w:rPr>
                <w:color w:val="000000" w:themeColor="text1"/>
                <w14:textFill>
                  <w14:solidFill>
                    <w14:schemeClr w14:val="tx1"/>
                  </w14:solidFill>
                </w14:textFill>
              </w:rPr>
              <w:t>处理</w:t>
            </w:r>
            <w:r>
              <w:rPr>
                <w:color w:val="000000" w:themeColor="text1"/>
                <w:spacing w:val="-3"/>
                <w14:textFill>
                  <w14:solidFill>
                    <w14:schemeClr w14:val="tx1"/>
                  </w14:solidFill>
                </w14:textFill>
              </w:rPr>
              <w:t>后</w:t>
            </w:r>
            <w:r>
              <w:rPr>
                <w:color w:val="000000" w:themeColor="text1"/>
                <w14:textFill>
                  <w14:solidFill>
                    <w14:schemeClr w14:val="tx1"/>
                  </w14:solidFill>
                </w14:textFill>
              </w:rPr>
              <w:t>沼</w:t>
            </w:r>
            <w:r>
              <w:rPr>
                <w:color w:val="000000" w:themeColor="text1"/>
                <w:spacing w:val="-3"/>
                <w14:textFill>
                  <w14:solidFill>
                    <w14:schemeClr w14:val="tx1"/>
                  </w14:solidFill>
                </w14:textFill>
              </w:rPr>
              <w:t>液</w:t>
            </w:r>
            <w:r>
              <w:rPr>
                <w:color w:val="000000" w:themeColor="text1"/>
                <w14:textFill>
                  <w14:solidFill>
                    <w14:schemeClr w14:val="tx1"/>
                  </w14:solidFill>
                </w14:textFill>
              </w:rPr>
              <w:t>用</w:t>
            </w:r>
            <w:r>
              <w:rPr>
                <w:color w:val="000000" w:themeColor="text1"/>
                <w:spacing w:val="-3"/>
                <w14:textFill>
                  <w14:solidFill>
                    <w14:schemeClr w14:val="tx1"/>
                  </w14:solidFill>
                </w14:textFill>
              </w:rPr>
              <w:t>于</w:t>
            </w:r>
            <w:r>
              <w:rPr>
                <w:color w:val="000000" w:themeColor="text1"/>
                <w14:textFill>
                  <w14:solidFill>
                    <w14:schemeClr w14:val="tx1"/>
                  </w14:solidFill>
                </w14:textFill>
              </w:rPr>
              <w:t>周</w:t>
            </w:r>
            <w:r>
              <w:rPr>
                <w:color w:val="000000" w:themeColor="text1"/>
                <w:spacing w:val="-3"/>
                <w14:textFill>
                  <w14:solidFill>
                    <w14:schemeClr w14:val="tx1"/>
                  </w14:solidFill>
                </w14:textFill>
              </w:rPr>
              <w:t>围</w:t>
            </w:r>
            <w:r>
              <w:rPr>
                <w:color w:val="000000" w:themeColor="text1"/>
                <w14:textFill>
                  <w14:solidFill>
                    <w14:schemeClr w14:val="tx1"/>
                  </w14:solidFill>
                </w14:textFill>
              </w:rPr>
              <w:t>农田施肥</w:t>
            </w:r>
            <w:r>
              <w:rPr>
                <w:color w:val="000000" w:themeColor="text1"/>
                <w:spacing w:val="-3"/>
                <w14:textFill>
                  <w14:solidFill>
                    <w14:schemeClr w14:val="tx1"/>
                  </w14:solidFill>
                </w14:textFill>
              </w:rPr>
              <w:t>，</w:t>
            </w:r>
            <w:r>
              <w:rPr>
                <w:color w:val="000000" w:themeColor="text1"/>
                <w14:textFill>
                  <w14:solidFill>
                    <w14:schemeClr w14:val="tx1"/>
                  </w14:solidFill>
                </w14:textFill>
              </w:rPr>
              <w:t>不</w:t>
            </w:r>
            <w:r>
              <w:rPr>
                <w:color w:val="000000" w:themeColor="text1"/>
                <w:spacing w:val="-3"/>
                <w14:textFill>
                  <w14:solidFill>
                    <w14:schemeClr w14:val="tx1"/>
                  </w14:solidFill>
                </w14:textFill>
              </w:rPr>
              <w:t>外</w:t>
            </w:r>
            <w:r>
              <w:rPr>
                <w:color w:val="000000" w:themeColor="text1"/>
                <w14:textFill>
                  <w14:solidFill>
                    <w14:schemeClr w14:val="tx1"/>
                  </w14:solidFill>
                </w14:textFill>
              </w:rPr>
              <w:t>排</w:t>
            </w:r>
          </w:p>
        </w:tc>
      </w:tr>
      <w:tr>
        <w:tblPrEx>
          <w:tblCellMar>
            <w:top w:w="0" w:type="dxa"/>
            <w:left w:w="0" w:type="dxa"/>
            <w:bottom w:w="0" w:type="dxa"/>
            <w:right w:w="0" w:type="dxa"/>
          </w:tblCellMar>
        </w:tblPrEx>
        <w:trPr>
          <w:trHeight w:val="397" w:hRule="atLeast"/>
        </w:trPr>
        <w:tc>
          <w:tcPr>
            <w:tcW w:w="305" w:type="pct"/>
            <w:vMerge w:val="continue"/>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14:textFill>
                  <w14:solidFill>
                    <w14:schemeClr w14:val="tx1"/>
                  </w14:solidFill>
                </w14:textFill>
              </w:rPr>
            </w:pPr>
          </w:p>
        </w:tc>
        <w:tc>
          <w:tcPr>
            <w:tcW w:w="863" w:type="pct"/>
            <w:vMerge w:val="continue"/>
            <w:tcBorders>
              <w:top w:val="single" w:color="auto" w:sz="4" w:space="0"/>
              <w:left w:val="single" w:color="auto" w:sz="4" w:space="0"/>
              <w:bottom w:val="single" w:color="auto" w:sz="4" w:space="0"/>
              <w:right w:val="single" w:color="auto" w:sz="4" w:space="0"/>
            </w:tcBorders>
            <w:vAlign w:val="center"/>
          </w:tcPr>
          <w:p>
            <w:pPr>
              <w:pStyle w:val="332"/>
              <w:rPr>
                <w:color w:val="000000" w:themeColor="text1"/>
                <w:spacing w:val="-3"/>
                <w14:textFill>
                  <w14:solidFill>
                    <w14:schemeClr w14:val="tx1"/>
                  </w14:solidFill>
                </w14:textFill>
              </w:rPr>
            </w:pPr>
          </w:p>
        </w:tc>
        <w:tc>
          <w:tcPr>
            <w:tcW w:w="392" w:type="pct"/>
            <w:vMerge w:val="continue"/>
            <w:tcBorders>
              <w:top w:val="single" w:color="auto"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p>
        </w:tc>
        <w:tc>
          <w:tcPr>
            <w:tcW w:w="2587" w:type="pct"/>
            <w:tcBorders>
              <w:top w:val="single" w:color="auto" w:sz="4" w:space="0"/>
              <w:left w:val="single" w:color="auto" w:sz="4" w:space="0"/>
              <w:bottom w:val="single" w:color="auto" w:sz="4"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养殖废水经场区污水管网收集，自流至集粪池，粪污水首先经过固液分离预处理后进入黑膜沼气池（1座5000 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）厌氧发酵45天产生沼液用于周边农田施肥；</w:t>
            </w:r>
          </w:p>
        </w:tc>
        <w:tc>
          <w:tcPr>
            <w:tcW w:w="853" w:type="pct"/>
            <w:vMerge w:val="continue"/>
            <w:tcBorders>
              <w:top w:val="single" w:color="000000" w:sz="4" w:space="0"/>
              <w:left w:val="single" w:color="000000" w:sz="6" w:space="0"/>
              <w:bottom w:val="single" w:color="000000" w:sz="4" w:space="0"/>
              <w:right w:val="single" w:color="auto" w:sz="12" w:space="0"/>
            </w:tcBorders>
            <w:vAlign w:val="center"/>
          </w:tcPr>
          <w:p>
            <w:pPr>
              <w:pStyle w:val="332"/>
              <w:jc w:val="both"/>
              <w:rPr>
                <w:color w:val="000000" w:themeColor="text1"/>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5" w:type="pct"/>
            <w:vMerge w:val="continue"/>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14:textFill>
                  <w14:solidFill>
                    <w14:schemeClr w14:val="tx1"/>
                  </w14:solidFill>
                </w14:textFill>
              </w:rPr>
            </w:pPr>
          </w:p>
        </w:tc>
        <w:tc>
          <w:tcPr>
            <w:tcW w:w="863" w:type="pct"/>
            <w:vMerge w:val="continue"/>
            <w:tcBorders>
              <w:top w:val="single" w:color="auto" w:sz="4" w:space="0"/>
              <w:left w:val="single" w:color="auto" w:sz="4" w:space="0"/>
              <w:bottom w:val="single" w:color="auto" w:sz="4" w:space="0"/>
              <w:right w:val="single" w:color="auto" w:sz="4" w:space="0"/>
            </w:tcBorders>
            <w:vAlign w:val="center"/>
          </w:tcPr>
          <w:p>
            <w:pPr>
              <w:pStyle w:val="332"/>
              <w:rPr>
                <w:color w:val="000000" w:themeColor="text1"/>
                <w:spacing w:val="-3"/>
                <w14:textFill>
                  <w14:solidFill>
                    <w14:schemeClr w14:val="tx1"/>
                  </w14:solidFill>
                </w14:textFill>
              </w:rPr>
            </w:pPr>
          </w:p>
        </w:tc>
        <w:tc>
          <w:tcPr>
            <w:tcW w:w="392" w:type="pct"/>
            <w:vMerge w:val="continue"/>
            <w:tcBorders>
              <w:top w:val="single" w:color="auto"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p>
        </w:tc>
        <w:tc>
          <w:tcPr>
            <w:tcW w:w="2587" w:type="pct"/>
            <w:tcBorders>
              <w:top w:val="single" w:color="auto" w:sz="4" w:space="0"/>
              <w:left w:val="single" w:color="auto" w:sz="4" w:space="0"/>
              <w:bottom w:val="single" w:color="auto" w:sz="4" w:space="0"/>
              <w:right w:val="single" w:color="000000" w:sz="6" w:space="0"/>
            </w:tcBorders>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沼液根据当地</w:t>
            </w:r>
            <w:r>
              <w:rPr>
                <w:color w:val="000000" w:themeColor="text1"/>
                <w:spacing w:val="2"/>
                <w14:textFill>
                  <w14:solidFill>
                    <w14:schemeClr w14:val="tx1"/>
                  </w14:solidFill>
                </w14:textFill>
              </w:rPr>
              <w:t>实</w:t>
            </w:r>
            <w:r>
              <w:rPr>
                <w:color w:val="000000" w:themeColor="text1"/>
                <w14:textFill>
                  <w14:solidFill>
                    <w14:schemeClr w14:val="tx1"/>
                  </w14:solidFill>
                </w14:textFill>
              </w:rPr>
              <w:t>际情况对周围农田进行</w:t>
            </w:r>
            <w:r>
              <w:rPr>
                <w:color w:val="000000" w:themeColor="text1"/>
                <w:spacing w:val="2"/>
                <w14:textFill>
                  <w14:solidFill>
                    <w14:schemeClr w14:val="tx1"/>
                  </w14:solidFill>
                </w14:textFill>
              </w:rPr>
              <w:t>合</w:t>
            </w:r>
            <w:r>
              <w:rPr>
                <w:color w:val="000000" w:themeColor="text1"/>
                <w14:textFill>
                  <w14:solidFill>
                    <w14:schemeClr w14:val="tx1"/>
                  </w14:solidFill>
                </w14:textFill>
              </w:rPr>
              <w:t>理施肥；在粪污治理区及沼液消纳农田</w:t>
            </w:r>
            <w:r>
              <w:rPr>
                <w:color w:val="000000" w:themeColor="text1"/>
                <w:spacing w:val="2"/>
                <w14:textFill>
                  <w14:solidFill>
                    <w14:schemeClr w14:val="tx1"/>
                  </w14:solidFill>
                </w14:textFill>
              </w:rPr>
              <w:t>下游</w:t>
            </w:r>
            <w:r>
              <w:rPr>
                <w:color w:val="000000" w:themeColor="text1"/>
                <w14:textFill>
                  <w14:solidFill>
                    <w14:schemeClr w14:val="tx1"/>
                  </w14:solidFill>
                </w14:textFill>
              </w:rPr>
              <w:t>杜村水井作</w:t>
            </w:r>
            <w:r>
              <w:rPr>
                <w:color w:val="000000" w:themeColor="text1"/>
                <w:spacing w:val="2"/>
                <w14:textFill>
                  <w14:solidFill>
                    <w14:schemeClr w14:val="tx1"/>
                  </w14:solidFill>
                </w14:textFill>
              </w:rPr>
              <w:t>为</w:t>
            </w:r>
            <w:r>
              <w:rPr>
                <w:color w:val="000000" w:themeColor="text1"/>
                <w14:textFill>
                  <w14:solidFill>
                    <w14:schemeClr w14:val="tx1"/>
                  </w14:solidFill>
                </w14:textFill>
              </w:rPr>
              <w:t>地下水</w:t>
            </w:r>
            <w:r>
              <w:rPr>
                <w:color w:val="000000" w:themeColor="text1"/>
                <w:spacing w:val="-3"/>
                <w14:textFill>
                  <w14:solidFill>
                    <w14:schemeClr w14:val="tx1"/>
                  </w14:solidFill>
                </w14:textFill>
              </w:rPr>
              <w:t>观</w:t>
            </w:r>
            <w:r>
              <w:rPr>
                <w:color w:val="000000" w:themeColor="text1"/>
                <w14:textFill>
                  <w14:solidFill>
                    <w14:schemeClr w14:val="tx1"/>
                  </w14:solidFill>
                </w14:textFill>
              </w:rPr>
              <w:t>测</w:t>
            </w:r>
            <w:r>
              <w:rPr>
                <w:color w:val="000000" w:themeColor="text1"/>
                <w:spacing w:val="-3"/>
                <w14:textFill>
                  <w14:solidFill>
                    <w14:schemeClr w14:val="tx1"/>
                  </w14:solidFill>
                </w14:textFill>
              </w:rPr>
              <w:t>井</w:t>
            </w:r>
            <w:r>
              <w:rPr>
                <w:color w:val="000000" w:themeColor="text1"/>
                <w14:textFill>
                  <w14:solidFill>
                    <w14:schemeClr w14:val="tx1"/>
                  </w14:solidFill>
                </w14:textFill>
              </w:rPr>
              <w:t>，</w:t>
            </w:r>
            <w:r>
              <w:rPr>
                <w:color w:val="000000" w:themeColor="text1"/>
                <w:spacing w:val="-3"/>
                <w14:textFill>
                  <w14:solidFill>
                    <w14:schemeClr w14:val="tx1"/>
                  </w14:solidFill>
                </w14:textFill>
              </w:rPr>
              <w:t>每</w:t>
            </w:r>
            <w:r>
              <w:rPr>
                <w:color w:val="000000" w:themeColor="text1"/>
                <w14:textFill>
                  <w14:solidFill>
                    <w14:schemeClr w14:val="tx1"/>
                  </w14:solidFill>
                </w14:textFill>
              </w:rPr>
              <w:t>年</w:t>
            </w:r>
            <w:r>
              <w:rPr>
                <w:color w:val="000000" w:themeColor="text1"/>
                <w:spacing w:val="-3"/>
                <w14:textFill>
                  <w14:solidFill>
                    <w14:schemeClr w14:val="tx1"/>
                  </w14:solidFill>
                </w14:textFill>
              </w:rPr>
              <w:t>一</w:t>
            </w:r>
            <w:r>
              <w:rPr>
                <w:color w:val="000000" w:themeColor="text1"/>
                <w14:textFill>
                  <w14:solidFill>
                    <w14:schemeClr w14:val="tx1"/>
                  </w14:solidFill>
                </w14:textFill>
              </w:rPr>
              <w:t>次</w:t>
            </w:r>
            <w:r>
              <w:rPr>
                <w:color w:val="000000" w:themeColor="text1"/>
                <w:spacing w:val="-3"/>
                <w14:textFill>
                  <w14:solidFill>
                    <w14:schemeClr w14:val="tx1"/>
                  </w14:solidFill>
                </w14:textFill>
              </w:rPr>
              <w:t>对</w:t>
            </w:r>
            <w:r>
              <w:rPr>
                <w:color w:val="000000" w:themeColor="text1"/>
                <w14:textFill>
                  <w14:solidFill>
                    <w14:schemeClr w14:val="tx1"/>
                  </w14:solidFill>
                </w14:textFill>
              </w:rPr>
              <w:t>水质</w:t>
            </w:r>
            <w:r>
              <w:rPr>
                <w:color w:val="000000" w:themeColor="text1"/>
                <w:spacing w:val="-3"/>
                <w14:textFill>
                  <w14:solidFill>
                    <w14:schemeClr w14:val="tx1"/>
                  </w14:solidFill>
                </w14:textFill>
              </w:rPr>
              <w:t>进</w:t>
            </w:r>
            <w:r>
              <w:rPr>
                <w:color w:val="000000" w:themeColor="text1"/>
                <w14:textFill>
                  <w14:solidFill>
                    <w14:schemeClr w14:val="tx1"/>
                  </w14:solidFill>
                </w14:textFill>
              </w:rPr>
              <w:t>行</w:t>
            </w:r>
            <w:r>
              <w:rPr>
                <w:color w:val="000000" w:themeColor="text1"/>
                <w:spacing w:val="-3"/>
                <w14:textFill>
                  <w14:solidFill>
                    <w14:schemeClr w14:val="tx1"/>
                  </w14:solidFill>
                </w14:textFill>
              </w:rPr>
              <w:t>监</w:t>
            </w:r>
            <w:r>
              <w:rPr>
                <w:color w:val="000000" w:themeColor="text1"/>
                <w14:textFill>
                  <w14:solidFill>
                    <w14:schemeClr w14:val="tx1"/>
                  </w14:solidFill>
                </w14:textFill>
              </w:rPr>
              <w:t>测</w:t>
            </w:r>
            <w:r>
              <w:rPr>
                <w:color w:val="000000" w:themeColor="text1"/>
                <w:spacing w:val="-3"/>
                <w14:textFill>
                  <w14:solidFill>
                    <w14:schemeClr w14:val="tx1"/>
                  </w14:solidFill>
                </w14:textFill>
              </w:rPr>
              <w:t>，</w:t>
            </w:r>
            <w:r>
              <w:rPr>
                <w:color w:val="000000" w:themeColor="text1"/>
                <w14:textFill>
                  <w14:solidFill>
                    <w14:schemeClr w14:val="tx1"/>
                  </w14:solidFill>
                </w14:textFill>
              </w:rPr>
              <w:t>分</w:t>
            </w:r>
            <w:r>
              <w:rPr>
                <w:color w:val="000000" w:themeColor="text1"/>
                <w:spacing w:val="-3"/>
                <w14:textFill>
                  <w14:solidFill>
                    <w14:schemeClr w14:val="tx1"/>
                  </w14:solidFill>
                </w14:textFill>
              </w:rPr>
              <w:t>析</w:t>
            </w:r>
            <w:r>
              <w:rPr>
                <w:color w:val="000000" w:themeColor="text1"/>
                <w14:textFill>
                  <w14:solidFill>
                    <w14:schemeClr w14:val="tx1"/>
                  </w14:solidFill>
                </w14:textFill>
              </w:rPr>
              <w:t>水</w:t>
            </w:r>
            <w:r>
              <w:rPr>
                <w:color w:val="000000" w:themeColor="text1"/>
                <w:spacing w:val="-3"/>
                <w14:textFill>
                  <w14:solidFill>
                    <w14:schemeClr w14:val="tx1"/>
                  </w14:solidFill>
                </w14:textFill>
              </w:rPr>
              <w:t>质</w:t>
            </w:r>
            <w:r>
              <w:rPr>
                <w:color w:val="000000" w:themeColor="text1"/>
                <w14:textFill>
                  <w14:solidFill>
                    <w14:schemeClr w14:val="tx1"/>
                  </w14:solidFill>
                </w14:textFill>
              </w:rPr>
              <w:t>情况</w:t>
            </w:r>
            <w:r>
              <w:rPr>
                <w:color w:val="000000" w:themeColor="text1"/>
                <w:spacing w:val="-3"/>
                <w14:textFill>
                  <w14:solidFill>
                    <w14:schemeClr w14:val="tx1"/>
                  </w14:solidFill>
                </w14:textFill>
              </w:rPr>
              <w:t>；</w:t>
            </w:r>
            <w:r>
              <w:rPr>
                <w:color w:val="000000" w:themeColor="text1"/>
                <w14:textFill>
                  <w14:solidFill>
                    <w14:schemeClr w14:val="tx1"/>
                  </w14:solidFill>
                </w14:textFill>
              </w:rPr>
              <w:t>沼</w:t>
            </w:r>
            <w:r>
              <w:rPr>
                <w:color w:val="000000" w:themeColor="text1"/>
                <w:spacing w:val="-3"/>
                <w14:textFill>
                  <w14:solidFill>
                    <w14:schemeClr w14:val="tx1"/>
                  </w14:solidFill>
                </w14:textFill>
              </w:rPr>
              <w:t>液</w:t>
            </w:r>
            <w:r>
              <w:rPr>
                <w:color w:val="000000" w:themeColor="text1"/>
                <w14:textFill>
                  <w14:solidFill>
                    <w14:schemeClr w14:val="tx1"/>
                  </w14:solidFill>
                </w14:textFill>
              </w:rPr>
              <w:t>消</w:t>
            </w:r>
            <w:r>
              <w:rPr>
                <w:color w:val="000000" w:themeColor="text1"/>
                <w:spacing w:val="-3"/>
                <w14:textFill>
                  <w14:solidFill>
                    <w14:schemeClr w14:val="tx1"/>
                  </w14:solidFill>
                </w14:textFill>
              </w:rPr>
              <w:t>纳</w:t>
            </w:r>
            <w:r>
              <w:rPr>
                <w:color w:val="000000" w:themeColor="text1"/>
                <w14:textFill>
                  <w14:solidFill>
                    <w14:schemeClr w14:val="tx1"/>
                  </w14:solidFill>
                </w14:textFill>
              </w:rPr>
              <w:t>系</w:t>
            </w:r>
            <w:r>
              <w:rPr>
                <w:color w:val="000000" w:themeColor="text1"/>
                <w:spacing w:val="-3"/>
                <w14:textFill>
                  <w14:solidFill>
                    <w14:schemeClr w14:val="tx1"/>
                  </w14:solidFill>
                </w14:textFill>
              </w:rPr>
              <w:t>统</w:t>
            </w:r>
            <w:r>
              <w:rPr>
                <w:color w:val="000000" w:themeColor="text1"/>
                <w14:textFill>
                  <w14:solidFill>
                    <w14:schemeClr w14:val="tx1"/>
                  </w14:solidFill>
                </w14:textFill>
              </w:rPr>
              <w:t>各</w:t>
            </w:r>
            <w:r>
              <w:rPr>
                <w:color w:val="000000" w:themeColor="text1"/>
                <w:spacing w:val="-2"/>
                <w14:textFill>
                  <w14:solidFill>
                    <w14:schemeClr w14:val="tx1"/>
                  </w14:solidFill>
                </w14:textFill>
              </w:rPr>
              <w:t>项</w:t>
            </w:r>
            <w:r>
              <w:rPr>
                <w:color w:val="000000" w:themeColor="text1"/>
                <w14:textFill>
                  <w14:solidFill>
                    <w14:schemeClr w14:val="tx1"/>
                  </w14:solidFill>
                </w14:textFill>
              </w:rPr>
              <w:t>管理</w:t>
            </w:r>
            <w:r>
              <w:rPr>
                <w:color w:val="000000" w:themeColor="text1"/>
                <w:spacing w:val="-3"/>
                <w14:textFill>
                  <w14:solidFill>
                    <w14:schemeClr w14:val="tx1"/>
                  </w14:solidFill>
                </w14:textFill>
              </w:rPr>
              <w:t>制</w:t>
            </w:r>
            <w:r>
              <w:rPr>
                <w:color w:val="000000" w:themeColor="text1"/>
                <w14:textFill>
                  <w14:solidFill>
                    <w14:schemeClr w14:val="tx1"/>
                  </w14:solidFill>
                </w14:textFill>
              </w:rPr>
              <w:t>度。</w:t>
            </w:r>
          </w:p>
        </w:tc>
        <w:tc>
          <w:tcPr>
            <w:tcW w:w="853" w:type="pct"/>
            <w:vMerge w:val="continue"/>
            <w:tcBorders>
              <w:top w:val="single" w:color="000000" w:sz="4" w:space="0"/>
              <w:left w:val="single" w:color="000000" w:sz="6" w:space="0"/>
              <w:bottom w:val="single" w:color="000000" w:sz="4" w:space="0"/>
              <w:right w:val="single" w:color="auto" w:sz="12" w:space="0"/>
            </w:tcBorders>
            <w:vAlign w:val="center"/>
          </w:tcPr>
          <w:p>
            <w:pPr>
              <w:pStyle w:val="332"/>
              <w:jc w:val="both"/>
              <w:rPr>
                <w:color w:val="000000" w:themeColor="text1"/>
                <w:highlight w:val="yellow"/>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5" w:type="pc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sz w:val="24"/>
                <w14:textFill>
                  <w14:solidFill>
                    <w14:schemeClr w14:val="tx1"/>
                  </w14:solidFill>
                </w14:textFill>
              </w:rPr>
            </w:pPr>
            <w:r>
              <w:rPr>
                <w:color w:val="000000" w:themeColor="text1"/>
                <w14:textFill>
                  <w14:solidFill>
                    <w14:schemeClr w14:val="tx1"/>
                  </w14:solidFill>
                </w14:textFill>
              </w:rPr>
              <w:t>噪声</w:t>
            </w:r>
          </w:p>
        </w:tc>
        <w:tc>
          <w:tcPr>
            <w:tcW w:w="1255" w:type="pct"/>
            <w:gridSpan w:val="2"/>
            <w:tcBorders>
              <w:top w:val="single" w:color="auto" w:sz="4" w:space="0"/>
              <w:left w:val="single" w:color="auto" w:sz="4" w:space="0"/>
              <w:bottom w:val="single" w:color="auto" w:sz="4" w:space="0"/>
              <w:right w:val="single" w:color="auto" w:sz="4" w:space="0"/>
            </w:tcBorders>
            <w:vAlign w:val="center"/>
          </w:tcPr>
          <w:p>
            <w:pPr>
              <w:pStyle w:val="332"/>
              <w:rPr>
                <w:color w:val="000000" w:themeColor="text1"/>
                <w:sz w:val="24"/>
                <w14:textFill>
                  <w14:solidFill>
                    <w14:schemeClr w14:val="tx1"/>
                  </w14:solidFill>
                </w14:textFill>
              </w:rPr>
            </w:pPr>
            <w:r>
              <w:rPr>
                <w:color w:val="000000" w:themeColor="text1"/>
                <w14:textFill>
                  <w14:solidFill>
                    <w14:schemeClr w14:val="tx1"/>
                  </w14:solidFill>
                </w14:textFill>
              </w:rPr>
              <w:t>噪声</w:t>
            </w:r>
          </w:p>
        </w:tc>
        <w:tc>
          <w:tcPr>
            <w:tcW w:w="2587" w:type="pct"/>
            <w:tcBorders>
              <w:top w:val="single" w:color="auto" w:sz="4" w:space="0"/>
              <w:left w:val="single" w:color="auto" w:sz="4" w:space="0"/>
              <w:bottom w:val="single" w:color="auto" w:sz="4" w:space="0"/>
              <w:right w:val="single" w:color="000000" w:sz="6" w:space="0"/>
            </w:tcBorders>
            <w:vAlign w:val="center"/>
          </w:tcPr>
          <w:p>
            <w:pPr>
              <w:pStyle w:val="332"/>
              <w:jc w:val="both"/>
              <w:rPr>
                <w:color w:val="000000" w:themeColor="text1"/>
                <w:sz w:val="24"/>
                <w14:textFill>
                  <w14:solidFill>
                    <w14:schemeClr w14:val="tx1"/>
                  </w14:solidFill>
                </w14:textFill>
              </w:rPr>
            </w:pPr>
            <w:r>
              <w:rPr>
                <w:color w:val="000000" w:themeColor="text1"/>
                <w:kern w:val="0"/>
                <w:szCs w:val="21"/>
                <w14:textFill>
                  <w14:solidFill>
                    <w14:schemeClr w14:val="tx1"/>
                  </w14:solidFill>
                </w14:textFill>
              </w:rPr>
              <w:t>选用低噪声设备，</w:t>
            </w:r>
            <w:r>
              <w:rPr>
                <w:color w:val="000000" w:themeColor="text1"/>
                <w14:textFill>
                  <w14:solidFill>
                    <w14:schemeClr w14:val="tx1"/>
                  </w14:solidFill>
                </w14:textFill>
              </w:rPr>
              <w:t>设备</w:t>
            </w:r>
            <w:r>
              <w:rPr>
                <w:color w:val="000000" w:themeColor="text1"/>
                <w:spacing w:val="-3"/>
                <w14:textFill>
                  <w14:solidFill>
                    <w14:schemeClr w14:val="tx1"/>
                  </w14:solidFill>
                </w14:textFill>
              </w:rPr>
              <w:t>基</w:t>
            </w:r>
            <w:r>
              <w:rPr>
                <w:color w:val="000000" w:themeColor="text1"/>
                <w14:textFill>
                  <w14:solidFill>
                    <w14:schemeClr w14:val="tx1"/>
                  </w14:solidFill>
                </w14:textFill>
              </w:rPr>
              <w:t>础</w:t>
            </w:r>
            <w:r>
              <w:rPr>
                <w:color w:val="000000" w:themeColor="text1"/>
                <w:spacing w:val="-3"/>
                <w14:textFill>
                  <w14:solidFill>
                    <w14:schemeClr w14:val="tx1"/>
                  </w14:solidFill>
                </w14:textFill>
              </w:rPr>
              <w:t>减</w:t>
            </w:r>
            <w:r>
              <w:rPr>
                <w:color w:val="000000" w:themeColor="text1"/>
                <w14:textFill>
                  <w14:solidFill>
                    <w14:schemeClr w14:val="tx1"/>
                  </w14:solidFill>
                </w14:textFill>
              </w:rPr>
              <w:t>振</w:t>
            </w:r>
            <w:r>
              <w:rPr>
                <w:color w:val="000000" w:themeColor="text1"/>
                <w:spacing w:val="-3"/>
                <w14:textFill>
                  <w14:solidFill>
                    <w14:schemeClr w14:val="tx1"/>
                  </w14:solidFill>
                </w14:textFill>
              </w:rPr>
              <w:t>，</w:t>
            </w:r>
            <w:r>
              <w:rPr>
                <w:color w:val="000000" w:themeColor="text1"/>
                <w14:textFill>
                  <w14:solidFill>
                    <w14:schemeClr w14:val="tx1"/>
                  </w14:solidFill>
                </w14:textFill>
              </w:rPr>
              <w:t>隔</w:t>
            </w:r>
            <w:r>
              <w:rPr>
                <w:color w:val="000000" w:themeColor="text1"/>
                <w:spacing w:val="-3"/>
                <w14:textFill>
                  <w14:solidFill>
                    <w14:schemeClr w14:val="tx1"/>
                  </w14:solidFill>
                </w14:textFill>
              </w:rPr>
              <w:t>声</w:t>
            </w:r>
            <w:r>
              <w:rPr>
                <w:color w:val="000000" w:themeColor="text1"/>
                <w14:textFill>
                  <w14:solidFill>
                    <w14:schemeClr w14:val="tx1"/>
                  </w14:solidFill>
                </w14:textFill>
              </w:rPr>
              <w:t>消</w:t>
            </w:r>
            <w:r>
              <w:rPr>
                <w:color w:val="000000" w:themeColor="text1"/>
                <w:spacing w:val="-3"/>
                <w14:textFill>
                  <w14:solidFill>
                    <w14:schemeClr w14:val="tx1"/>
                  </w14:solidFill>
                </w14:textFill>
              </w:rPr>
              <w:t>声</w:t>
            </w:r>
            <w:r>
              <w:rPr>
                <w:color w:val="000000" w:themeColor="text1"/>
                <w14:textFill>
                  <w14:solidFill>
                    <w14:schemeClr w14:val="tx1"/>
                  </w14:solidFill>
                </w14:textFill>
              </w:rPr>
              <w:t>降噪</w:t>
            </w:r>
            <w:r>
              <w:rPr>
                <w:color w:val="000000" w:themeColor="text1"/>
                <w:spacing w:val="-3"/>
                <w14:textFill>
                  <w14:solidFill>
                    <w14:schemeClr w14:val="tx1"/>
                  </w14:solidFill>
                </w14:textFill>
              </w:rPr>
              <w:t>，</w:t>
            </w:r>
            <w:r>
              <w:rPr>
                <w:color w:val="000000" w:themeColor="text1"/>
                <w14:textFill>
                  <w14:solidFill>
                    <w14:schemeClr w14:val="tx1"/>
                  </w14:solidFill>
                </w14:textFill>
              </w:rPr>
              <w:t>场</w:t>
            </w:r>
            <w:r>
              <w:rPr>
                <w:color w:val="000000" w:themeColor="text1"/>
                <w:spacing w:val="-3"/>
                <w14:textFill>
                  <w14:solidFill>
                    <w14:schemeClr w14:val="tx1"/>
                  </w14:solidFill>
                </w14:textFill>
              </w:rPr>
              <w:t>区</w:t>
            </w:r>
            <w:r>
              <w:rPr>
                <w:color w:val="000000" w:themeColor="text1"/>
                <w14:textFill>
                  <w14:solidFill>
                    <w14:schemeClr w14:val="tx1"/>
                  </w14:solidFill>
                </w14:textFill>
              </w:rPr>
              <w:t>四</w:t>
            </w:r>
            <w:r>
              <w:rPr>
                <w:color w:val="000000" w:themeColor="text1"/>
                <w:spacing w:val="-3"/>
                <w14:textFill>
                  <w14:solidFill>
                    <w14:schemeClr w14:val="tx1"/>
                  </w14:solidFill>
                </w14:textFill>
              </w:rPr>
              <w:t>周</w:t>
            </w:r>
            <w:r>
              <w:rPr>
                <w:color w:val="000000" w:themeColor="text1"/>
                <w14:textFill>
                  <w14:solidFill>
                    <w14:schemeClr w14:val="tx1"/>
                  </w14:solidFill>
                </w14:textFill>
              </w:rPr>
              <w:t>设</w:t>
            </w:r>
            <w:r>
              <w:rPr>
                <w:color w:val="000000" w:themeColor="text1"/>
                <w:spacing w:val="-3"/>
                <w14:textFill>
                  <w14:solidFill>
                    <w14:schemeClr w14:val="tx1"/>
                  </w14:solidFill>
                </w14:textFill>
              </w:rPr>
              <w:t>置</w:t>
            </w:r>
            <w:r>
              <w:rPr>
                <w:color w:val="000000" w:themeColor="text1"/>
                <w14:textFill>
                  <w14:solidFill>
                    <w14:schemeClr w14:val="tx1"/>
                  </w14:solidFill>
                </w14:textFill>
              </w:rPr>
              <w:t>绿</w:t>
            </w:r>
            <w:r>
              <w:rPr>
                <w:color w:val="000000" w:themeColor="text1"/>
                <w:spacing w:val="-3"/>
                <w14:textFill>
                  <w14:solidFill>
                    <w14:schemeClr w14:val="tx1"/>
                  </w14:solidFill>
                </w14:textFill>
              </w:rPr>
              <w:t>化</w:t>
            </w:r>
            <w:r>
              <w:rPr>
                <w:color w:val="000000" w:themeColor="text1"/>
                <w14:textFill>
                  <w14:solidFill>
                    <w14:schemeClr w14:val="tx1"/>
                  </w14:solidFill>
                </w14:textFill>
              </w:rPr>
              <w:t>带立</w:t>
            </w:r>
            <w:r>
              <w:rPr>
                <w:color w:val="000000" w:themeColor="text1"/>
                <w:spacing w:val="-3"/>
                <w14:textFill>
                  <w14:solidFill>
                    <w14:schemeClr w14:val="tx1"/>
                  </w14:solidFill>
                </w14:textFill>
              </w:rPr>
              <w:t>体</w:t>
            </w:r>
            <w:r>
              <w:rPr>
                <w:color w:val="000000" w:themeColor="text1"/>
                <w14:textFill>
                  <w14:solidFill>
                    <w14:schemeClr w14:val="tx1"/>
                  </w14:solidFill>
                </w14:textFill>
              </w:rPr>
              <w:t>隔声</w:t>
            </w:r>
          </w:p>
        </w:tc>
        <w:tc>
          <w:tcPr>
            <w:tcW w:w="853" w:type="pct"/>
            <w:tcBorders>
              <w:top w:val="single" w:color="000000" w:sz="4" w:space="0"/>
              <w:left w:val="single" w:color="000000" w:sz="6" w:space="0"/>
              <w:bottom w:val="single" w:color="000000" w:sz="4" w:space="0"/>
              <w:right w:val="single" w:color="auto" w:sz="12" w:space="0"/>
            </w:tcBorders>
            <w:vAlign w:val="center"/>
          </w:tcPr>
          <w:p>
            <w:pPr>
              <w:pStyle w:val="332"/>
              <w:jc w:val="both"/>
              <w:rPr>
                <w:color w:val="000000" w:themeColor="text1"/>
                <w:sz w:val="24"/>
                <w14:textFill>
                  <w14:solidFill>
                    <w14:schemeClr w14:val="tx1"/>
                  </w14:solidFill>
                </w14:textFill>
              </w:rPr>
            </w:pPr>
            <w:r>
              <w:rPr>
                <w:color w:val="000000" w:themeColor="text1"/>
                <w14:textFill>
                  <w14:solidFill>
                    <w14:schemeClr w14:val="tx1"/>
                  </w14:solidFill>
                </w14:textFill>
              </w:rPr>
              <w:t>《</w:t>
            </w:r>
            <w:r>
              <w:rPr>
                <w:color w:val="000000" w:themeColor="text1"/>
                <w:spacing w:val="-3"/>
                <w14:textFill>
                  <w14:solidFill>
                    <w14:schemeClr w14:val="tx1"/>
                  </w14:solidFill>
                </w14:textFill>
              </w:rPr>
              <w:t>工</w:t>
            </w:r>
            <w:r>
              <w:rPr>
                <w:color w:val="000000" w:themeColor="text1"/>
                <w14:textFill>
                  <w14:solidFill>
                    <w14:schemeClr w14:val="tx1"/>
                  </w14:solidFill>
                </w14:textFill>
              </w:rPr>
              <w:t>业</w:t>
            </w:r>
            <w:r>
              <w:rPr>
                <w:color w:val="000000" w:themeColor="text1"/>
                <w:spacing w:val="-3"/>
                <w14:textFill>
                  <w14:solidFill>
                    <w14:schemeClr w14:val="tx1"/>
                  </w14:solidFill>
                </w14:textFill>
              </w:rPr>
              <w:t>企</w:t>
            </w:r>
            <w:r>
              <w:rPr>
                <w:color w:val="000000" w:themeColor="text1"/>
                <w14:textFill>
                  <w14:solidFill>
                    <w14:schemeClr w14:val="tx1"/>
                  </w14:solidFill>
                </w14:textFill>
              </w:rPr>
              <w:t>业</w:t>
            </w:r>
            <w:r>
              <w:rPr>
                <w:color w:val="000000" w:themeColor="text1"/>
                <w:spacing w:val="-3"/>
                <w14:textFill>
                  <w14:solidFill>
                    <w14:schemeClr w14:val="tx1"/>
                  </w14:solidFill>
                </w14:textFill>
              </w:rPr>
              <w:t>厂</w:t>
            </w:r>
            <w:r>
              <w:rPr>
                <w:color w:val="000000" w:themeColor="text1"/>
                <w14:textFill>
                  <w14:solidFill>
                    <w14:schemeClr w14:val="tx1"/>
                  </w14:solidFill>
                </w14:textFill>
              </w:rPr>
              <w:t>界</w:t>
            </w:r>
            <w:r>
              <w:rPr>
                <w:color w:val="000000" w:themeColor="text1"/>
                <w:spacing w:val="-3"/>
                <w14:textFill>
                  <w14:solidFill>
                    <w14:schemeClr w14:val="tx1"/>
                  </w14:solidFill>
                </w14:textFill>
              </w:rPr>
              <w:t>环境</w:t>
            </w:r>
            <w:r>
              <w:rPr>
                <w:color w:val="000000" w:themeColor="text1"/>
                <w14:textFill>
                  <w14:solidFill>
                    <w14:schemeClr w14:val="tx1"/>
                  </w14:solidFill>
                </w14:textFill>
              </w:rPr>
              <w:t>噪声排</w:t>
            </w:r>
            <w:r>
              <w:rPr>
                <w:color w:val="000000" w:themeColor="text1"/>
                <w:spacing w:val="-3"/>
                <w14:textFill>
                  <w14:solidFill>
                    <w14:schemeClr w14:val="tx1"/>
                  </w14:solidFill>
                </w14:textFill>
              </w:rPr>
              <w:t>放</w:t>
            </w:r>
            <w:r>
              <w:rPr>
                <w:color w:val="000000" w:themeColor="text1"/>
                <w14:textFill>
                  <w14:solidFill>
                    <w14:schemeClr w14:val="tx1"/>
                  </w14:solidFill>
                </w14:textFill>
              </w:rPr>
              <w:t>标</w:t>
            </w:r>
            <w:r>
              <w:rPr>
                <w:color w:val="000000" w:themeColor="text1"/>
                <w:spacing w:val="-3"/>
                <w14:textFill>
                  <w14:solidFill>
                    <w14:schemeClr w14:val="tx1"/>
                  </w14:solidFill>
                </w14:textFill>
              </w:rPr>
              <w:t>准</w:t>
            </w:r>
            <w:r>
              <w:rPr>
                <w:color w:val="000000" w:themeColor="text1"/>
                <w:spacing w:val="-106"/>
                <w14:textFill>
                  <w14:solidFill>
                    <w14:schemeClr w14:val="tx1"/>
                  </w14:solidFill>
                </w14:textFill>
              </w:rPr>
              <w:t>》</w:t>
            </w:r>
            <w:r>
              <w:rPr>
                <w:color w:val="000000" w:themeColor="text1"/>
                <w:spacing w:val="-2"/>
                <w14:textFill>
                  <w14:solidFill>
                    <w14:schemeClr w14:val="tx1"/>
                  </w14:solidFill>
                </w14:textFill>
              </w:rPr>
              <w:t>G</w:t>
            </w:r>
            <w:r>
              <w:rPr>
                <w:color w:val="000000" w:themeColor="text1"/>
                <w14:textFill>
                  <w14:solidFill>
                    <w14:schemeClr w14:val="tx1"/>
                  </w14:solidFill>
                </w14:textFill>
              </w:rPr>
              <w:t>B12</w:t>
            </w:r>
            <w:r>
              <w:rPr>
                <w:color w:val="000000" w:themeColor="text1"/>
                <w:spacing w:val="-3"/>
                <w14:textFill>
                  <w14:solidFill>
                    <w14:schemeClr w14:val="tx1"/>
                  </w14:solidFill>
                </w14:textFill>
              </w:rPr>
              <w:t>3</w:t>
            </w:r>
            <w:r>
              <w:rPr>
                <w:color w:val="000000" w:themeColor="text1"/>
                <w14:textFill>
                  <w14:solidFill>
                    <w14:schemeClr w14:val="tx1"/>
                  </w14:solidFill>
                </w14:textFill>
              </w:rPr>
              <w:t>48</w:t>
            </w:r>
            <w:r>
              <w:rPr>
                <w:color w:val="000000" w:themeColor="text1"/>
                <w:spacing w:val="-4"/>
                <w14:textFill>
                  <w14:solidFill>
                    <w14:schemeClr w14:val="tx1"/>
                  </w14:solidFill>
                </w14:textFill>
              </w:rPr>
              <w:t>-</w:t>
            </w:r>
            <w:r>
              <w:rPr>
                <w:color w:val="000000" w:themeColor="text1"/>
                <w14:textFill>
                  <w14:solidFill>
                    <w14:schemeClr w14:val="tx1"/>
                  </w14:solidFill>
                </w14:textFill>
              </w:rPr>
              <w:t>20081</w:t>
            </w:r>
            <w:r>
              <w:rPr>
                <w:color w:val="000000" w:themeColor="text1"/>
                <w:spacing w:val="-3"/>
                <w14:textFill>
                  <w14:solidFill>
                    <w14:schemeClr w14:val="tx1"/>
                  </w14:solidFill>
                </w14:textFill>
              </w:rPr>
              <w:t>类</w:t>
            </w:r>
          </w:p>
        </w:tc>
      </w:tr>
      <w:tr>
        <w:tblPrEx>
          <w:tblCellMar>
            <w:top w:w="0" w:type="dxa"/>
            <w:left w:w="0" w:type="dxa"/>
            <w:bottom w:w="0" w:type="dxa"/>
            <w:right w:w="0" w:type="dxa"/>
          </w:tblCellMar>
        </w:tblPrEx>
        <w:trPr>
          <w:trHeight w:val="397" w:hRule="atLeast"/>
        </w:trPr>
        <w:tc>
          <w:tcPr>
            <w:tcW w:w="305" w:type="pct"/>
            <w:vMerge w:val="restart"/>
            <w:tcBorders>
              <w:top w:val="single" w:color="auto" w:sz="4" w:space="0"/>
              <w:left w:val="single" w:color="auto" w:sz="12" w:space="0"/>
              <w:bottom w:val="single" w:color="auto" w:sz="4" w:space="0"/>
              <w:right w:val="single" w:color="auto" w:sz="4" w:space="0"/>
            </w:tcBorders>
            <w:vAlign w:val="center"/>
          </w:tcPr>
          <w:p>
            <w:pPr>
              <w:pStyle w:val="332"/>
              <w:rPr>
                <w:color w:val="000000" w:themeColor="text1"/>
                <w:sz w:val="24"/>
                <w:highlight w:val="yellow"/>
                <w14:textFill>
                  <w14:solidFill>
                    <w14:schemeClr w14:val="tx1"/>
                  </w14:solidFill>
                </w14:textFill>
              </w:rPr>
            </w:pPr>
            <w:r>
              <w:rPr>
                <w:color w:val="000000" w:themeColor="text1"/>
                <w14:textFill>
                  <w14:solidFill>
                    <w14:schemeClr w14:val="tx1"/>
                  </w14:solidFill>
                </w14:textFill>
              </w:rPr>
              <w:t>固废</w:t>
            </w:r>
          </w:p>
        </w:tc>
        <w:tc>
          <w:tcPr>
            <w:tcW w:w="863"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392"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病死猪、母猪胎盘</w:t>
            </w:r>
          </w:p>
        </w:tc>
        <w:tc>
          <w:tcPr>
            <w:tcW w:w="2587" w:type="pct"/>
            <w:tcBorders>
              <w:top w:val="single" w:color="auto" w:sz="4" w:space="0"/>
              <w:left w:val="single" w:color="auto" w:sz="4" w:space="0"/>
              <w:bottom w:val="single" w:color="auto" w:sz="4" w:space="0"/>
              <w:right w:val="single" w:color="000000" w:sz="6" w:space="0"/>
            </w:tcBorders>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送自建无害化处理车间处理，处理后固态残余物送固粪处理区内发酵堆肥；</w:t>
            </w:r>
          </w:p>
        </w:tc>
        <w:tc>
          <w:tcPr>
            <w:tcW w:w="853" w:type="pct"/>
            <w:vMerge w:val="restart"/>
            <w:tcBorders>
              <w:top w:val="single" w:color="000000" w:sz="4" w:space="0"/>
              <w:left w:val="single" w:color="000000" w:sz="6" w:space="0"/>
              <w:right w:val="single" w:color="auto" w:sz="12"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《一般工业固体废物贮存和填埋》(GB18599-2020)</w:t>
            </w:r>
          </w:p>
        </w:tc>
      </w:tr>
      <w:tr>
        <w:tblPrEx>
          <w:tblCellMar>
            <w:top w:w="0" w:type="dxa"/>
            <w:left w:w="0" w:type="dxa"/>
            <w:bottom w:w="0" w:type="dxa"/>
            <w:right w:w="0" w:type="dxa"/>
          </w:tblCellMar>
        </w:tblPrEx>
        <w:trPr>
          <w:trHeight w:val="397" w:hRule="atLeast"/>
        </w:trPr>
        <w:tc>
          <w:tcPr>
            <w:tcW w:w="305" w:type="pct"/>
            <w:vMerge w:val="continue"/>
            <w:tcBorders>
              <w:top w:val="single" w:color="auto" w:sz="4" w:space="0"/>
              <w:left w:val="single" w:color="auto" w:sz="12" w:space="0"/>
              <w:bottom w:val="single" w:color="auto" w:sz="4" w:space="0"/>
              <w:right w:val="single" w:color="auto" w:sz="4" w:space="0"/>
            </w:tcBorders>
            <w:vAlign w:val="center"/>
          </w:tcPr>
          <w:p>
            <w:pPr>
              <w:kinsoku w:val="0"/>
              <w:overflowPunct w:val="0"/>
              <w:autoSpaceDE w:val="0"/>
              <w:autoSpaceDN w:val="0"/>
              <w:adjustRightInd w:val="0"/>
              <w:spacing w:before="30" w:line="240" w:lineRule="auto"/>
              <w:ind w:left="244" w:firstLine="0" w:firstLineChars="0"/>
              <w:jc w:val="center"/>
              <w:rPr>
                <w:rFonts w:cs="Times New Roman"/>
                <w:color w:val="000000" w:themeColor="text1"/>
                <w:kern w:val="0"/>
                <w:szCs w:val="24"/>
                <w:highlight w:val="yellow"/>
                <w14:textFill>
                  <w14:solidFill>
                    <w14:schemeClr w14:val="tx1"/>
                  </w14:solidFill>
                </w14:textFill>
              </w:rPr>
            </w:pPr>
          </w:p>
        </w:tc>
        <w:tc>
          <w:tcPr>
            <w:tcW w:w="863"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无害化车间</w:t>
            </w:r>
          </w:p>
        </w:tc>
        <w:tc>
          <w:tcPr>
            <w:tcW w:w="392"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kern w:val="0"/>
                <w14:textFill>
                  <w14:solidFill>
                    <w14:schemeClr w14:val="tx1"/>
                  </w14:solidFill>
                </w14:textFill>
              </w:rPr>
            </w:pPr>
            <w:r>
              <w:rPr>
                <w:color w:val="000000" w:themeColor="text1"/>
                <w14:textFill>
                  <w14:solidFill>
                    <w14:schemeClr w14:val="tx1"/>
                  </w14:solidFill>
                </w14:textFill>
              </w:rPr>
              <w:t>固体残余物</w:t>
            </w:r>
          </w:p>
        </w:tc>
        <w:tc>
          <w:tcPr>
            <w:tcW w:w="2587" w:type="pct"/>
            <w:tcBorders>
              <w:top w:val="single" w:color="auto" w:sz="4" w:space="0"/>
              <w:left w:val="single" w:color="auto" w:sz="4" w:space="0"/>
              <w:bottom w:val="single" w:color="auto" w:sz="4" w:space="0"/>
              <w:right w:val="single" w:color="000000" w:sz="6" w:space="0"/>
            </w:tcBorders>
            <w:vAlign w:val="center"/>
          </w:tcPr>
          <w:p>
            <w:pPr>
              <w:pStyle w:val="332"/>
              <w:jc w:val="both"/>
              <w:rPr>
                <w:color w:val="000000" w:themeColor="text1"/>
                <w:kern w:val="0"/>
                <w:highlight w:val="yellow"/>
                <w14:textFill>
                  <w14:solidFill>
                    <w14:schemeClr w14:val="tx1"/>
                  </w14:solidFill>
                </w14:textFill>
              </w:rPr>
            </w:pPr>
            <w:r>
              <w:rPr>
                <w:color w:val="000000" w:themeColor="text1"/>
                <w14:textFill>
                  <w14:solidFill>
                    <w14:schemeClr w14:val="tx1"/>
                  </w14:solidFill>
                </w14:textFill>
              </w:rPr>
              <w:t>送固粪处理区内发酵堆肥；</w:t>
            </w:r>
          </w:p>
        </w:tc>
        <w:tc>
          <w:tcPr>
            <w:tcW w:w="853" w:type="pct"/>
            <w:vMerge w:val="continue"/>
            <w:tcBorders>
              <w:left w:val="single" w:color="000000" w:sz="6" w:space="0"/>
              <w:right w:val="single" w:color="auto" w:sz="12" w:space="0"/>
            </w:tcBorders>
            <w:vAlign w:val="center"/>
          </w:tcPr>
          <w:p>
            <w:pPr>
              <w:pStyle w:val="332"/>
              <w:rPr>
                <w:color w:val="000000" w:themeColor="text1"/>
                <w:kern w:val="0"/>
                <w:highlight w:val="yellow"/>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5" w:type="pct"/>
            <w:vMerge w:val="continue"/>
            <w:tcBorders>
              <w:top w:val="single" w:color="auto" w:sz="4" w:space="0"/>
              <w:left w:val="single" w:color="auto" w:sz="12" w:space="0"/>
              <w:bottom w:val="single" w:color="auto" w:sz="4" w:space="0"/>
              <w:right w:val="single" w:color="auto" w:sz="4" w:space="0"/>
            </w:tcBorders>
            <w:vAlign w:val="center"/>
          </w:tcPr>
          <w:p>
            <w:pPr>
              <w:kinsoku w:val="0"/>
              <w:overflowPunct w:val="0"/>
              <w:autoSpaceDE w:val="0"/>
              <w:autoSpaceDN w:val="0"/>
              <w:adjustRightInd w:val="0"/>
              <w:spacing w:line="289" w:lineRule="exact"/>
              <w:ind w:left="2" w:firstLine="0" w:firstLineChars="0"/>
              <w:jc w:val="center"/>
              <w:rPr>
                <w:rFonts w:cs="Times New Roman"/>
                <w:color w:val="000000" w:themeColor="text1"/>
                <w:kern w:val="0"/>
                <w:szCs w:val="24"/>
                <w:highlight w:val="yellow"/>
                <w14:textFill>
                  <w14:solidFill>
                    <w14:schemeClr w14:val="tx1"/>
                  </w14:solidFill>
                </w14:textFill>
              </w:rPr>
            </w:pPr>
          </w:p>
        </w:tc>
        <w:tc>
          <w:tcPr>
            <w:tcW w:w="863"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kern w:val="0"/>
                <w14:textFill>
                  <w14:solidFill>
                    <w14:schemeClr w14:val="tx1"/>
                  </w14:solidFill>
                </w14:textFill>
              </w:rPr>
            </w:pPr>
            <w:r>
              <w:rPr>
                <w:color w:val="000000" w:themeColor="text1"/>
                <w14:textFill>
                  <w14:solidFill>
                    <w14:schemeClr w14:val="tx1"/>
                  </w14:solidFill>
                </w14:textFill>
              </w:rPr>
              <w:t>猪舍</w:t>
            </w:r>
          </w:p>
        </w:tc>
        <w:tc>
          <w:tcPr>
            <w:tcW w:w="392"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kern w:val="0"/>
                <w14:textFill>
                  <w14:solidFill>
                    <w14:schemeClr w14:val="tx1"/>
                  </w14:solidFill>
                </w14:textFill>
              </w:rPr>
            </w:pPr>
            <w:r>
              <w:rPr>
                <w:color w:val="000000" w:themeColor="text1"/>
                <w14:textFill>
                  <w14:solidFill>
                    <w14:schemeClr w14:val="tx1"/>
                  </w14:solidFill>
                </w14:textFill>
              </w:rPr>
              <w:t>猪粪</w:t>
            </w:r>
          </w:p>
        </w:tc>
        <w:tc>
          <w:tcPr>
            <w:tcW w:w="2587" w:type="pct"/>
            <w:vMerge w:val="restart"/>
            <w:tcBorders>
              <w:top w:val="single" w:color="auto" w:sz="4" w:space="0"/>
              <w:left w:val="single" w:color="auto" w:sz="4" w:space="0"/>
              <w:bottom w:val="single" w:color="auto" w:sz="4" w:space="0"/>
              <w:right w:val="single" w:color="000000" w:sz="6" w:space="0"/>
            </w:tcBorders>
            <w:vAlign w:val="center"/>
          </w:tcPr>
          <w:p>
            <w:pPr>
              <w:pStyle w:val="332"/>
              <w:jc w:val="both"/>
              <w:rPr>
                <w:color w:val="000000" w:themeColor="text1"/>
                <w:kern w:val="0"/>
                <w:highlight w:val="yellow"/>
                <w14:textFill>
                  <w14:solidFill>
                    <w14:schemeClr w14:val="tx1"/>
                  </w14:solidFill>
                </w14:textFill>
              </w:rPr>
            </w:pPr>
            <w:r>
              <w:rPr>
                <w:color w:val="000000" w:themeColor="text1"/>
                <w14:textFill>
                  <w14:solidFill>
                    <w14:schemeClr w14:val="tx1"/>
                  </w14:solidFill>
                </w14:textFill>
              </w:rPr>
              <w:t>经固液分离后的猪粪、沼渣运至固粪处理区内发酵堆肥，堆肥后作为有机肥基料外售；</w:t>
            </w:r>
          </w:p>
        </w:tc>
        <w:tc>
          <w:tcPr>
            <w:tcW w:w="853" w:type="pct"/>
            <w:vMerge w:val="continue"/>
            <w:tcBorders>
              <w:left w:val="single" w:color="000000" w:sz="6" w:space="0"/>
              <w:right w:val="single" w:color="auto" w:sz="12" w:space="0"/>
            </w:tcBorders>
            <w:vAlign w:val="center"/>
          </w:tcPr>
          <w:p>
            <w:pPr>
              <w:pStyle w:val="332"/>
              <w:rPr>
                <w:color w:val="000000" w:themeColor="text1"/>
                <w:kern w:val="0"/>
                <w:highlight w:val="yellow"/>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5" w:type="pct"/>
            <w:vMerge w:val="continue"/>
            <w:tcBorders>
              <w:top w:val="single" w:color="auto" w:sz="4" w:space="0"/>
              <w:left w:val="single" w:color="auto" w:sz="12" w:space="0"/>
              <w:bottom w:val="single" w:color="auto" w:sz="4" w:space="0"/>
              <w:right w:val="single" w:color="auto" w:sz="4" w:space="0"/>
            </w:tcBorders>
            <w:vAlign w:val="center"/>
          </w:tcPr>
          <w:p>
            <w:pPr>
              <w:kinsoku w:val="0"/>
              <w:overflowPunct w:val="0"/>
              <w:autoSpaceDE w:val="0"/>
              <w:autoSpaceDN w:val="0"/>
              <w:adjustRightInd w:val="0"/>
              <w:spacing w:line="289" w:lineRule="exact"/>
              <w:ind w:left="2" w:firstLine="0" w:firstLineChars="0"/>
              <w:jc w:val="center"/>
              <w:rPr>
                <w:rFonts w:cs="Times New Roman"/>
                <w:color w:val="000000" w:themeColor="text1"/>
                <w:kern w:val="0"/>
                <w:szCs w:val="24"/>
                <w:highlight w:val="yellow"/>
                <w14:textFill>
                  <w14:solidFill>
                    <w14:schemeClr w14:val="tx1"/>
                  </w14:solidFill>
                </w14:textFill>
              </w:rPr>
            </w:pPr>
          </w:p>
        </w:tc>
        <w:tc>
          <w:tcPr>
            <w:tcW w:w="863"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kern w:val="0"/>
                <w14:textFill>
                  <w14:solidFill>
                    <w14:schemeClr w14:val="tx1"/>
                  </w14:solidFill>
                </w14:textFill>
              </w:rPr>
            </w:pPr>
            <w:r>
              <w:rPr>
                <w:color w:val="000000" w:themeColor="text1"/>
                <w14:textFill>
                  <w14:solidFill>
                    <w14:schemeClr w14:val="tx1"/>
                  </w14:solidFill>
                </w14:textFill>
              </w:rPr>
              <w:t>黑膜沼气池</w:t>
            </w:r>
          </w:p>
        </w:tc>
        <w:tc>
          <w:tcPr>
            <w:tcW w:w="392"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沼渣</w:t>
            </w:r>
          </w:p>
        </w:tc>
        <w:tc>
          <w:tcPr>
            <w:tcW w:w="2587" w:type="pct"/>
            <w:vMerge w:val="continue"/>
            <w:tcBorders>
              <w:top w:val="single" w:color="auto" w:sz="4" w:space="0"/>
              <w:left w:val="single" w:color="auto" w:sz="4" w:space="0"/>
              <w:bottom w:val="single" w:color="auto" w:sz="4" w:space="0"/>
              <w:right w:val="single" w:color="000000" w:sz="6" w:space="0"/>
            </w:tcBorders>
            <w:vAlign w:val="center"/>
          </w:tcPr>
          <w:p>
            <w:pPr>
              <w:pStyle w:val="332"/>
              <w:jc w:val="both"/>
              <w:rPr>
                <w:color w:val="000000" w:themeColor="text1"/>
                <w14:textFill>
                  <w14:solidFill>
                    <w14:schemeClr w14:val="tx1"/>
                  </w14:solidFill>
                </w14:textFill>
              </w:rPr>
            </w:pPr>
          </w:p>
        </w:tc>
        <w:tc>
          <w:tcPr>
            <w:tcW w:w="853" w:type="pct"/>
            <w:vMerge w:val="continue"/>
            <w:tcBorders>
              <w:left w:val="single" w:color="000000" w:sz="6" w:space="0"/>
              <w:right w:val="single" w:color="auto" w:sz="12" w:space="0"/>
            </w:tcBorders>
            <w:vAlign w:val="center"/>
          </w:tcPr>
          <w:p>
            <w:pPr>
              <w:pStyle w:val="332"/>
              <w:rPr>
                <w:color w:val="000000" w:themeColor="text1"/>
                <w:kern w:val="0"/>
                <w:highlight w:val="yellow"/>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5" w:type="pct"/>
            <w:vMerge w:val="continue"/>
            <w:tcBorders>
              <w:top w:val="single" w:color="auto" w:sz="4" w:space="0"/>
              <w:left w:val="single" w:color="auto" w:sz="12" w:space="0"/>
              <w:bottom w:val="single" w:color="auto" w:sz="4" w:space="0"/>
              <w:right w:val="single" w:color="auto" w:sz="4" w:space="0"/>
            </w:tcBorders>
            <w:vAlign w:val="center"/>
          </w:tcPr>
          <w:p>
            <w:pPr>
              <w:kinsoku w:val="0"/>
              <w:overflowPunct w:val="0"/>
              <w:autoSpaceDE w:val="0"/>
              <w:autoSpaceDN w:val="0"/>
              <w:adjustRightInd w:val="0"/>
              <w:spacing w:before="29" w:line="240" w:lineRule="auto"/>
              <w:ind w:left="4" w:firstLine="0" w:firstLineChars="0"/>
              <w:jc w:val="center"/>
              <w:rPr>
                <w:rFonts w:cs="Times New Roman"/>
                <w:color w:val="000000" w:themeColor="text1"/>
                <w:kern w:val="0"/>
                <w:szCs w:val="24"/>
                <w:highlight w:val="yellow"/>
                <w14:textFill>
                  <w14:solidFill>
                    <w14:schemeClr w14:val="tx1"/>
                  </w14:solidFill>
                </w14:textFill>
              </w:rPr>
            </w:pPr>
          </w:p>
        </w:tc>
        <w:tc>
          <w:tcPr>
            <w:tcW w:w="863"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kern w:val="0"/>
                <w:highlight w:val="yellow"/>
                <w14:textFill>
                  <w14:solidFill>
                    <w14:schemeClr w14:val="tx1"/>
                  </w14:solidFill>
                </w14:textFill>
              </w:rPr>
            </w:pPr>
            <w:r>
              <w:rPr>
                <w:color w:val="000000" w:themeColor="text1"/>
                <w14:textFill>
                  <w14:solidFill>
                    <w14:schemeClr w14:val="tx1"/>
                  </w14:solidFill>
                </w14:textFill>
              </w:rPr>
              <w:t>沼气脱硫装置</w:t>
            </w:r>
          </w:p>
        </w:tc>
        <w:tc>
          <w:tcPr>
            <w:tcW w:w="392"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kern w:val="0"/>
                <w:highlight w:val="yellow"/>
                <w14:textFill>
                  <w14:solidFill>
                    <w14:schemeClr w14:val="tx1"/>
                  </w14:solidFill>
                </w14:textFill>
              </w:rPr>
            </w:pPr>
            <w:r>
              <w:rPr>
                <w:color w:val="000000" w:themeColor="text1"/>
                <w:kern w:val="0"/>
                <w:szCs w:val="21"/>
                <w14:textFill>
                  <w14:solidFill>
                    <w14:schemeClr w14:val="tx1"/>
                  </w14:solidFill>
                </w14:textFill>
              </w:rPr>
              <w:t>废脱硫剂</w:t>
            </w:r>
          </w:p>
        </w:tc>
        <w:tc>
          <w:tcPr>
            <w:tcW w:w="2587" w:type="pct"/>
            <w:tcBorders>
              <w:top w:val="single" w:color="auto" w:sz="4" w:space="0"/>
              <w:left w:val="single" w:color="auto" w:sz="4" w:space="0"/>
              <w:bottom w:val="single" w:color="auto" w:sz="4" w:space="0"/>
              <w:right w:val="single" w:color="000000" w:sz="6" w:space="0"/>
            </w:tcBorders>
            <w:vAlign w:val="center"/>
          </w:tcPr>
          <w:p>
            <w:pPr>
              <w:pStyle w:val="332"/>
              <w:jc w:val="both"/>
              <w:rPr>
                <w:color w:val="000000" w:themeColor="text1"/>
                <w:kern w:val="0"/>
                <w:highlight w:val="yellow"/>
                <w14:textFill>
                  <w14:solidFill>
                    <w14:schemeClr w14:val="tx1"/>
                  </w14:solidFill>
                </w14:textFill>
              </w:rPr>
            </w:pPr>
            <w:r>
              <w:rPr>
                <w:color w:val="000000" w:themeColor="text1"/>
                <w14:textFill>
                  <w14:solidFill>
                    <w14:schemeClr w14:val="tx1"/>
                  </w14:solidFill>
                </w14:textFill>
              </w:rPr>
              <w:t>设置专用收集桶，收集由厂家回</w:t>
            </w:r>
            <w:r>
              <w:rPr>
                <w:color w:val="000000" w:themeColor="text1"/>
                <w:w w:val="99"/>
                <w14:textFill>
                  <w14:solidFill>
                    <w14:schemeClr w14:val="tx1"/>
                  </w14:solidFill>
                </w14:textFill>
              </w:rPr>
              <w:t>收；</w:t>
            </w:r>
          </w:p>
        </w:tc>
        <w:tc>
          <w:tcPr>
            <w:tcW w:w="853" w:type="pct"/>
            <w:vMerge w:val="continue"/>
            <w:tcBorders>
              <w:left w:val="single" w:color="000000" w:sz="6" w:space="0"/>
              <w:bottom w:val="single" w:color="000000" w:sz="4" w:space="0"/>
              <w:right w:val="single" w:color="auto" w:sz="12" w:space="0"/>
            </w:tcBorders>
            <w:vAlign w:val="center"/>
          </w:tcPr>
          <w:p>
            <w:pPr>
              <w:pStyle w:val="332"/>
              <w:rPr>
                <w:color w:val="000000" w:themeColor="text1"/>
                <w:kern w:val="0"/>
                <w:highlight w:val="yellow"/>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5" w:type="pct"/>
            <w:vMerge w:val="restart"/>
            <w:tcBorders>
              <w:top w:val="single" w:color="auto" w:sz="4" w:space="0"/>
              <w:left w:val="single" w:color="auto" w:sz="12" w:space="0"/>
              <w:bottom w:val="single" w:color="auto" w:sz="4" w:space="0"/>
              <w:right w:val="single" w:color="auto" w:sz="4" w:space="0"/>
            </w:tcBorders>
            <w:vAlign w:val="center"/>
          </w:tcPr>
          <w:p>
            <w:pPr>
              <w:kinsoku w:val="0"/>
              <w:overflowPunct w:val="0"/>
              <w:autoSpaceDE w:val="0"/>
              <w:autoSpaceDN w:val="0"/>
              <w:adjustRightInd w:val="0"/>
              <w:spacing w:line="290" w:lineRule="exact"/>
              <w:ind w:left="3" w:firstLine="0" w:firstLineChars="0"/>
              <w:jc w:val="center"/>
              <w:rPr>
                <w:rFonts w:cs="Times New Roman"/>
                <w:color w:val="000000" w:themeColor="text1"/>
                <w:kern w:val="0"/>
                <w:szCs w:val="24"/>
                <w14:textFill>
                  <w14:solidFill>
                    <w14:schemeClr w14:val="tx1"/>
                  </w14:solidFill>
                </w14:textFill>
              </w:rPr>
            </w:pPr>
            <w:r>
              <w:rPr>
                <w:rFonts w:cs="Times New Roman"/>
                <w:color w:val="000000" w:themeColor="text1"/>
                <w14:textFill>
                  <w14:solidFill>
                    <w14:schemeClr w14:val="tx1"/>
                  </w14:solidFill>
                </w14:textFill>
              </w:rPr>
              <w:t>固废</w:t>
            </w:r>
          </w:p>
        </w:tc>
        <w:tc>
          <w:tcPr>
            <w:tcW w:w="863"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猪舍-疾病防疫</w:t>
            </w:r>
          </w:p>
        </w:tc>
        <w:tc>
          <w:tcPr>
            <w:tcW w:w="392" w:type="pct"/>
            <w:tcBorders>
              <w:top w:val="single" w:color="auto" w:sz="4" w:space="0"/>
              <w:left w:val="single" w:color="auto" w:sz="4" w:space="0"/>
              <w:bottom w:val="single" w:color="auto" w:sz="4" w:space="0"/>
              <w:right w:val="single" w:color="auto" w:sz="4"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医疗废物</w:t>
            </w:r>
          </w:p>
        </w:tc>
        <w:tc>
          <w:tcPr>
            <w:tcW w:w="2587" w:type="pct"/>
            <w:tcBorders>
              <w:top w:val="single" w:color="auto" w:sz="4" w:space="0"/>
              <w:left w:val="single" w:color="auto" w:sz="4" w:space="0"/>
              <w:bottom w:val="single" w:color="auto" w:sz="4"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分类收集，暂存于医疗废物间（10 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，进行“三</w:t>
            </w:r>
          </w:p>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防”措施），定期交由有资质的单位处置；</w:t>
            </w:r>
          </w:p>
        </w:tc>
        <w:tc>
          <w:tcPr>
            <w:tcW w:w="853"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《危险废物贮存污染控制标准》（GB18597-2001）</w:t>
            </w:r>
          </w:p>
        </w:tc>
      </w:tr>
      <w:tr>
        <w:tblPrEx>
          <w:tblCellMar>
            <w:top w:w="0" w:type="dxa"/>
            <w:left w:w="0" w:type="dxa"/>
            <w:bottom w:w="0" w:type="dxa"/>
            <w:right w:w="0" w:type="dxa"/>
          </w:tblCellMar>
        </w:tblPrEx>
        <w:trPr>
          <w:trHeight w:val="397" w:hRule="atLeast"/>
        </w:trPr>
        <w:tc>
          <w:tcPr>
            <w:tcW w:w="305" w:type="pct"/>
            <w:vMerge w:val="continue"/>
            <w:tcBorders>
              <w:top w:val="single" w:color="auto" w:sz="4" w:space="0"/>
              <w:left w:val="single" w:color="auto" w:sz="12" w:space="0"/>
              <w:bottom w:val="single" w:color="000000" w:sz="4" w:space="0"/>
              <w:right w:val="single" w:color="auto" w:sz="4" w:space="0"/>
            </w:tcBorders>
            <w:vAlign w:val="center"/>
          </w:tcPr>
          <w:p>
            <w:pPr>
              <w:kinsoku w:val="0"/>
              <w:overflowPunct w:val="0"/>
              <w:autoSpaceDE w:val="0"/>
              <w:autoSpaceDN w:val="0"/>
              <w:adjustRightInd w:val="0"/>
              <w:spacing w:line="290" w:lineRule="exact"/>
              <w:ind w:left="3" w:firstLine="0" w:firstLineChars="0"/>
              <w:jc w:val="center"/>
              <w:rPr>
                <w:rFonts w:cs="Times New Roman"/>
                <w:color w:val="000000" w:themeColor="text1"/>
                <w:kern w:val="0"/>
                <w:szCs w:val="24"/>
                <w14:textFill>
                  <w14:solidFill>
                    <w14:schemeClr w14:val="tx1"/>
                  </w14:solidFill>
                </w14:textFill>
              </w:rPr>
            </w:pPr>
          </w:p>
        </w:tc>
        <w:tc>
          <w:tcPr>
            <w:tcW w:w="863" w:type="pct"/>
            <w:tcBorders>
              <w:top w:val="single" w:color="auto" w:sz="4" w:space="0"/>
              <w:left w:val="single" w:color="auto" w:sz="4" w:space="0"/>
              <w:bottom w:val="single" w:color="000000" w:sz="6"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职工生活</w:t>
            </w:r>
          </w:p>
        </w:tc>
        <w:tc>
          <w:tcPr>
            <w:tcW w:w="392" w:type="pct"/>
            <w:tcBorders>
              <w:top w:val="single" w:color="auto" w:sz="4" w:space="0"/>
              <w:left w:val="single" w:color="auto" w:sz="4" w:space="0"/>
              <w:bottom w:val="single" w:color="000000" w:sz="6"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2587" w:type="pct"/>
            <w:tcBorders>
              <w:top w:val="single" w:color="auto" w:sz="4" w:space="0"/>
              <w:left w:val="single" w:color="auto" w:sz="4" w:space="0"/>
              <w:bottom w:val="single" w:color="000000" w:sz="4"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场内设置若干垃圾桶，集中收集后交由环卫部门统一处理；</w:t>
            </w:r>
          </w:p>
        </w:tc>
        <w:tc>
          <w:tcPr>
            <w:tcW w:w="853"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CellMar>
            <w:top w:w="0" w:type="dxa"/>
            <w:left w:w="0" w:type="dxa"/>
            <w:bottom w:w="0" w:type="dxa"/>
            <w:right w:w="0" w:type="dxa"/>
          </w:tblCellMar>
        </w:tblPrEx>
        <w:trPr>
          <w:trHeight w:val="397" w:hRule="atLeast"/>
        </w:trPr>
        <w:tc>
          <w:tcPr>
            <w:tcW w:w="305" w:type="pct"/>
            <w:vMerge w:val="restart"/>
            <w:tcBorders>
              <w:top w:val="single" w:color="000000" w:sz="4" w:space="0"/>
              <w:left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防渗措施</w:t>
            </w:r>
          </w:p>
        </w:tc>
        <w:tc>
          <w:tcPr>
            <w:tcW w:w="863" w:type="pct"/>
            <w:tcBorders>
              <w:top w:val="single" w:color="000000" w:sz="6"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养殖区</w:t>
            </w:r>
          </w:p>
        </w:tc>
        <w:tc>
          <w:tcPr>
            <w:tcW w:w="392" w:type="pct"/>
            <w:tcBorders>
              <w:top w:val="single" w:color="000000" w:sz="6"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2587" w:type="pct"/>
            <w:tcBorders>
              <w:top w:val="single" w:color="000000" w:sz="4" w:space="0"/>
              <w:left w:val="single" w:color="000000" w:sz="6" w:space="0"/>
              <w:bottom w:val="single" w:color="000000" w:sz="4"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养殖区猪舍底部采用混凝土防渗，减少污染物的跑、冒、滴、漏，将污染物泄漏的环境风险降到最低限度。防渗系数</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853" w:type="pct"/>
            <w:vMerge w:val="restart"/>
            <w:tcBorders>
              <w:top w:val="single" w:color="000000" w:sz="4" w:space="0"/>
              <w:left w:val="single" w:color="000000" w:sz="6" w:space="0"/>
              <w:bottom w:val="single" w:color="000000" w:sz="4" w:space="0"/>
              <w:right w:val="single" w:color="auto" w:sz="1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满足《畜禽养殖业污染防治</w:t>
            </w:r>
            <w:r>
              <w:rPr>
                <w:color w:val="000000" w:themeColor="text1"/>
                <w:spacing w:val="-7"/>
                <w14:textFill>
                  <w14:solidFill>
                    <w14:schemeClr w14:val="tx1"/>
                  </w14:solidFill>
                </w14:textFill>
              </w:rPr>
              <w:t>技术规范》（HJ/T81-2001）</w:t>
            </w:r>
            <w:r>
              <w:rPr>
                <w:color w:val="000000" w:themeColor="text1"/>
                <w14:textFill>
                  <w14:solidFill>
                    <w14:schemeClr w14:val="tx1"/>
                  </w14:solidFill>
                </w14:textFill>
              </w:rPr>
              <w:t>中畜禽粪便的贮存相关要求，应具备防渗、防风、防雨的“三防”措施</w:t>
            </w:r>
          </w:p>
        </w:tc>
      </w:tr>
      <w:tr>
        <w:tblPrEx>
          <w:tblCellMar>
            <w:top w:w="0" w:type="dxa"/>
            <w:left w:w="0" w:type="dxa"/>
            <w:bottom w:w="0" w:type="dxa"/>
            <w:right w:w="0" w:type="dxa"/>
          </w:tblCellMar>
        </w:tblPrEx>
        <w:trPr>
          <w:trHeight w:val="397" w:hRule="atLeast"/>
        </w:trPr>
        <w:tc>
          <w:tcPr>
            <w:tcW w:w="305" w:type="pct"/>
            <w:vMerge w:val="continue"/>
            <w:tcBorders>
              <w:left w:val="single" w:color="auto" w:sz="12" w:space="0"/>
              <w:right w:val="single" w:color="000000" w:sz="6" w:space="0"/>
            </w:tcBorders>
            <w:vAlign w:val="center"/>
          </w:tcPr>
          <w:p>
            <w:pPr>
              <w:pStyle w:val="332"/>
              <w:rPr>
                <w:color w:val="000000" w:themeColor="text1"/>
                <w:highlight w:val="yellow"/>
                <w14:textFill>
                  <w14:solidFill>
                    <w14:schemeClr w14:val="tx1"/>
                  </w14:solidFill>
                </w14:textFill>
              </w:rPr>
            </w:pPr>
          </w:p>
        </w:tc>
        <w:tc>
          <w:tcPr>
            <w:tcW w:w="86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黑膜</w:t>
            </w:r>
          </w:p>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沼气池</w:t>
            </w:r>
          </w:p>
        </w:tc>
        <w:tc>
          <w:tcPr>
            <w:tcW w:w="392"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sz w:val="17"/>
                <w:szCs w:val="17"/>
                <w14:textFill>
                  <w14:solidFill>
                    <w14:schemeClr w14:val="tx1"/>
                  </w14:solidFill>
                </w14:textFill>
              </w:rPr>
            </w:pPr>
          </w:p>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2587" w:type="pct"/>
            <w:tcBorders>
              <w:top w:val="single" w:color="000000" w:sz="4" w:space="0"/>
              <w:left w:val="single" w:color="000000" w:sz="6" w:space="0"/>
              <w:bottom w:val="single" w:color="000000" w:sz="4" w:space="0"/>
              <w:right w:val="single" w:color="000000" w:sz="6" w:space="0"/>
            </w:tcBorders>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池内采用土膜夯实+HDPE防渗膜，防渗系数K≤1×10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853" w:type="pct"/>
            <w:vMerge w:val="continue"/>
            <w:tcBorders>
              <w:top w:val="single" w:color="000000" w:sz="4" w:space="0"/>
              <w:left w:val="single" w:color="000000" w:sz="6" w:space="0"/>
              <w:bottom w:val="single" w:color="000000" w:sz="4" w:space="0"/>
              <w:right w:val="single" w:color="auto" w:sz="12" w:space="0"/>
            </w:tcBorders>
            <w:vAlign w:val="center"/>
          </w:tcPr>
          <w:p>
            <w:pPr>
              <w:kinsoku w:val="0"/>
              <w:overflowPunct w:val="0"/>
              <w:autoSpaceDE w:val="0"/>
              <w:autoSpaceDN w:val="0"/>
              <w:adjustRightInd w:val="0"/>
              <w:spacing w:line="268" w:lineRule="auto"/>
              <w:ind w:left="100" w:right="91" w:firstLine="0" w:firstLineChars="0"/>
              <w:jc w:val="center"/>
              <w:rPr>
                <w:rFonts w:cs="Times New Roman"/>
                <w:color w:val="000000" w:themeColor="text1"/>
                <w:kern w:val="0"/>
                <w:szCs w:val="24"/>
                <w:highlight w:val="yellow"/>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5" w:type="pct"/>
            <w:vMerge w:val="continue"/>
            <w:tcBorders>
              <w:left w:val="single" w:color="auto" w:sz="12" w:space="0"/>
              <w:right w:val="single" w:color="000000" w:sz="6" w:space="0"/>
            </w:tcBorders>
            <w:vAlign w:val="center"/>
          </w:tcPr>
          <w:p>
            <w:pPr>
              <w:pStyle w:val="332"/>
              <w:rPr>
                <w:color w:val="000000" w:themeColor="text1"/>
                <w:highlight w:val="yellow"/>
                <w14:textFill>
                  <w14:solidFill>
                    <w14:schemeClr w14:val="tx1"/>
                  </w14:solidFill>
                </w14:textFill>
              </w:rPr>
            </w:pPr>
          </w:p>
        </w:tc>
        <w:tc>
          <w:tcPr>
            <w:tcW w:w="86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沼液</w:t>
            </w:r>
          </w:p>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储存池</w:t>
            </w:r>
          </w:p>
        </w:tc>
        <w:tc>
          <w:tcPr>
            <w:tcW w:w="392"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2587" w:type="pct"/>
            <w:tcBorders>
              <w:top w:val="single" w:color="000000" w:sz="4" w:space="0"/>
              <w:left w:val="single" w:color="000000" w:sz="6" w:space="0"/>
              <w:bottom w:val="single" w:color="000000" w:sz="4" w:space="0"/>
              <w:right w:val="single" w:color="000000" w:sz="6" w:space="0"/>
            </w:tcBorders>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池内采用土膜夯实+HDPE防渗膜，防渗系数K≤1×10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cm/s；沼液输送管网为PVC-U管</w:t>
            </w:r>
          </w:p>
        </w:tc>
        <w:tc>
          <w:tcPr>
            <w:tcW w:w="853" w:type="pct"/>
            <w:vMerge w:val="continue"/>
            <w:tcBorders>
              <w:top w:val="single" w:color="000000" w:sz="4" w:space="0"/>
              <w:left w:val="single" w:color="000000" w:sz="6" w:space="0"/>
              <w:bottom w:val="single" w:color="000000" w:sz="4" w:space="0"/>
              <w:right w:val="single" w:color="auto" w:sz="12" w:space="0"/>
            </w:tcBorders>
            <w:vAlign w:val="center"/>
          </w:tcPr>
          <w:p>
            <w:pPr>
              <w:kinsoku w:val="0"/>
              <w:overflowPunct w:val="0"/>
              <w:autoSpaceDE w:val="0"/>
              <w:autoSpaceDN w:val="0"/>
              <w:adjustRightInd w:val="0"/>
              <w:spacing w:before="31" w:line="240" w:lineRule="auto"/>
              <w:ind w:left="100" w:firstLine="0" w:firstLineChars="0"/>
              <w:jc w:val="center"/>
              <w:rPr>
                <w:rFonts w:cs="Times New Roman"/>
                <w:color w:val="000000" w:themeColor="text1"/>
                <w:kern w:val="0"/>
                <w:szCs w:val="24"/>
                <w:highlight w:val="yellow"/>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5" w:type="pct"/>
            <w:vMerge w:val="continue"/>
            <w:tcBorders>
              <w:left w:val="single" w:color="auto" w:sz="12" w:space="0"/>
              <w:right w:val="single" w:color="000000" w:sz="6" w:space="0"/>
            </w:tcBorders>
            <w:vAlign w:val="center"/>
          </w:tcPr>
          <w:p>
            <w:pPr>
              <w:pStyle w:val="332"/>
              <w:rPr>
                <w:color w:val="000000" w:themeColor="text1"/>
                <w:highlight w:val="yellow"/>
                <w14:textFill>
                  <w14:solidFill>
                    <w14:schemeClr w14:val="tx1"/>
                  </w14:solidFill>
                </w14:textFill>
              </w:rPr>
            </w:pPr>
          </w:p>
        </w:tc>
        <w:tc>
          <w:tcPr>
            <w:tcW w:w="86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无害化处理车间</w:t>
            </w:r>
          </w:p>
        </w:tc>
        <w:tc>
          <w:tcPr>
            <w:tcW w:w="392"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2587" w:type="pct"/>
            <w:tcBorders>
              <w:top w:val="single" w:color="000000" w:sz="4" w:space="0"/>
              <w:left w:val="single" w:color="000000" w:sz="6" w:space="0"/>
              <w:bottom w:val="single" w:color="000000" w:sz="4" w:space="0"/>
              <w:right w:val="single" w:color="000000" w:sz="6" w:space="0"/>
            </w:tcBorders>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防渗层为至少1m厚粘土层（渗透系数≤1×10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cm/s），或2 mm厚高密度聚乙烯，或至少2 mm厚的其它人工材料，渗透系数≤1×10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853" w:type="pct"/>
            <w:vMerge w:val="continue"/>
            <w:tcBorders>
              <w:top w:val="single" w:color="000000" w:sz="4" w:space="0"/>
              <w:left w:val="single" w:color="000000" w:sz="6" w:space="0"/>
              <w:bottom w:val="single" w:color="000000" w:sz="4" w:space="0"/>
              <w:right w:val="single" w:color="auto" w:sz="12" w:space="0"/>
            </w:tcBorders>
            <w:vAlign w:val="center"/>
          </w:tcPr>
          <w:p>
            <w:pPr>
              <w:kinsoku w:val="0"/>
              <w:overflowPunct w:val="0"/>
              <w:autoSpaceDE w:val="0"/>
              <w:autoSpaceDN w:val="0"/>
              <w:adjustRightInd w:val="0"/>
              <w:spacing w:before="30" w:line="240" w:lineRule="auto"/>
              <w:ind w:left="100" w:firstLine="0" w:firstLineChars="0"/>
              <w:jc w:val="center"/>
              <w:rPr>
                <w:rFonts w:cs="Times New Roman"/>
                <w:color w:val="000000" w:themeColor="text1"/>
                <w:kern w:val="0"/>
                <w:szCs w:val="24"/>
                <w:highlight w:val="yellow"/>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5" w:type="pct"/>
            <w:vMerge w:val="continue"/>
            <w:tcBorders>
              <w:left w:val="single" w:color="auto" w:sz="12" w:space="0"/>
              <w:right w:val="single" w:color="000000" w:sz="6" w:space="0"/>
            </w:tcBorders>
            <w:vAlign w:val="center"/>
          </w:tcPr>
          <w:p>
            <w:pPr>
              <w:pStyle w:val="332"/>
              <w:rPr>
                <w:color w:val="000000" w:themeColor="text1"/>
                <w:highlight w:val="yellow"/>
                <w14:textFill>
                  <w14:solidFill>
                    <w14:schemeClr w14:val="tx1"/>
                  </w14:solidFill>
                </w14:textFill>
              </w:rPr>
            </w:pPr>
          </w:p>
        </w:tc>
        <w:tc>
          <w:tcPr>
            <w:tcW w:w="86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固粪</w:t>
            </w:r>
          </w:p>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处理区</w:t>
            </w:r>
          </w:p>
        </w:tc>
        <w:tc>
          <w:tcPr>
            <w:tcW w:w="392"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sz w:val="17"/>
                <w:szCs w:val="17"/>
                <w14:textFill>
                  <w14:solidFill>
                    <w14:schemeClr w14:val="tx1"/>
                  </w14:solidFill>
                </w14:textFill>
              </w:rPr>
            </w:pPr>
          </w:p>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2587" w:type="pct"/>
            <w:tcBorders>
              <w:top w:val="single" w:color="000000" w:sz="4" w:space="0"/>
              <w:left w:val="single" w:color="000000" w:sz="6" w:space="0"/>
              <w:bottom w:val="single" w:color="000000" w:sz="4" w:space="0"/>
              <w:right w:val="single" w:color="000000" w:sz="6" w:space="0"/>
            </w:tcBorders>
            <w:vAlign w:val="center"/>
          </w:tcPr>
          <w:p>
            <w:pPr>
              <w:pStyle w:val="332"/>
              <w:jc w:val="both"/>
              <w:rPr>
                <w:color w:val="000000" w:themeColor="text1"/>
                <w:highlight w:val="yellow"/>
                <w14:textFill>
                  <w14:solidFill>
                    <w14:schemeClr w14:val="tx1"/>
                  </w14:solidFill>
                </w14:textFill>
              </w:rPr>
            </w:pPr>
            <w:r>
              <w:rPr>
                <w:color w:val="000000" w:themeColor="text1"/>
                <w14:textFill>
                  <w14:solidFill>
                    <w14:schemeClr w14:val="tx1"/>
                  </w14:solidFill>
                </w14:textFill>
              </w:rPr>
              <w:t>采用素土夯实+混凝土防渗，具备“三防”措施。防渗系数</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K≤1×10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853" w:type="pct"/>
            <w:vMerge w:val="continue"/>
            <w:tcBorders>
              <w:top w:val="single" w:color="000000" w:sz="4" w:space="0"/>
              <w:left w:val="single" w:color="000000" w:sz="6" w:space="0"/>
              <w:bottom w:val="single" w:color="000000" w:sz="4" w:space="0"/>
              <w:right w:val="single" w:color="auto" w:sz="12" w:space="0"/>
            </w:tcBorders>
            <w:vAlign w:val="center"/>
          </w:tcPr>
          <w:p>
            <w:pPr>
              <w:kinsoku w:val="0"/>
              <w:overflowPunct w:val="0"/>
              <w:autoSpaceDE w:val="0"/>
              <w:autoSpaceDN w:val="0"/>
              <w:adjustRightInd w:val="0"/>
              <w:spacing w:line="268" w:lineRule="auto"/>
              <w:ind w:left="100" w:right="91" w:firstLine="0" w:firstLineChars="0"/>
              <w:jc w:val="center"/>
              <w:rPr>
                <w:rFonts w:cs="Times New Roman"/>
                <w:color w:val="000000" w:themeColor="text1"/>
                <w:kern w:val="0"/>
                <w:szCs w:val="24"/>
                <w:highlight w:val="yellow"/>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5" w:type="pct"/>
            <w:vMerge w:val="continue"/>
            <w:tcBorders>
              <w:left w:val="single" w:color="auto" w:sz="12" w:space="0"/>
              <w:right w:val="single" w:color="000000" w:sz="6" w:space="0"/>
            </w:tcBorders>
            <w:vAlign w:val="center"/>
          </w:tcPr>
          <w:p>
            <w:pPr>
              <w:pStyle w:val="332"/>
              <w:rPr>
                <w:color w:val="000000" w:themeColor="text1"/>
                <w:highlight w:val="yellow"/>
                <w14:textFill>
                  <w14:solidFill>
                    <w14:schemeClr w14:val="tx1"/>
                  </w14:solidFill>
                </w14:textFill>
              </w:rPr>
            </w:pPr>
          </w:p>
        </w:tc>
        <w:tc>
          <w:tcPr>
            <w:tcW w:w="86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highlight w:val="yellow"/>
                <w14:textFill>
                  <w14:solidFill>
                    <w14:schemeClr w14:val="tx1"/>
                  </w14:solidFill>
                </w14:textFill>
              </w:rPr>
            </w:pPr>
            <w:r>
              <w:rPr>
                <w:color w:val="000000" w:themeColor="text1"/>
                <w14:textFill>
                  <w14:solidFill>
                    <w14:schemeClr w14:val="tx1"/>
                  </w14:solidFill>
                </w14:textFill>
              </w:rPr>
              <w:t>排污沟</w:t>
            </w:r>
          </w:p>
        </w:tc>
        <w:tc>
          <w:tcPr>
            <w:tcW w:w="392"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sz w:val="17"/>
                <w:szCs w:val="17"/>
                <w14:textFill>
                  <w14:solidFill>
                    <w14:schemeClr w14:val="tx1"/>
                  </w14:solidFill>
                </w14:textFill>
              </w:rPr>
            </w:pPr>
          </w:p>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2587" w:type="pct"/>
            <w:tcBorders>
              <w:top w:val="single" w:color="000000" w:sz="4" w:space="0"/>
              <w:left w:val="single" w:color="000000" w:sz="6" w:space="0"/>
              <w:bottom w:val="single" w:color="000000" w:sz="4"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采取暗沟形式，具备防止淤集以利于定期清理的条件， 排污沟混凝土结构，渗透系数1.0×10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 xml:space="preserve"> cm/s</w:t>
            </w:r>
          </w:p>
        </w:tc>
        <w:tc>
          <w:tcPr>
            <w:tcW w:w="853" w:type="pct"/>
            <w:vMerge w:val="continue"/>
            <w:tcBorders>
              <w:top w:val="single" w:color="000000" w:sz="4" w:space="0"/>
              <w:left w:val="single" w:color="000000" w:sz="6" w:space="0"/>
              <w:bottom w:val="single" w:color="000000" w:sz="4" w:space="0"/>
              <w:right w:val="single" w:color="auto" w:sz="12" w:space="0"/>
            </w:tcBorders>
            <w:vAlign w:val="center"/>
          </w:tcPr>
          <w:p>
            <w:pPr>
              <w:kinsoku w:val="0"/>
              <w:overflowPunct w:val="0"/>
              <w:autoSpaceDE w:val="0"/>
              <w:autoSpaceDN w:val="0"/>
              <w:adjustRightInd w:val="0"/>
              <w:spacing w:line="268" w:lineRule="auto"/>
              <w:ind w:left="100" w:right="91" w:firstLine="0" w:firstLineChars="0"/>
              <w:jc w:val="center"/>
              <w:rPr>
                <w:rFonts w:cs="Times New Roman"/>
                <w:color w:val="000000" w:themeColor="text1"/>
                <w:kern w:val="0"/>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305" w:type="pct"/>
            <w:vMerge w:val="continue"/>
            <w:tcBorders>
              <w:left w:val="single" w:color="auto" w:sz="12" w:space="0"/>
              <w:bottom w:val="single" w:color="auto" w:sz="12" w:space="0"/>
              <w:right w:val="single" w:color="000000" w:sz="6" w:space="0"/>
            </w:tcBorders>
            <w:vAlign w:val="center"/>
          </w:tcPr>
          <w:p>
            <w:pPr>
              <w:pStyle w:val="332"/>
              <w:rPr>
                <w:color w:val="000000" w:themeColor="text1"/>
                <w:highlight w:val="yellow"/>
                <w14:textFill>
                  <w14:solidFill>
                    <w14:schemeClr w14:val="tx1"/>
                  </w14:solidFill>
                </w14:textFill>
              </w:rPr>
            </w:pPr>
          </w:p>
        </w:tc>
        <w:tc>
          <w:tcPr>
            <w:tcW w:w="863" w:type="pct"/>
            <w:tcBorders>
              <w:top w:val="single" w:color="000000" w:sz="4"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医疗废物暂存间</w:t>
            </w:r>
          </w:p>
        </w:tc>
        <w:tc>
          <w:tcPr>
            <w:tcW w:w="392" w:type="pct"/>
            <w:tcBorders>
              <w:top w:val="single" w:color="000000" w:sz="4" w:space="0"/>
              <w:left w:val="single" w:color="000000" w:sz="6" w:space="0"/>
              <w:bottom w:val="single" w:color="auto" w:sz="12" w:space="0"/>
              <w:right w:val="single" w:color="000000" w:sz="6" w:space="0"/>
            </w:tcBorders>
            <w:vAlign w:val="center"/>
          </w:tcPr>
          <w:p>
            <w:pPr>
              <w:pStyle w:val="332"/>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w:t>
            </w:r>
          </w:p>
        </w:tc>
        <w:tc>
          <w:tcPr>
            <w:tcW w:w="2587" w:type="pct"/>
            <w:tcBorders>
              <w:top w:val="single" w:color="000000" w:sz="4" w:space="0"/>
              <w:left w:val="single" w:color="000000" w:sz="6" w:space="0"/>
              <w:bottom w:val="single" w:color="auto" w:sz="12"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基础必须防渗，防渗层为至少</w:t>
            </w:r>
            <w:r>
              <w:rPr>
                <w:color w:val="000000" w:themeColor="text1"/>
                <w:spacing w:val="-59"/>
                <w14:textFill>
                  <w14:solidFill>
                    <w14:schemeClr w14:val="tx1"/>
                  </w14:solidFill>
                </w14:textFill>
              </w:rPr>
              <w:t xml:space="preserve"> </w:t>
            </w:r>
            <w:r>
              <w:rPr>
                <w:color w:val="000000" w:themeColor="text1"/>
                <w14:textFill>
                  <w14:solidFill>
                    <w14:schemeClr w14:val="tx1"/>
                  </w14:solidFill>
                </w14:textFill>
              </w:rPr>
              <w:t>1 m厚粘土层（渗透系数≤10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cm/s），或</w:t>
            </w:r>
            <w:r>
              <w:rPr>
                <w:color w:val="000000" w:themeColor="text1"/>
                <w:spacing w:val="-56"/>
                <w14:textFill>
                  <w14:solidFill>
                    <w14:schemeClr w14:val="tx1"/>
                  </w14:solidFill>
                </w14:textFill>
              </w:rPr>
              <w:t xml:space="preserve"> </w:t>
            </w:r>
            <w:r>
              <w:rPr>
                <w:color w:val="000000" w:themeColor="text1"/>
                <w14:textFill>
                  <w14:solidFill>
                    <w14:schemeClr w14:val="tx1"/>
                  </w14:solidFill>
                </w14:textFill>
              </w:rPr>
              <w:t>2</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mm厚高密度聚乙烯，或至少</w:t>
            </w:r>
            <w:r>
              <w:rPr>
                <w:color w:val="000000" w:themeColor="text1"/>
                <w:spacing w:val="-56"/>
                <w14:textFill>
                  <w14:solidFill>
                    <w14:schemeClr w14:val="tx1"/>
                  </w14:solidFill>
                </w14:textFill>
              </w:rPr>
              <w:t xml:space="preserve"> </w:t>
            </w:r>
            <w:r>
              <w:rPr>
                <w:color w:val="000000" w:themeColor="text1"/>
                <w14:textFill>
                  <w14:solidFill>
                    <w14:schemeClr w14:val="tx1"/>
                  </w14:solidFill>
                </w14:textFill>
              </w:rPr>
              <w:t>2</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mm厚的其它人工材料，渗透系数≤10</w:t>
            </w:r>
            <w:r>
              <w:rPr>
                <w:color w:val="000000" w:themeColor="text1"/>
                <w:position w:val="7"/>
                <w:sz w:val="13"/>
                <w:szCs w:val="13"/>
                <w14:textFill>
                  <w14:solidFill>
                    <w14:schemeClr w14:val="tx1"/>
                  </w14:solidFill>
                </w14:textFill>
              </w:rPr>
              <w:t>-7</w:t>
            </w:r>
            <w:r>
              <w:rPr>
                <w:color w:val="000000" w:themeColor="text1"/>
                <w14:textFill>
                  <w14:solidFill>
                    <w14:schemeClr w14:val="tx1"/>
                  </w14:solidFill>
                </w14:textFill>
              </w:rPr>
              <w:t>cm/s。</w:t>
            </w:r>
          </w:p>
        </w:tc>
        <w:tc>
          <w:tcPr>
            <w:tcW w:w="853" w:type="pct"/>
            <w:tcBorders>
              <w:top w:val="single" w:color="000000" w:sz="4" w:space="0"/>
              <w:left w:val="single" w:color="000000" w:sz="6"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《危险废物贮存污染控制标准》（GB18597-2001）及2013修改单</w:t>
            </w:r>
          </w:p>
        </w:tc>
      </w:tr>
    </w:tbl>
    <w:p>
      <w:pPr>
        <w:pStyle w:val="333"/>
        <w:spacing w:before="120"/>
        <w:rPr>
          <w:rFonts w:cs="Times New Roman"/>
          <w:color w:val="000000" w:themeColor="text1"/>
          <w14:textFill>
            <w14:solidFill>
              <w14:schemeClr w14:val="tx1"/>
            </w14:solidFill>
          </w14:textFill>
        </w:rPr>
      </w:pPr>
    </w:p>
    <w:p>
      <w:pPr>
        <w:ind w:firstLine="0" w:firstLineChars="0"/>
        <w:rPr>
          <w:rFonts w:cs="Times New Roman"/>
          <w:color w:val="000000" w:themeColor="text1"/>
          <w14:textFill>
            <w14:solidFill>
              <w14:schemeClr w14:val="tx1"/>
            </w14:solidFill>
          </w14:textFill>
        </w:rPr>
        <w:sectPr>
          <w:pgSz w:w="11907" w:h="16840"/>
          <w:pgMar w:top="1531" w:right="1418" w:bottom="1531" w:left="1418" w:header="851" w:footer="992" w:gutter="0"/>
          <w:pgNumType w:fmt="numberInDash"/>
          <w:cols w:space="720" w:num="1"/>
          <w:docGrid w:linePitch="312" w:charSpace="0"/>
        </w:sectPr>
      </w:pPr>
    </w:p>
    <w:p>
      <w:pPr>
        <w:pStyle w:val="2"/>
        <w:spacing w:before="240" w:after="120"/>
        <w:rPr>
          <w:rFonts w:cs="Times New Roman"/>
          <w:color w:val="000000" w:themeColor="text1"/>
          <w14:textFill>
            <w14:solidFill>
              <w14:schemeClr w14:val="tx1"/>
            </w14:solidFill>
          </w14:textFill>
        </w:rPr>
      </w:pPr>
      <w:bookmarkStart w:id="672" w:name="_Toc91163978"/>
      <w:bookmarkStart w:id="673" w:name="_Toc58362872"/>
      <w:bookmarkStart w:id="674" w:name="_Toc52791962"/>
      <w:bookmarkStart w:id="675" w:name="_Toc47619908"/>
      <w:bookmarkStart w:id="676" w:name="_Toc47620094"/>
      <w:bookmarkStart w:id="677" w:name="_Toc47619483"/>
      <w:bookmarkStart w:id="678" w:name="_Toc47619377"/>
      <w:bookmarkStart w:id="679" w:name="_Toc47619246"/>
      <w:r>
        <w:rPr>
          <w:rFonts w:cs="Times New Roman"/>
          <w:color w:val="000000" w:themeColor="text1"/>
          <w14:textFill>
            <w14:solidFill>
              <w14:schemeClr w14:val="tx1"/>
            </w14:solidFill>
          </w14:textFill>
        </w:rPr>
        <w:t>第七章 环保投资估算与环境影响经济损益分析</w:t>
      </w:r>
      <w:bookmarkEnd w:id="672"/>
      <w:bookmarkEnd w:id="673"/>
      <w:bookmarkEnd w:id="674"/>
      <w:bookmarkEnd w:id="675"/>
      <w:bookmarkEnd w:id="676"/>
      <w:bookmarkEnd w:id="677"/>
      <w:bookmarkEnd w:id="678"/>
      <w:bookmarkEnd w:id="679"/>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影响经济损益分析是建设项目环境影响评价的一个重要组成部分，它是综合评价判断建设项目的环保投资是否能够补偿或多大程度上补偿了由此可能造成的环境损失的重要依据，其主要任务是分析建设项目拟投入或投入的环保投资，所能收到的环境保护效果。因此，环境经济损益分析除了需计算用于治理控制污染所需的投资和费用外，还要同时核算项目建设可能收到的经济效益、环境效益和社会效益。</w:t>
      </w:r>
    </w:p>
    <w:p>
      <w:pPr>
        <w:pStyle w:val="3"/>
        <w:spacing w:before="120" w:after="120"/>
        <w:rPr>
          <w:rFonts w:cs="Times New Roman"/>
          <w:color w:val="000000" w:themeColor="text1"/>
          <w14:textFill>
            <w14:solidFill>
              <w14:schemeClr w14:val="tx1"/>
            </w14:solidFill>
          </w14:textFill>
        </w:rPr>
      </w:pPr>
      <w:bookmarkStart w:id="680" w:name="_Toc91163979"/>
      <w:bookmarkStart w:id="681" w:name="_Toc47619909"/>
      <w:bookmarkStart w:id="682" w:name="_Toc58362873"/>
      <w:bookmarkStart w:id="683" w:name="_Toc52791963"/>
      <w:bookmarkStart w:id="684" w:name="_Toc47620095"/>
      <w:bookmarkStart w:id="685" w:name="_Toc47619247"/>
      <w:bookmarkStart w:id="686" w:name="_Toc47619378"/>
      <w:bookmarkStart w:id="687" w:name="_Toc47619484"/>
      <w:r>
        <w:rPr>
          <w:rFonts w:cs="Times New Roman"/>
          <w:color w:val="000000" w:themeColor="text1"/>
          <w14:textFill>
            <w14:solidFill>
              <w14:schemeClr w14:val="tx1"/>
            </w14:solidFill>
          </w14:textFill>
        </w:rPr>
        <w:t>7.1  社会效益</w:t>
      </w:r>
      <w:bookmarkEnd w:id="680"/>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本项目的社会效益主要表现在以下几个方面：</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该项目的实施促进了养殖场的良性发展，增加了建设单位的市场竞争力。本项目养殖场的废物得到资源化的利用，促进了项目单位循环经济和生态经济的良性发展。项目对污染物进行了治理，实现了清洁养殖，为种猪的良性繁育创造了较好卫生环境，增强了市场竞争力。</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（2）项目的清洁生产措施，很大程度上节约了资源和能源，起到了“节能、降耗、减污、增效”的作用，符合国家产业政策和环保治理要求。</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（3）该项目未来的标准化、规模化建设将形成农村能源产业，由此所需的技术、管理队伍可就地吸纳农村剩余劳动力，有利于维护农村社会稳定，对提高人民生活水平起到积极作用。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（4）项目的建设可拉动周边畜禽养殖业、肉制品加工业、饲料加工业等行业的快速发展，有利于促进周围农村产业结构调整。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（5）项目投产后，可增加当地财政收入，提高当地社会经济发展水平，对区域社会稳定发挥了较强作用。</w:t>
      </w:r>
    </w:p>
    <w:p>
      <w:pPr>
        <w:pStyle w:val="3"/>
        <w:spacing w:before="120" w:after="120"/>
        <w:rPr>
          <w:rFonts w:cs="Times New Roman"/>
          <w:color w:val="000000" w:themeColor="text1"/>
          <w14:textFill>
            <w14:solidFill>
              <w14:schemeClr w14:val="tx1"/>
            </w14:solidFill>
          </w14:textFill>
        </w:rPr>
      </w:pPr>
      <w:bookmarkStart w:id="688" w:name="_Toc91163980"/>
      <w:r>
        <w:rPr>
          <w:rFonts w:cs="Times New Roman"/>
          <w:color w:val="000000" w:themeColor="text1"/>
          <w14:textFill>
            <w14:solidFill>
              <w14:schemeClr w14:val="tx1"/>
            </w14:solidFill>
          </w14:textFill>
        </w:rPr>
        <w:t>7.2  经济效益</w:t>
      </w:r>
      <w:bookmarkEnd w:id="688"/>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建设项目总投资为2400.28万人民币，包括设备购置费用、场区主体及辅助工程建造、环保投资费用。</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根据项目建设规模，估算项目建成后年收入为4125.00万元，利润1271.78万元，投资利润率为42.5%，投资利润率高，具有较强的盈利能力，从扩繁场的经济效益分析，该项目可行。</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此外，本工程的建设具有产业链效益，能够带动一方经济的快速发展，并能促进饲料加工、种植业、养殖业等相关行业的发展。</w:t>
      </w:r>
    </w:p>
    <w:p>
      <w:pPr>
        <w:pStyle w:val="3"/>
        <w:spacing w:before="120" w:after="120"/>
        <w:rPr>
          <w:rFonts w:cs="Times New Roman"/>
          <w:color w:val="000000" w:themeColor="text1"/>
          <w14:textFill>
            <w14:solidFill>
              <w14:schemeClr w14:val="tx1"/>
            </w14:solidFill>
          </w14:textFill>
        </w:rPr>
      </w:pPr>
      <w:bookmarkStart w:id="689" w:name="_Toc91163981"/>
      <w:r>
        <w:rPr>
          <w:rFonts w:cs="Times New Roman"/>
          <w:color w:val="000000" w:themeColor="text1"/>
          <w14:textFill>
            <w14:solidFill>
              <w14:schemeClr w14:val="tx1"/>
            </w14:solidFill>
          </w14:textFill>
        </w:rPr>
        <w:t>7.3  生态效益</w:t>
      </w:r>
      <w:bookmarkEnd w:id="689"/>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项目建设完成后，将建成以养殖业为主体，沼液为纽带，促进物质能量良性循环的生态养殖场，明显改善区域内农业生态环境，有利农业可持续发展。</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养殖粪便、沼渣用于生产有机肥，沼液用于农田灌溉有机肥水综合利用，不仅可以减少污染物排放，而且实现资源、能源循环利用；此外，现代农田由于长期大量使用化肥，不仅导致土壤板结，土壤肥力下降，而且对环境和农作物产生污染。项目投产后，提供的优质有机肥料，可减少化肥、农药用量，改善土壤理化性状。同时利用沼液节约水资源的利用，沼液本身具有防治病虫害的作用，能提高作物品质，有利于农作物增产、增收，促进农作物增产、增收，有利生产无公害农产品，保障食品安全。因此，本项目生态效益显著。</w:t>
      </w:r>
    </w:p>
    <w:p>
      <w:pPr>
        <w:pStyle w:val="3"/>
        <w:spacing w:before="120" w:after="120"/>
        <w:rPr>
          <w:rFonts w:cs="Times New Roman"/>
          <w:color w:val="000000" w:themeColor="text1"/>
          <w14:textFill>
            <w14:solidFill>
              <w14:schemeClr w14:val="tx1"/>
            </w14:solidFill>
          </w14:textFill>
        </w:rPr>
      </w:pPr>
      <w:bookmarkStart w:id="690" w:name="_Toc91163982"/>
      <w:r>
        <w:rPr>
          <w:rFonts w:cs="Times New Roman"/>
          <w:color w:val="000000" w:themeColor="text1"/>
          <w14:textFill>
            <w14:solidFill>
              <w14:schemeClr w14:val="tx1"/>
            </w14:solidFill>
          </w14:textFill>
        </w:rPr>
        <w:t>7.4  环境影响经济损益影响分析</w:t>
      </w:r>
      <w:bookmarkEnd w:id="690"/>
    </w:p>
    <w:p>
      <w:pPr>
        <w:pStyle w:val="4"/>
        <w:rPr>
          <w:rFonts w:cs="Times New Roman"/>
          <w:color w:val="000000" w:themeColor="text1"/>
          <w14:textFill>
            <w14:solidFill>
              <w14:schemeClr w14:val="tx1"/>
            </w14:solidFill>
          </w14:textFill>
        </w:rPr>
      </w:pPr>
      <w:bookmarkStart w:id="691" w:name="_Toc91163983"/>
      <w:r>
        <w:rPr>
          <w:rFonts w:cs="Times New Roman"/>
          <w:color w:val="000000" w:themeColor="text1"/>
          <w14:textFill>
            <w14:solidFill>
              <w14:schemeClr w14:val="tx1"/>
            </w14:solidFill>
          </w14:textFill>
        </w:rPr>
        <w:t>7.4.1 环保费用</w:t>
      </w:r>
      <w:bookmarkEnd w:id="691"/>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环保费用包括环保设施投资和运行费用投资。</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1、环保设施建设投资C</w:t>
      </w:r>
      <w:r>
        <w:rPr>
          <w:rFonts w:cs="Times New Roman"/>
          <w:color w:val="000000" w:themeColor="text1"/>
          <w:vertAlign w:val="subscript"/>
          <w14:textFill>
            <w14:solidFill>
              <w14:schemeClr w14:val="tx1"/>
            </w14:solidFill>
          </w14:textFill>
        </w:rPr>
        <w:t>0</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为控制和减轻对周围环境的污染，本项目环保投资主要包括废气治理、噪声治理、固废物治理、监测及绿化等，本项目环保投资约489万元，项目总投资2400.28万元，约占投资总额的20.37%，环保设施投资汇总表见表7.4-1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表7.4-1 环保投资汇总表</w:t>
      </w:r>
    </w:p>
    <w:p>
      <w:pPr>
        <w:kinsoku w:val="0"/>
        <w:overflowPunct w:val="0"/>
        <w:autoSpaceDE w:val="0"/>
        <w:autoSpaceDN w:val="0"/>
        <w:adjustRightInd w:val="0"/>
        <w:spacing w:before="6" w:line="240" w:lineRule="auto"/>
        <w:ind w:firstLine="0" w:firstLineChars="0"/>
        <w:jc w:val="left"/>
        <w:rPr>
          <w:rFonts w:cs="Times New Roman"/>
          <w:color w:val="000000" w:themeColor="text1"/>
          <w:kern w:val="0"/>
          <w:sz w:val="5"/>
          <w:szCs w:val="5"/>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699"/>
        <w:gridCol w:w="1855"/>
        <w:gridCol w:w="5313"/>
        <w:gridCol w:w="123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384"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w:t>
            </w:r>
          </w:p>
          <w:p>
            <w:pPr>
              <w:pStyle w:val="332"/>
              <w:rPr>
                <w:color w:val="000000" w:themeColor="text1"/>
                <w14:textFill>
                  <w14:solidFill>
                    <w14:schemeClr w14:val="tx1"/>
                  </w14:solidFill>
                </w14:textFill>
              </w:rPr>
            </w:pPr>
            <w:r>
              <w:rPr>
                <w:color w:val="000000" w:themeColor="text1"/>
                <w14:textFill>
                  <w14:solidFill>
                    <w14:schemeClr w14:val="tx1"/>
                  </w14:solidFill>
                </w14:textFill>
              </w:rPr>
              <w:t>类型</w:t>
            </w:r>
          </w:p>
        </w:tc>
        <w:tc>
          <w:tcPr>
            <w:tcW w:w="101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治理对象</w:t>
            </w:r>
          </w:p>
        </w:tc>
        <w:tc>
          <w:tcPr>
            <w:tcW w:w="2919"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环保设施</w:t>
            </w:r>
          </w:p>
        </w:tc>
        <w:tc>
          <w:tcPr>
            <w:tcW w:w="67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投资估算</w:t>
            </w:r>
          </w:p>
          <w:p>
            <w:pPr>
              <w:pStyle w:val="332"/>
              <w:rPr>
                <w:color w:val="000000" w:themeColor="text1"/>
                <w14:textFill>
                  <w14:solidFill>
                    <w14:schemeClr w14:val="tx1"/>
                  </w14:solidFill>
                </w14:textFill>
              </w:rPr>
            </w:pPr>
            <w:r>
              <w:rPr>
                <w:color w:val="000000" w:themeColor="text1"/>
                <w14:textFill>
                  <w14:solidFill>
                    <w14:schemeClr w14:val="tx1"/>
                  </w14:solidFill>
                </w14:textFill>
              </w:rPr>
              <w:t>（万元）</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4"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10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猪舍恶臭</w:t>
            </w:r>
          </w:p>
        </w:tc>
        <w:tc>
          <w:tcPr>
            <w:tcW w:w="2919"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饲料添加EM，加强通风，每栋猪舍出风口处设置过滤吸附除臭装置，喷淋含除臭剂的水对臭气进行吸附处理；控制饲养密度、全漏缝地板并及时清粪，喷洒除臭剂等</w:t>
            </w:r>
          </w:p>
        </w:tc>
        <w:tc>
          <w:tcPr>
            <w:tcW w:w="67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4" w:type="pct"/>
            <w:vMerge w:val="continue"/>
            <w:vAlign w:val="center"/>
          </w:tcPr>
          <w:p>
            <w:pPr>
              <w:pStyle w:val="332"/>
              <w:rPr>
                <w:color w:val="000000" w:themeColor="text1"/>
                <w14:textFill>
                  <w14:solidFill>
                    <w14:schemeClr w14:val="tx1"/>
                  </w14:solidFill>
                </w14:textFill>
              </w:rPr>
            </w:pPr>
          </w:p>
        </w:tc>
        <w:tc>
          <w:tcPr>
            <w:tcW w:w="10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无害化处理设备</w:t>
            </w:r>
          </w:p>
        </w:tc>
        <w:tc>
          <w:tcPr>
            <w:tcW w:w="2919"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废气冷凝收集后经自带喷淋除臭装置处理</w:t>
            </w:r>
          </w:p>
        </w:tc>
        <w:tc>
          <w:tcPr>
            <w:tcW w:w="67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4" w:type="pct"/>
            <w:vMerge w:val="continue"/>
            <w:vAlign w:val="center"/>
          </w:tcPr>
          <w:p>
            <w:pPr>
              <w:pStyle w:val="332"/>
              <w:rPr>
                <w:color w:val="000000" w:themeColor="text1"/>
                <w14:textFill>
                  <w14:solidFill>
                    <w14:schemeClr w14:val="tx1"/>
                  </w14:solidFill>
                </w14:textFill>
              </w:rPr>
            </w:pPr>
          </w:p>
        </w:tc>
        <w:tc>
          <w:tcPr>
            <w:tcW w:w="1019" w:type="pct"/>
            <w:vAlign w:val="center"/>
          </w:tcPr>
          <w:p>
            <w:pPr>
              <w:pStyle w:val="332"/>
              <w:rPr>
                <w:color w:val="000000" w:themeColor="text1"/>
                <w14:textFill>
                  <w14:solidFill>
                    <w14:schemeClr w14:val="tx1"/>
                  </w14:solidFill>
                </w14:textFill>
              </w:rPr>
            </w:pPr>
            <w:r>
              <w:rPr>
                <w:color w:val="000000" w:themeColor="text1"/>
                <w:lang w:bidi="en-US"/>
                <w14:textFill>
                  <w14:solidFill>
                    <w14:schemeClr w14:val="tx1"/>
                  </w14:solidFill>
                </w14:textFill>
              </w:rPr>
              <w:t>黑膜沼气池、沼液储存池</w:t>
            </w:r>
            <w:r>
              <w:rPr>
                <w:color w:val="000000" w:themeColor="text1"/>
                <w14:textFill>
                  <w14:solidFill>
                    <w14:schemeClr w14:val="tx1"/>
                  </w14:solidFill>
                </w14:textFill>
              </w:rPr>
              <w:t>恶臭</w:t>
            </w:r>
          </w:p>
        </w:tc>
        <w:tc>
          <w:tcPr>
            <w:tcW w:w="2919"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黑膜沼气池密闭，</w:t>
            </w:r>
            <w:r>
              <w:rPr>
                <w:color w:val="000000" w:themeColor="text1"/>
                <w:lang w:bidi="en-US"/>
                <w14:textFill>
                  <w14:solidFill>
                    <w14:schemeClr w14:val="tx1"/>
                  </w14:solidFill>
                </w14:textFill>
              </w:rPr>
              <w:t>沼液储存池顶部覆盖HDPE膜，</w:t>
            </w:r>
            <w:r>
              <w:rPr>
                <w:color w:val="000000" w:themeColor="text1"/>
                <w14:textFill>
                  <w14:solidFill>
                    <w14:schemeClr w14:val="tx1"/>
                  </w14:solidFill>
                </w14:textFill>
              </w:rPr>
              <w:t>四周绿化；定期</w:t>
            </w:r>
            <w:r>
              <w:rPr>
                <w:color w:val="000000" w:themeColor="text1"/>
                <w:lang w:bidi="en-US"/>
                <w14:textFill>
                  <w14:solidFill>
                    <w14:schemeClr w14:val="tx1"/>
                  </w14:solidFill>
                </w14:textFill>
              </w:rPr>
              <w:t>喷洒除臭剂；</w:t>
            </w:r>
          </w:p>
        </w:tc>
        <w:tc>
          <w:tcPr>
            <w:tcW w:w="67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4" w:type="pct"/>
            <w:vMerge w:val="continue"/>
            <w:vAlign w:val="center"/>
          </w:tcPr>
          <w:p>
            <w:pPr>
              <w:pStyle w:val="332"/>
              <w:rPr>
                <w:color w:val="000000" w:themeColor="text1"/>
                <w14:textFill>
                  <w14:solidFill>
                    <w14:schemeClr w14:val="tx1"/>
                  </w14:solidFill>
                </w14:textFill>
              </w:rPr>
            </w:pPr>
          </w:p>
        </w:tc>
        <w:tc>
          <w:tcPr>
            <w:tcW w:w="1019" w:type="pct"/>
            <w:tcBorders>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固粪处理区恶臭</w:t>
            </w:r>
          </w:p>
        </w:tc>
        <w:tc>
          <w:tcPr>
            <w:tcW w:w="2919" w:type="pct"/>
            <w:tcBorders>
              <w:bottom w:val="single" w:color="000000" w:sz="4" w:space="0"/>
            </w:tcBorders>
            <w:vAlign w:val="center"/>
          </w:tcPr>
          <w:p>
            <w:pPr>
              <w:pStyle w:val="332"/>
              <w:jc w:val="both"/>
              <w:rPr>
                <w:color w:val="000000" w:themeColor="text1"/>
                <w14:textFill>
                  <w14:solidFill>
                    <w14:schemeClr w14:val="tx1"/>
                  </w14:solidFill>
                </w14:textFill>
              </w:rPr>
            </w:pPr>
            <w:r>
              <w:rPr>
                <w:color w:val="000000" w:themeColor="text1"/>
                <w:lang w:bidi="en-US"/>
                <w14:textFill>
                  <w14:solidFill>
                    <w14:schemeClr w14:val="tx1"/>
                  </w14:solidFill>
                </w14:textFill>
              </w:rPr>
              <w:t>设置为封闭阳光房，</w:t>
            </w:r>
            <w:r>
              <w:rPr>
                <w:color w:val="000000" w:themeColor="text1"/>
                <w14:textFill>
                  <w14:solidFill>
                    <w14:schemeClr w14:val="tx1"/>
                  </w14:solidFill>
                </w14:textFill>
              </w:rPr>
              <w:t>加强通风，</w:t>
            </w:r>
            <w:r>
              <w:rPr>
                <w:color w:val="000000" w:themeColor="text1"/>
                <w:lang w:bidi="en-US"/>
                <w14:textFill>
                  <w14:solidFill>
                    <w14:schemeClr w14:val="tx1"/>
                  </w14:solidFill>
                </w14:textFill>
              </w:rPr>
              <w:t>出风口</w:t>
            </w:r>
            <w:r>
              <w:rPr>
                <w:color w:val="000000" w:themeColor="text1"/>
                <w14:textFill>
                  <w14:solidFill>
                    <w14:schemeClr w14:val="tx1"/>
                  </w14:solidFill>
                </w14:textFill>
              </w:rPr>
              <w:t>处设置喷淋除臭网，</w:t>
            </w:r>
            <w:r>
              <w:rPr>
                <w:color w:val="000000" w:themeColor="text1"/>
                <w:lang w:bidi="en-US"/>
                <w14:textFill>
                  <w14:solidFill>
                    <w14:schemeClr w14:val="tx1"/>
                  </w14:solidFill>
                </w14:textFill>
              </w:rPr>
              <w:t>喷洒除臭剂，</w:t>
            </w:r>
            <w:r>
              <w:rPr>
                <w:color w:val="000000" w:themeColor="text1"/>
                <w14:textFill>
                  <w14:solidFill>
                    <w14:schemeClr w14:val="tx1"/>
                  </w14:solidFill>
                </w14:textFill>
              </w:rPr>
              <w:t>四周绿化；</w:t>
            </w:r>
          </w:p>
        </w:tc>
        <w:tc>
          <w:tcPr>
            <w:tcW w:w="678" w:type="pct"/>
            <w:tcBorders>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4" w:type="pct"/>
            <w:vMerge w:val="continue"/>
            <w:tcBorders>
              <w:bottom w:val="single" w:color="000000" w:sz="4" w:space="0"/>
            </w:tcBorders>
            <w:vAlign w:val="center"/>
          </w:tcPr>
          <w:p>
            <w:pPr>
              <w:pStyle w:val="332"/>
              <w:rPr>
                <w:color w:val="000000" w:themeColor="text1"/>
                <w14:textFill>
                  <w14:solidFill>
                    <w14:schemeClr w14:val="tx1"/>
                  </w14:solidFill>
                </w14:textFill>
              </w:rPr>
            </w:pPr>
          </w:p>
        </w:tc>
        <w:tc>
          <w:tcPr>
            <w:tcW w:w="1019" w:type="pct"/>
            <w:tcBorders>
              <w:bottom w:val="single" w:color="000000" w:sz="4" w:space="0"/>
            </w:tcBorders>
            <w:vAlign w:val="center"/>
          </w:tcPr>
          <w:p>
            <w:pPr>
              <w:pStyle w:val="332"/>
              <w:rPr>
                <w:color w:val="000000" w:themeColor="text1"/>
                <w14:textFill>
                  <w14:solidFill>
                    <w14:schemeClr w14:val="tx1"/>
                  </w14:solidFill>
                </w14:textFill>
              </w:rPr>
            </w:pPr>
            <w:r>
              <w:rPr>
                <w:color w:val="000000" w:themeColor="text1"/>
                <w:kern w:val="0"/>
                <w:szCs w:val="21"/>
                <w14:textFill>
                  <w14:solidFill>
                    <w14:schemeClr w14:val="tx1"/>
                  </w14:solidFill>
                </w14:textFill>
              </w:rPr>
              <w:t>沼气发电机</w:t>
            </w:r>
          </w:p>
        </w:tc>
        <w:tc>
          <w:tcPr>
            <w:tcW w:w="2919" w:type="pct"/>
            <w:tcBorders>
              <w:bottom w:val="single" w:color="000000" w:sz="4" w:space="0"/>
            </w:tcBorders>
            <w:vAlign w:val="center"/>
          </w:tcPr>
          <w:p>
            <w:pPr>
              <w:pStyle w:val="332"/>
              <w:jc w:val="both"/>
              <w:rPr>
                <w:color w:val="000000" w:themeColor="text1"/>
                <w:lang w:bidi="en-US"/>
                <w14:textFill>
                  <w14:solidFill>
                    <w14:schemeClr w14:val="tx1"/>
                  </w14:solidFill>
                </w14:textFill>
              </w:rPr>
            </w:pPr>
            <w:r>
              <w:rPr>
                <w:color w:val="000000" w:themeColor="text1"/>
                <w14:textFill>
                  <w14:solidFill>
                    <w14:schemeClr w14:val="tx1"/>
                  </w14:solidFill>
                </w14:textFill>
              </w:rPr>
              <w:t>燃用脱水、脱硫净化后的沼气；</w:t>
            </w:r>
          </w:p>
        </w:tc>
        <w:tc>
          <w:tcPr>
            <w:tcW w:w="678" w:type="pct"/>
            <w:tcBorders>
              <w:bottom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4" w:type="pct"/>
            <w:tcBorders>
              <w:top w:val="single" w:color="000000"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1019" w:type="pct"/>
            <w:tcBorders>
              <w:top w:val="single" w:color="000000" w:sz="4" w:space="0"/>
              <w:left w:val="single" w:color="auto" w:sz="4" w:space="0"/>
              <w:bottom w:val="single" w:color="auto" w:sz="4"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食堂油烟</w:t>
            </w:r>
          </w:p>
        </w:tc>
        <w:tc>
          <w:tcPr>
            <w:tcW w:w="2919" w:type="pct"/>
            <w:tcBorders>
              <w:top w:val="single" w:color="000000" w:sz="4" w:space="0"/>
              <w:left w:val="single" w:color="auto" w:sz="4" w:space="0"/>
              <w:bottom w:val="single" w:color="auto" w:sz="4" w:space="0"/>
              <w:right w:val="single" w:color="auto"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处理效率大于60%油烟净化器一台</w:t>
            </w:r>
          </w:p>
        </w:tc>
        <w:tc>
          <w:tcPr>
            <w:tcW w:w="678" w:type="pct"/>
            <w:tcBorders>
              <w:top w:val="single" w:color="000000" w:sz="4" w:space="0"/>
              <w:left w:val="single" w:color="auto" w:sz="4"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4" w:type="pct"/>
            <w:vMerge w:val="restart"/>
            <w:tcBorders>
              <w:top w:val="single" w:color="auto" w:sz="4"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1019" w:type="pct"/>
            <w:tcBorders>
              <w:top w:val="single" w:color="auto" w:sz="4" w:space="0"/>
              <w:left w:val="single" w:color="auto" w:sz="4" w:space="0"/>
              <w:bottom w:val="single" w:color="000000" w:sz="4"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生活污水</w:t>
            </w:r>
          </w:p>
        </w:tc>
        <w:tc>
          <w:tcPr>
            <w:tcW w:w="2919" w:type="pct"/>
            <w:tcBorders>
              <w:top w:val="single" w:color="auto" w:sz="4" w:space="0"/>
              <w:left w:val="single" w:color="auto" w:sz="4" w:space="0"/>
              <w:bottom w:val="single" w:color="000000" w:sz="4" w:space="0"/>
              <w:right w:val="single" w:color="auto"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食堂含油废水经隔油池处理后与生活污水、养殖区废水经废水收集管网，进入粪污处理区处理；</w:t>
            </w:r>
          </w:p>
        </w:tc>
        <w:tc>
          <w:tcPr>
            <w:tcW w:w="678" w:type="pct"/>
            <w:vMerge w:val="restart"/>
            <w:tcBorders>
              <w:top w:val="single" w:color="auto" w:sz="4" w:space="0"/>
              <w:lef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400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4" w:type="pct"/>
            <w:vMerge w:val="continue"/>
            <w:tcBorders>
              <w:bottom w:val="single" w:color="000000" w:sz="4" w:space="0"/>
              <w:right w:val="single" w:color="auto" w:sz="4" w:space="0"/>
            </w:tcBorders>
            <w:vAlign w:val="center"/>
          </w:tcPr>
          <w:p>
            <w:pPr>
              <w:pStyle w:val="332"/>
              <w:rPr>
                <w:color w:val="000000" w:themeColor="text1"/>
                <w14:textFill>
                  <w14:solidFill>
                    <w14:schemeClr w14:val="tx1"/>
                  </w14:solidFill>
                </w14:textFill>
              </w:rPr>
            </w:pPr>
          </w:p>
        </w:tc>
        <w:tc>
          <w:tcPr>
            <w:tcW w:w="1019" w:type="pct"/>
            <w:tcBorders>
              <w:top w:val="single" w:color="auto" w:sz="4" w:space="0"/>
              <w:left w:val="single" w:color="auto" w:sz="4" w:space="0"/>
              <w:bottom w:val="single" w:color="000000" w:sz="4" w:space="0"/>
              <w:right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养殖废水、无害化设备冷凝液、堆肥渗滤液等</w:t>
            </w:r>
          </w:p>
        </w:tc>
        <w:tc>
          <w:tcPr>
            <w:tcW w:w="2919" w:type="pct"/>
            <w:tcBorders>
              <w:top w:val="single" w:color="auto" w:sz="4" w:space="0"/>
              <w:left w:val="single" w:color="auto" w:sz="4" w:space="0"/>
              <w:bottom w:val="single" w:color="000000" w:sz="4" w:space="0"/>
              <w:right w:val="single" w:color="auto" w:sz="4"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1座容积分5000m</w:t>
            </w:r>
            <w:r>
              <w:rPr>
                <w:color w:val="000000" w:themeColor="text1"/>
                <w:position w:val="10"/>
                <w:sz w:val="14"/>
                <w:szCs w:val="14"/>
                <w14:textFill>
                  <w14:solidFill>
                    <w14:schemeClr w14:val="tx1"/>
                  </w14:solidFill>
                </w14:textFill>
              </w:rPr>
              <w:t>3</w:t>
            </w:r>
            <w:r>
              <w:rPr>
                <w:color w:val="000000" w:themeColor="text1"/>
                <w:spacing w:val="1"/>
                <w:position w:val="10"/>
                <w:sz w:val="14"/>
                <w:szCs w:val="14"/>
                <w14:textFill>
                  <w14:solidFill>
                    <w14:schemeClr w14:val="tx1"/>
                  </w14:solidFill>
                </w14:textFill>
              </w:rPr>
              <w:t xml:space="preserve"> </w:t>
            </w:r>
            <w:r>
              <w:rPr>
                <w:color w:val="000000" w:themeColor="text1"/>
                <w14:textFill>
                  <w14:solidFill>
                    <w14:schemeClr w14:val="tx1"/>
                  </w14:solidFill>
                </w14:textFill>
              </w:rPr>
              <w:t>黑膜沼气池，1座容积为</w:t>
            </w:r>
            <w:r>
              <w:rPr>
                <w:color w:val="000000" w:themeColor="text1"/>
                <w:lang w:bidi="ar"/>
                <w14:textFill>
                  <w14:solidFill>
                    <w14:schemeClr w14:val="tx1"/>
                  </w14:solidFill>
                </w14:textFill>
              </w:rPr>
              <w:t xml:space="preserve">11170 </w:t>
            </w:r>
            <w:r>
              <w:rPr>
                <w:color w:val="000000" w:themeColor="text1"/>
                <w14:textFill>
                  <w14:solidFill>
                    <w14:schemeClr w14:val="tx1"/>
                  </w14:solidFill>
                </w14:textFill>
              </w:rPr>
              <w:t>m</w:t>
            </w:r>
            <w:r>
              <w:rPr>
                <w:color w:val="000000" w:themeColor="text1"/>
                <w:position w:val="10"/>
                <w:sz w:val="14"/>
                <w:szCs w:val="14"/>
                <w14:textFill>
                  <w14:solidFill>
                    <w14:schemeClr w14:val="tx1"/>
                  </w14:solidFill>
                </w14:textFill>
              </w:rPr>
              <w:t xml:space="preserve">3 </w:t>
            </w:r>
            <w:r>
              <w:rPr>
                <w:color w:val="000000" w:themeColor="text1"/>
                <w14:textFill>
                  <w14:solidFill>
                    <w14:schemeClr w14:val="tx1"/>
                  </w14:solidFill>
                </w14:textFill>
              </w:rPr>
              <w:t>的沼液储存池，</w:t>
            </w:r>
            <w:r>
              <w:rPr>
                <w:color w:val="000000" w:themeColor="text1"/>
                <w:spacing w:val="-4"/>
                <w14:textFill>
                  <w14:solidFill>
                    <w14:schemeClr w14:val="tx1"/>
                  </w14:solidFill>
                </w14:textFill>
              </w:rPr>
              <w:t>配套场区内的污水收集管网，消化农田区域的沼液输</w:t>
            </w:r>
            <w:r>
              <w:rPr>
                <w:color w:val="000000" w:themeColor="text1"/>
                <w:spacing w:val="-6"/>
                <w14:textFill>
                  <w14:solidFill>
                    <w14:schemeClr w14:val="tx1"/>
                  </w14:solidFill>
                </w14:textFill>
              </w:rPr>
              <w:t>送管网；每个猪舍设地下储粪池，池底及污粪输</w:t>
            </w:r>
            <w:r>
              <w:rPr>
                <w:color w:val="000000" w:themeColor="text1"/>
                <w:spacing w:val="-77"/>
                <w14:textFill>
                  <w14:solidFill>
                    <w14:schemeClr w14:val="tx1"/>
                  </w14:solidFill>
                </w14:textFill>
              </w:rPr>
              <w:t xml:space="preserve"> </w:t>
            </w:r>
            <w:r>
              <w:rPr>
                <w:color w:val="000000" w:themeColor="text1"/>
                <w14:textFill>
                  <w14:solidFill>
                    <w14:schemeClr w14:val="tx1"/>
                  </w14:solidFill>
                </w14:textFill>
              </w:rPr>
              <w:t>送管线底部做防渗</w:t>
            </w:r>
          </w:p>
        </w:tc>
        <w:tc>
          <w:tcPr>
            <w:tcW w:w="678" w:type="pct"/>
            <w:vMerge w:val="continue"/>
            <w:tcBorders>
              <w:left w:val="single" w:color="auto" w:sz="4" w:space="0"/>
              <w:bottom w:val="single" w:color="000000" w:sz="4" w:space="0"/>
            </w:tcBorders>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4"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1019"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spacing w:val="-5"/>
                <w14:textFill>
                  <w14:solidFill>
                    <w14:schemeClr w14:val="tx1"/>
                  </w14:solidFill>
                </w14:textFill>
              </w:rPr>
              <w:t>风机、水</w:t>
            </w:r>
            <w:r>
              <w:rPr>
                <w:color w:val="000000" w:themeColor="text1"/>
                <w14:textFill>
                  <w14:solidFill>
                    <w14:schemeClr w14:val="tx1"/>
                  </w14:solidFill>
                </w14:textFill>
              </w:rPr>
              <w:t>泵等</w:t>
            </w:r>
          </w:p>
        </w:tc>
        <w:tc>
          <w:tcPr>
            <w:tcW w:w="2919" w:type="pct"/>
            <w:tcBorders>
              <w:top w:val="single" w:color="000000" w:sz="4" w:space="0"/>
            </w:tcBorders>
            <w:vAlign w:val="center"/>
          </w:tcPr>
          <w:p>
            <w:pPr>
              <w:pStyle w:val="332"/>
              <w:jc w:val="both"/>
              <w:rPr>
                <w:color w:val="000000" w:themeColor="text1"/>
                <w14:textFill>
                  <w14:solidFill>
                    <w14:schemeClr w14:val="tx1"/>
                  </w14:solidFill>
                </w14:textFill>
              </w:rPr>
            </w:pPr>
            <w:r>
              <w:rPr>
                <w:color w:val="000000" w:themeColor="text1"/>
                <w:kern w:val="0"/>
                <w:szCs w:val="21"/>
                <w14:textFill>
                  <w14:solidFill>
                    <w14:schemeClr w14:val="tx1"/>
                  </w14:solidFill>
                </w14:textFill>
              </w:rPr>
              <w:t>选用低噪声设备，基础安装减振垫，隔声等措施</w:t>
            </w:r>
          </w:p>
        </w:tc>
        <w:tc>
          <w:tcPr>
            <w:tcW w:w="678" w:type="pct"/>
            <w:tcBorders>
              <w:top w:val="single" w:color="000000"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4"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固废</w:t>
            </w:r>
          </w:p>
        </w:tc>
        <w:tc>
          <w:tcPr>
            <w:tcW w:w="10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2919"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厂区内设置若干垃圾桶，收集后运至当地环卫部门指定地点</w:t>
            </w:r>
          </w:p>
        </w:tc>
        <w:tc>
          <w:tcPr>
            <w:tcW w:w="67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4" w:type="pct"/>
            <w:vMerge w:val="continue"/>
            <w:vAlign w:val="center"/>
          </w:tcPr>
          <w:p>
            <w:pPr>
              <w:pStyle w:val="332"/>
              <w:rPr>
                <w:color w:val="000000" w:themeColor="text1"/>
                <w14:textFill>
                  <w14:solidFill>
                    <w14:schemeClr w14:val="tx1"/>
                  </w14:solidFill>
                </w14:textFill>
              </w:rPr>
            </w:pPr>
          </w:p>
        </w:tc>
        <w:tc>
          <w:tcPr>
            <w:tcW w:w="10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医疗废物</w:t>
            </w:r>
          </w:p>
        </w:tc>
        <w:tc>
          <w:tcPr>
            <w:tcW w:w="2919"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设</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1座面积</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10 m</w:t>
            </w:r>
            <w:r>
              <w:rPr>
                <w:color w:val="000000" w:themeColor="text1"/>
                <w:position w:val="10"/>
                <w:sz w:val="14"/>
                <w:szCs w:val="14"/>
                <w14:textFill>
                  <w14:solidFill>
                    <w14:schemeClr w14:val="tx1"/>
                  </w14:solidFill>
                </w14:textFill>
              </w:rPr>
              <w:t>2</w:t>
            </w:r>
            <w:r>
              <w:rPr>
                <w:color w:val="000000" w:themeColor="text1"/>
                <w14:textFill>
                  <w14:solidFill>
                    <w14:schemeClr w14:val="tx1"/>
                  </w14:solidFill>
                </w14:textFill>
              </w:rPr>
              <w:t>医疗废物暂存间，地面防渗，医疗废物委托有资质的单位处置</w:t>
            </w:r>
          </w:p>
        </w:tc>
        <w:tc>
          <w:tcPr>
            <w:tcW w:w="67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4" w:type="pct"/>
            <w:vMerge w:val="continue"/>
            <w:vAlign w:val="center"/>
          </w:tcPr>
          <w:p>
            <w:pPr>
              <w:pStyle w:val="332"/>
              <w:rPr>
                <w:color w:val="000000" w:themeColor="text1"/>
                <w14:textFill>
                  <w14:solidFill>
                    <w14:schemeClr w14:val="tx1"/>
                  </w14:solidFill>
                </w14:textFill>
              </w:rPr>
            </w:pPr>
          </w:p>
        </w:tc>
        <w:tc>
          <w:tcPr>
            <w:tcW w:w="10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病死猪及母猪胎盘</w:t>
            </w:r>
          </w:p>
        </w:tc>
        <w:tc>
          <w:tcPr>
            <w:tcW w:w="2919"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设</w:t>
            </w:r>
            <w:r>
              <w:rPr>
                <w:color w:val="000000" w:themeColor="text1"/>
                <w:spacing w:val="-54"/>
                <w14:textFill>
                  <w14:solidFill>
                    <w14:schemeClr w14:val="tx1"/>
                  </w14:solidFill>
                </w14:textFill>
              </w:rPr>
              <w:t xml:space="preserve"> </w:t>
            </w:r>
            <w:r>
              <w:rPr>
                <w:color w:val="000000" w:themeColor="text1"/>
                <w14:textFill>
                  <w14:solidFill>
                    <w14:schemeClr w14:val="tx1"/>
                  </w14:solidFill>
                </w14:textFill>
              </w:rPr>
              <w:t>1座建筑面积为450 m</w:t>
            </w:r>
            <w:r>
              <w:rPr>
                <w:color w:val="000000" w:themeColor="text1"/>
                <w:position w:val="10"/>
                <w:sz w:val="14"/>
                <w:szCs w:val="14"/>
                <w14:textFill>
                  <w14:solidFill>
                    <w14:schemeClr w14:val="tx1"/>
                  </w14:solidFill>
                </w14:textFill>
              </w:rPr>
              <w:t>2</w:t>
            </w:r>
            <w:r>
              <w:rPr>
                <w:color w:val="000000" w:themeColor="text1"/>
                <w14:textFill>
                  <w14:solidFill>
                    <w14:schemeClr w14:val="tx1"/>
                  </w14:solidFill>
                </w14:textFill>
              </w:rPr>
              <w:t>的病死猪无害化处</w:t>
            </w:r>
            <w:r>
              <w:rPr>
                <w:color w:val="000000" w:themeColor="text1"/>
                <w:spacing w:val="-6"/>
                <w14:textFill>
                  <w14:solidFill>
                    <w14:schemeClr w14:val="tx1"/>
                  </w14:solidFill>
                </w14:textFill>
              </w:rPr>
              <w:t>理车间，地面防渗，</w:t>
            </w:r>
            <w:r>
              <w:rPr>
                <w:color w:val="000000" w:themeColor="text1"/>
                <w14:textFill>
                  <w14:solidFill>
                    <w14:schemeClr w14:val="tx1"/>
                  </w14:solidFill>
                </w14:textFill>
              </w:rPr>
              <w:t>处理后固态残余物送固粪处理区内发酵堆肥；</w:t>
            </w:r>
          </w:p>
        </w:tc>
        <w:tc>
          <w:tcPr>
            <w:tcW w:w="67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4" w:type="pct"/>
            <w:vMerge w:val="continue"/>
            <w:vAlign w:val="center"/>
          </w:tcPr>
          <w:p>
            <w:pPr>
              <w:pStyle w:val="332"/>
              <w:rPr>
                <w:color w:val="000000" w:themeColor="text1"/>
                <w14:textFill>
                  <w14:solidFill>
                    <w14:schemeClr w14:val="tx1"/>
                  </w14:solidFill>
                </w14:textFill>
              </w:rPr>
            </w:pPr>
          </w:p>
        </w:tc>
        <w:tc>
          <w:tcPr>
            <w:tcW w:w="10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沼渣、猪粪</w:t>
            </w:r>
          </w:p>
        </w:tc>
        <w:tc>
          <w:tcPr>
            <w:tcW w:w="2919" w:type="pct"/>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粪便</w:t>
            </w:r>
            <w:r>
              <w:rPr>
                <w:rStyle w:val="335"/>
                <w:rFonts w:cs="Times New Roman"/>
                <w:color w:val="000000" w:themeColor="text1"/>
                <w14:textFill>
                  <w14:solidFill>
                    <w14:schemeClr w14:val="tx1"/>
                  </w14:solidFill>
                </w14:textFill>
              </w:rPr>
              <w:t>暂存于粪便贮存池，通过管道进入固液分离机，分离出的大颗粒固态粪便直接运至固粪处理区内的堆肥区堆肥；其余未被分离出的小颗粒固态粪便随粪水进入黑膜沼气池，形成的沼渣进入固粪处理区内的沼渣过滤区内控水后，与猪粪一同堆肥发酵，粪便贮存池、固粪处理区全部进行严格防渗；固粪处理区顶棚为采光瓦，三面设1米高混凝土围墙，1面为大门；</w:t>
            </w:r>
          </w:p>
        </w:tc>
        <w:tc>
          <w:tcPr>
            <w:tcW w:w="67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03"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生态</w:t>
            </w:r>
          </w:p>
        </w:tc>
        <w:tc>
          <w:tcPr>
            <w:tcW w:w="2919"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绿化面积为</w:t>
            </w:r>
            <w:r>
              <w:rPr>
                <w:color w:val="000000" w:themeColor="text1"/>
                <w:lang w:bidi="en-US"/>
                <w14:textFill>
                  <w14:solidFill>
                    <w14:schemeClr w14:val="tx1"/>
                  </w14:solidFill>
                </w14:textFill>
              </w:rPr>
              <w:t>7076</w:t>
            </w:r>
            <w:r>
              <w:rPr>
                <w:color w:val="000000" w:themeColor="text1"/>
                <w14:textFill>
                  <w14:solidFill>
                    <w14:schemeClr w14:val="tx1"/>
                  </w14:solidFill>
                </w14:textFill>
              </w:rPr>
              <w:t xml:space="preserve"> m</w:t>
            </w:r>
            <w:r>
              <w:rPr>
                <w:color w:val="000000" w:themeColor="text1"/>
                <w:position w:val="10"/>
                <w:sz w:val="14"/>
                <w:szCs w:val="14"/>
                <w14:textFill>
                  <w14:solidFill>
                    <w14:schemeClr w14:val="tx1"/>
                  </w14:solidFill>
                </w14:textFill>
              </w:rPr>
              <w:t>2</w:t>
            </w:r>
          </w:p>
        </w:tc>
        <w:tc>
          <w:tcPr>
            <w:tcW w:w="67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403" w:type="pct"/>
            <w:gridSpan w:val="2"/>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291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678"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489</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2、环保设施折旧费C</w:t>
      </w:r>
      <w:r>
        <w:rPr>
          <w:rFonts w:cs="Times New Roman"/>
          <w:color w:val="000000" w:themeColor="text1"/>
          <w:vertAlign w:val="subscript"/>
          <w14:textFill>
            <w14:solidFill>
              <w14:schemeClr w14:val="tx1"/>
            </w14:solidFill>
          </w14:textFill>
        </w:rPr>
        <w:t>1</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项目环保设施投资折旧费由下式计算：</w:t>
      </w:r>
    </w:p>
    <w:p>
      <w:pPr>
        <w:ind w:firstLine="480"/>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w:t>
      </w:r>
      <w:r>
        <w:rPr>
          <w:rFonts w:cs="Times New Roman"/>
          <w:color w:val="000000" w:themeColor="text1"/>
          <w:vertAlign w:val="subscript"/>
          <w14:textFill>
            <w14:solidFill>
              <w14:schemeClr w14:val="tx1"/>
            </w14:solidFill>
          </w14:textFill>
        </w:rPr>
        <w:t>1</w:t>
      </w:r>
      <w:r>
        <w:rPr>
          <w:rFonts w:cs="Times New Roman"/>
          <w:color w:val="000000" w:themeColor="text1"/>
          <w14:textFill>
            <w14:solidFill>
              <w14:schemeClr w14:val="tx1"/>
            </w14:solidFill>
          </w14:textFill>
        </w:rPr>
        <w:t>＝A×C</w:t>
      </w:r>
      <w:r>
        <w:rPr>
          <w:rFonts w:cs="Times New Roman"/>
          <w:color w:val="000000" w:themeColor="text1"/>
          <w:vertAlign w:val="subscript"/>
          <w14:textFill>
            <w14:solidFill>
              <w14:schemeClr w14:val="tx1"/>
            </w14:solidFill>
          </w14:textFill>
        </w:rPr>
        <w:t>0</w:t>
      </w:r>
      <w:r>
        <w:rPr>
          <w:rFonts w:cs="Times New Roman"/>
          <w:color w:val="000000" w:themeColor="text1"/>
          <w14:textFill>
            <w14:solidFill>
              <w14:schemeClr w14:val="tx1"/>
            </w14:solidFill>
          </w14:textFill>
        </w:rPr>
        <w:t>/n＝30.97（万元/a）</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式中：A—固定资产形成率，取95%；</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w:t>
      </w:r>
      <w:r>
        <w:rPr>
          <w:rFonts w:cs="Times New Roman"/>
          <w:color w:val="000000" w:themeColor="text1"/>
          <w:vertAlign w:val="subscript"/>
          <w14:textFill>
            <w14:solidFill>
              <w14:schemeClr w14:val="tx1"/>
            </w14:solidFill>
          </w14:textFill>
        </w:rPr>
        <w:t>0</w:t>
      </w:r>
      <w:r>
        <w:rPr>
          <w:rFonts w:cs="Times New Roman"/>
          <w:color w:val="000000" w:themeColor="text1"/>
          <w14:textFill>
            <w14:solidFill>
              <w14:schemeClr w14:val="tx1"/>
            </w14:solidFill>
          </w14:textFill>
        </w:rPr>
        <w:t>—环保总投资（万元）；</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n—折旧年限，取15年。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3、环保设施消耗费用C</w:t>
      </w:r>
      <w:r>
        <w:rPr>
          <w:rFonts w:cs="Times New Roman"/>
          <w:color w:val="000000" w:themeColor="text1"/>
          <w:vertAlign w:val="subscript"/>
          <w14:textFill>
            <w14:solidFill>
              <w14:schemeClr w14:val="tx1"/>
            </w14:solidFill>
          </w14:textFill>
        </w:rPr>
        <w:t>2</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保运行费用主要包括环保设备的维修费，折旧费，环保管理及其他费用，成本费用主要包括原辅料消耗费，动力消耗及人员工资，福利等。为使项目环保治理设施正常运行，并达到预期的治理效果，工程环保运行费用估算：C</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＝10（万元/年）。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4、环保管理费C</w:t>
      </w:r>
      <w:r>
        <w:rPr>
          <w:rFonts w:cs="Times New Roman"/>
          <w:color w:val="000000" w:themeColor="text1"/>
          <w:vertAlign w:val="subscript"/>
          <w14:textFill>
            <w14:solidFill>
              <w14:schemeClr w14:val="tx1"/>
            </w14:solidFill>
          </w14:textFill>
        </w:rPr>
        <w:t>3</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环保管理费用包括管理部门、监测部门的人工费、办公费、监测费和技术咨询等费用，估算按C</w:t>
      </w:r>
      <w:r>
        <w:rPr>
          <w:rFonts w:cs="Times New Roman"/>
          <w:color w:val="000000" w:themeColor="text1"/>
          <w:vertAlign w:val="subscript"/>
          <w14:textFill>
            <w14:solidFill>
              <w14:schemeClr w14:val="tx1"/>
            </w14:solidFill>
          </w14:textFill>
        </w:rPr>
        <w:t>4</w:t>
      </w:r>
      <w:r>
        <w:rPr>
          <w:rFonts w:cs="Times New Roman"/>
          <w:color w:val="000000" w:themeColor="text1"/>
          <w14:textFill>
            <w14:solidFill>
              <w14:schemeClr w14:val="tx1"/>
            </w14:solidFill>
          </w14:textFill>
        </w:rPr>
        <w:t>＝20（万元/年）</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5、环保设施运行费C</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环保设施运行费为上述环保设施折旧费C</w:t>
      </w:r>
      <w:r>
        <w:rPr>
          <w:rFonts w:cs="Times New Roman"/>
          <w:color w:val="000000" w:themeColor="text1"/>
          <w:vertAlign w:val="subscript"/>
          <w14:textFill>
            <w14:solidFill>
              <w14:schemeClr w14:val="tx1"/>
            </w14:solidFill>
          </w14:textFill>
        </w:rPr>
        <w:t>1</w:t>
      </w:r>
      <w:r>
        <w:rPr>
          <w:rFonts w:cs="Times New Roman"/>
          <w:color w:val="000000" w:themeColor="text1"/>
          <w14:textFill>
            <w14:solidFill>
              <w14:schemeClr w14:val="tx1"/>
            </w14:solidFill>
          </w14:textFill>
        </w:rPr>
        <w:t>、环保设施消耗费C</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、环保管理费C</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的之和，即：C＝C</w:t>
      </w:r>
      <w:r>
        <w:rPr>
          <w:rFonts w:cs="Times New Roman"/>
          <w:color w:val="000000" w:themeColor="text1"/>
          <w:vertAlign w:val="subscript"/>
          <w14:textFill>
            <w14:solidFill>
              <w14:schemeClr w14:val="tx1"/>
            </w14:solidFill>
          </w14:textFill>
        </w:rPr>
        <w:t>1</w:t>
      </w:r>
      <w:r>
        <w:rPr>
          <w:rFonts w:cs="Times New Roman"/>
          <w:color w:val="000000" w:themeColor="text1"/>
          <w14:textFill>
            <w14:solidFill>
              <w14:schemeClr w14:val="tx1"/>
            </w14:solidFill>
          </w14:textFill>
        </w:rPr>
        <w:t>＋C</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＋C</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＋C</w:t>
      </w:r>
      <w:r>
        <w:rPr>
          <w:rFonts w:cs="Times New Roman"/>
          <w:color w:val="000000" w:themeColor="text1"/>
          <w:vertAlign w:val="subscript"/>
          <w14:textFill>
            <w14:solidFill>
              <w14:schemeClr w14:val="tx1"/>
            </w14:solidFill>
          </w14:textFill>
        </w:rPr>
        <w:t>4</w:t>
      </w:r>
      <w:r>
        <w:rPr>
          <w:rFonts w:cs="Times New Roman"/>
          <w:color w:val="000000" w:themeColor="text1"/>
          <w14:textFill>
            <w14:solidFill>
              <w14:schemeClr w14:val="tx1"/>
            </w14:solidFill>
          </w14:textFill>
        </w:rPr>
        <w:t>=30.97+10+20=</w:t>
      </w:r>
      <w:r>
        <w:rPr>
          <w:rFonts w:cs="Times New Roman"/>
          <w:color w:val="000000" w:themeColor="text1"/>
          <w14:textFill>
            <w14:solidFill>
              <w14:schemeClr w14:val="tx1"/>
            </w14:solidFill>
          </w14:textFill>
        </w:rPr>
        <w:tab/>
      </w:r>
      <w:r>
        <w:rPr>
          <w:rFonts w:cs="Times New Roman"/>
          <w:color w:val="000000" w:themeColor="text1"/>
          <w14:textFill>
            <w14:solidFill>
              <w14:schemeClr w14:val="tx1"/>
            </w14:solidFill>
          </w14:textFill>
        </w:rPr>
        <w:t>60.97</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经上述计算后，项目环保设施运行费用为60.97万元，本项目环保设备的建设、运行对项目投资成本及经济收益的影响较小。</w:t>
      </w:r>
    </w:p>
    <w:p>
      <w:pPr>
        <w:pStyle w:val="4"/>
        <w:rPr>
          <w:rFonts w:cs="Times New Roman"/>
          <w:color w:val="000000" w:themeColor="text1"/>
          <w14:textFill>
            <w14:solidFill>
              <w14:schemeClr w14:val="tx1"/>
            </w14:solidFill>
          </w14:textFill>
        </w:rPr>
      </w:pPr>
      <w:bookmarkStart w:id="692" w:name="_Toc91163984"/>
      <w:r>
        <w:rPr>
          <w:rFonts w:cs="Times New Roman"/>
          <w:color w:val="000000" w:themeColor="text1"/>
          <w14:textFill>
            <w14:solidFill>
              <w14:schemeClr w14:val="tx1"/>
            </w14:solidFill>
          </w14:textFill>
        </w:rPr>
        <w:t>7.4.2 环保设施经济效益估算</w:t>
      </w:r>
      <w:bookmarkEnd w:id="692"/>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环境经济效益是指采取环保综合治理措施获取的直接经济效益，应包括提高水复用量的节水经济效益、减少污染物排放的经济效益以及一定时期内改善区域生态环境的经济效益。</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本项目采取“猪—肥—田”模式，废物资源化，产生巨大的经济效益。其产生的经济效益如下：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猪粪、废水经污粪处理工程处理后产生的沼液作为有机肥回用农田，猪粪、沼渣等制取有机肥量约</w:t>
      </w:r>
      <w:r>
        <w:rPr>
          <w:rFonts w:cs="Times New Roman"/>
          <w:color w:val="000000" w:themeColor="text1"/>
          <w:lang w:bidi="en-US"/>
          <w14:textFill>
            <w14:solidFill>
              <w14:schemeClr w14:val="tx1"/>
            </w14:solidFill>
          </w14:textFill>
        </w:rPr>
        <w:t>967.25 t/a</w:t>
      </w:r>
      <w:r>
        <w:rPr>
          <w:rFonts w:cs="Times New Roman"/>
          <w:color w:val="000000" w:themeColor="text1"/>
          <w14:textFill>
            <w14:solidFill>
              <w14:schemeClr w14:val="tx1"/>
            </w14:solidFill>
          </w14:textFill>
        </w:rPr>
        <w:t>，沼液产生量12719.9 m</w:t>
      </w:r>
      <w:r>
        <w:rPr>
          <w:rFonts w:cs="Times New Roman"/>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/a，用于周围农田施肥。有机肥以150元/t计，约为14.5万元/a。</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本项目环境经济效益费用约为14.5万元/年。</w:t>
      </w:r>
    </w:p>
    <w:p>
      <w:pPr>
        <w:pStyle w:val="4"/>
        <w:rPr>
          <w:rFonts w:cs="Times New Roman"/>
          <w:color w:val="000000" w:themeColor="text1"/>
          <w14:textFill>
            <w14:solidFill>
              <w14:schemeClr w14:val="tx1"/>
            </w14:solidFill>
          </w14:textFill>
        </w:rPr>
      </w:pPr>
      <w:bookmarkStart w:id="693" w:name="_Toc91163985"/>
      <w:r>
        <w:rPr>
          <w:rFonts w:cs="Times New Roman"/>
          <w:color w:val="000000" w:themeColor="text1"/>
          <w14:textFill>
            <w14:solidFill>
              <w14:schemeClr w14:val="tx1"/>
            </w14:solidFill>
          </w14:textFill>
        </w:rPr>
        <w:t>7.4.3 工程环境经济损益指标分析</w:t>
      </w:r>
      <w:bookmarkEnd w:id="693"/>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本评价主要从环境保护投资比例系数、产值环境系数、环境经济损益系数等几项指标进行环境经济损益分析。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1、环保投资比例系数Hz</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环保投资比例系数是指环保建设投资与企业建设总投资的比值，它体现了企业对环保工作的重视程度。</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Hz＝（E</w:t>
      </w:r>
      <w:r>
        <w:rPr>
          <w:rFonts w:cs="Times New Roman"/>
          <w:color w:val="000000" w:themeColor="text1"/>
          <w:vertAlign w:val="subscript"/>
          <w14:textFill>
            <w14:solidFill>
              <w14:schemeClr w14:val="tx1"/>
            </w14:solidFill>
          </w14:textFill>
        </w:rPr>
        <w:t>0</w:t>
      </w:r>
      <w:r>
        <w:rPr>
          <w:rFonts w:cs="Times New Roman"/>
          <w:color w:val="000000" w:themeColor="text1"/>
          <w14:textFill>
            <w14:solidFill>
              <w14:schemeClr w14:val="tx1"/>
            </w14:solidFill>
          </w14:textFill>
        </w:rPr>
        <w:t>/ER）×100%</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式中：E</w:t>
      </w:r>
      <w:r>
        <w:rPr>
          <w:rFonts w:cs="Times New Roman"/>
          <w:color w:val="000000" w:themeColor="text1"/>
          <w:vertAlign w:val="subscript"/>
          <w14:textFill>
            <w14:solidFill>
              <w14:schemeClr w14:val="tx1"/>
            </w14:solidFill>
          </w14:textFill>
        </w:rPr>
        <w:t>0</w:t>
      </w:r>
      <w:r>
        <w:rPr>
          <w:rFonts w:cs="Times New Roman"/>
          <w:color w:val="000000" w:themeColor="text1"/>
          <w14:textFill>
            <w14:solidFill>
              <w14:schemeClr w14:val="tx1"/>
            </w14:solidFill>
          </w14:textFill>
        </w:rPr>
        <w:t>——环保建设投资，万元</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ER——工程总投资，万元</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本项目环保投资约489万元，项目总投资2400.28万元，约占投资总额的20.37%。</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本工程在采取相应的废气、废水、固废和噪声污染防治措施后，各种污染物达标排放，减轻污染物对对周围环境的影响，因此总的来说，该项目的环保投资系数是基本合适的。</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2、产值环境系数Fg</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产值环境系数是指年环保运行费用与工业总产值的比值，年环保费用是指环保治理设施及综合利用装置的运行费用、折旧费、日常管理费等。</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产值环境系数的表达式为：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Fg=（Ez/Es）×100%</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式中：Ez——年环保费用，万元</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Es——年工业总产值，万元</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工程实施后，每年环保运行费用为60.97万元，本项目年工业总产值4125.00万元，则产值环境系数为1.48%。</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3、环境经济效益系数Jx</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环境经济效益系数Jx是指因有效的环境保护措施而挽回的经济价值与环境保护费用之比，其表达式为：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Jx=Ei/Ez</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式中：Ei——每年环保措施挽回的经济效益，万元</w:t>
      </w:r>
    </w:p>
    <w:p>
      <w:pPr>
        <w:ind w:firstLine="1200" w:firstLineChars="5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Ez——年环保费用，万元</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工程实施后，经估算，每年环境经济效益约为14.5万元，年环保费用为60.97万元，则环境经济效益系数为0.24。</w:t>
      </w:r>
    </w:p>
    <w:p>
      <w:pPr>
        <w:pStyle w:val="4"/>
        <w:rPr>
          <w:rFonts w:cs="Times New Roman"/>
          <w:color w:val="000000" w:themeColor="text1"/>
          <w14:textFill>
            <w14:solidFill>
              <w14:schemeClr w14:val="tx1"/>
            </w14:solidFill>
          </w14:textFill>
        </w:rPr>
      </w:pPr>
      <w:bookmarkStart w:id="694" w:name="_Toc91163986"/>
      <w:r>
        <w:rPr>
          <w:rFonts w:cs="Times New Roman"/>
          <w:color w:val="000000" w:themeColor="text1"/>
          <w14:textFill>
            <w14:solidFill>
              <w14:schemeClr w14:val="tx1"/>
            </w14:solidFill>
          </w14:textFill>
        </w:rPr>
        <w:t>7.4.4 工程环境效益分析</w:t>
      </w:r>
      <w:bookmarkEnd w:id="694"/>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该项目将畜禽的粪便综合利用，做到了废物利用，变废为宝，从根本上降低了污染源，大大减轻了对周边地区的环境压力。既美化了养殖场的自然环境，消除了臭味，防止了蚊蝇孳生，又改善了周边地区的生态环境，有利于农业的可持续发展，促进项目地区水土资源的合理利用和生态环境的良性循环，使项目地区规划科学、布局合理，为项目地区无公害、有机农业生产和可持续发展提供了良好的物资基础。</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通过各项污染防治措施的实施和清洁生产技术的落实，可做到养殖区废水最大程度的综合利用和固体废弃物的资源化利用，可取得良好的环境效益。</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的环保投入减少了废水及固废等污染物的排放，合理地调整了生产过程中的相互关系，使一个生产过程中的排泄物（废弃物）转变为另一个生产过程的输入物（原料资源），从而实现农业生产的无废弃物过程（零排放目标），即废弃物资源化过程。从环境保护和资源利用的角度出发，走规模处理和综合利用的道路，不仅能够促进畜禽养殖业的进一步发展，而且具有较好的环境效益。</w:t>
      </w:r>
    </w:p>
    <w:p>
      <w:pPr>
        <w:pStyle w:val="3"/>
        <w:spacing w:before="120" w:after="120"/>
        <w:rPr>
          <w:rFonts w:cs="Times New Roman"/>
          <w:color w:val="000000" w:themeColor="text1"/>
          <w14:textFill>
            <w14:solidFill>
              <w14:schemeClr w14:val="tx1"/>
            </w14:solidFill>
          </w14:textFill>
        </w:rPr>
      </w:pPr>
      <w:bookmarkStart w:id="695" w:name="_Toc91163987"/>
      <w:r>
        <w:rPr>
          <w:rFonts w:cs="Times New Roman"/>
          <w:color w:val="000000" w:themeColor="text1"/>
          <w14:textFill>
            <w14:solidFill>
              <w14:schemeClr w14:val="tx1"/>
            </w14:solidFill>
          </w14:textFill>
        </w:rPr>
        <w:t>7.5  小结</w:t>
      </w:r>
      <w:bookmarkEnd w:id="69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项目工艺技术先进成熟，规模适当，技术力量有保障，市场前景广阔，项目本身具有较强的盈利能力和抗风险能力，经济、社会效益显著。项目建设规模适中，投资结构合理，产品具有广阔的市场前景。</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充分利用产业化优势，促进我国畜禽养殖走绿色良性循环路。项目猪粪堆肥处理后产生的有机肥可以改变原常用化肥的对土地的不良影响，同时，提高肥料的有效利用率，降低肥料成本，而且是绿色环保的生态肥料，对我国发展循环经济，走可持续发展道路具有重要意义。</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上分析，本项目的实施在促进地方经济发展的同时又具有良好的社会效益。该项目市场前景良好，能促进当地经济的发展，将为周围群众扩大就业机会，能提高群众的生活质量，所以从社会经济角度看是可行的。同时，项目在保证环保投资的前提下，能够实现达标排放，环境效益比较明显，因此从环境经济角度来看也是合理可行的。本项目具有较好的经济效益、社会效益和环境效益。</w:t>
      </w:r>
    </w:p>
    <w:bookmarkEnd w:id="681"/>
    <w:bookmarkEnd w:id="682"/>
    <w:bookmarkEnd w:id="683"/>
    <w:bookmarkEnd w:id="684"/>
    <w:bookmarkEnd w:id="685"/>
    <w:bookmarkEnd w:id="686"/>
    <w:bookmarkEnd w:id="687"/>
    <w:p>
      <w:pPr>
        <w:ind w:firstLine="480"/>
        <w:rPr>
          <w:rFonts w:cs="Times New Roman"/>
          <w:color w:val="000000" w:themeColor="text1"/>
          <w14:textFill>
            <w14:solidFill>
              <w14:schemeClr w14:val="tx1"/>
            </w14:solidFill>
          </w14:textFill>
        </w:rPr>
        <w:sectPr>
          <w:pgSz w:w="11907" w:h="16840"/>
          <w:pgMar w:top="1531" w:right="1418" w:bottom="1531" w:left="1418" w:header="851" w:footer="992" w:gutter="0"/>
          <w:pgNumType w:fmt="numberInDash"/>
          <w:cols w:space="720" w:num="1"/>
          <w:docGrid w:linePitch="312" w:charSpace="0"/>
        </w:sectPr>
      </w:pPr>
    </w:p>
    <w:p>
      <w:pPr>
        <w:pStyle w:val="2"/>
        <w:spacing w:before="240" w:after="120"/>
        <w:rPr>
          <w:rFonts w:cs="Times New Roman"/>
          <w:color w:val="000000" w:themeColor="text1"/>
          <w14:textFill>
            <w14:solidFill>
              <w14:schemeClr w14:val="tx1"/>
            </w14:solidFill>
          </w14:textFill>
        </w:rPr>
      </w:pPr>
      <w:bookmarkStart w:id="696" w:name="_Toc47619253"/>
      <w:bookmarkStart w:id="697" w:name="_Toc47619380"/>
      <w:bookmarkStart w:id="698" w:name="_Toc47619486"/>
      <w:bookmarkStart w:id="699" w:name="_Toc47619915"/>
      <w:bookmarkStart w:id="700" w:name="_Toc47620101"/>
      <w:bookmarkStart w:id="701" w:name="_Toc52791969"/>
      <w:bookmarkStart w:id="702" w:name="_Toc58362879"/>
      <w:bookmarkStart w:id="703" w:name="_Toc91163988"/>
      <w:r>
        <w:rPr>
          <w:rFonts w:cs="Times New Roman"/>
          <w:color w:val="000000" w:themeColor="text1"/>
          <w14:textFill>
            <w14:solidFill>
              <w14:schemeClr w14:val="tx1"/>
            </w14:solidFill>
          </w14:textFill>
        </w:rPr>
        <w:t>第八章 环境管理和监测计划</w:t>
      </w:r>
      <w:bookmarkEnd w:id="696"/>
      <w:bookmarkEnd w:id="697"/>
      <w:bookmarkEnd w:id="698"/>
      <w:bookmarkEnd w:id="699"/>
      <w:bookmarkEnd w:id="700"/>
      <w:bookmarkEnd w:id="701"/>
      <w:bookmarkEnd w:id="702"/>
      <w:bookmarkEnd w:id="703"/>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工程分析和环境影响预测评价，本项目建设期和运营期均会对其所在区域环境造成一定的影响，因此建设单位应该在加强环境管理的同时，应定期进行环境监测，以便及时了解该项目在不同时期对周围环境的影响，采取相应的污染防治措施，减轻环境污染。</w:t>
      </w:r>
    </w:p>
    <w:p>
      <w:pPr>
        <w:pStyle w:val="3"/>
        <w:spacing w:before="120" w:after="120"/>
        <w:rPr>
          <w:rFonts w:cs="Times New Roman"/>
          <w:color w:val="000000" w:themeColor="text1"/>
          <w14:textFill>
            <w14:solidFill>
              <w14:schemeClr w14:val="tx1"/>
            </w14:solidFill>
          </w14:textFill>
        </w:rPr>
      </w:pPr>
      <w:bookmarkStart w:id="704" w:name="_Toc47619254"/>
      <w:bookmarkStart w:id="705" w:name="_Toc47619381"/>
      <w:bookmarkStart w:id="706" w:name="_Toc47619487"/>
      <w:bookmarkStart w:id="707" w:name="_Toc47619916"/>
      <w:bookmarkStart w:id="708" w:name="_Toc47620102"/>
      <w:bookmarkStart w:id="709" w:name="_Toc52791970"/>
      <w:bookmarkStart w:id="710" w:name="_Toc58362880"/>
      <w:bookmarkStart w:id="711" w:name="_Toc91163989"/>
      <w:r>
        <w:rPr>
          <w:rFonts w:cs="Times New Roman"/>
          <w:color w:val="000000" w:themeColor="text1"/>
          <w14:textFill>
            <w14:solidFill>
              <w14:schemeClr w14:val="tx1"/>
            </w14:solidFill>
          </w14:textFill>
        </w:rPr>
        <w:t>8.1  环境管理</w:t>
      </w:r>
      <w:bookmarkEnd w:id="704"/>
      <w:bookmarkEnd w:id="705"/>
      <w:bookmarkEnd w:id="706"/>
      <w:bookmarkEnd w:id="707"/>
      <w:bookmarkEnd w:id="708"/>
      <w:bookmarkEnd w:id="709"/>
      <w:bookmarkEnd w:id="710"/>
      <w:bookmarkEnd w:id="711"/>
    </w:p>
    <w:p>
      <w:pPr>
        <w:pStyle w:val="4"/>
        <w:rPr>
          <w:rFonts w:cs="Times New Roman"/>
          <w:color w:val="000000" w:themeColor="text1"/>
          <w14:textFill>
            <w14:solidFill>
              <w14:schemeClr w14:val="tx1"/>
            </w14:solidFill>
          </w14:textFill>
        </w:rPr>
      </w:pPr>
      <w:bookmarkStart w:id="712" w:name="_Toc47619255"/>
      <w:bookmarkStart w:id="713" w:name="_Toc47619917"/>
      <w:bookmarkStart w:id="714" w:name="_Toc47620103"/>
      <w:bookmarkStart w:id="715" w:name="_Toc52791971"/>
      <w:bookmarkStart w:id="716" w:name="_Toc58362881"/>
      <w:bookmarkStart w:id="717" w:name="_Toc91163990"/>
      <w:r>
        <w:rPr>
          <w:rFonts w:cs="Times New Roman"/>
          <w:color w:val="000000" w:themeColor="text1"/>
          <w14:textFill>
            <w14:solidFill>
              <w14:schemeClr w14:val="tx1"/>
            </w14:solidFill>
          </w14:textFill>
        </w:rPr>
        <w:t>8.1.1 环境管理</w:t>
      </w:r>
      <w:bookmarkEnd w:id="712"/>
      <w:bookmarkEnd w:id="713"/>
      <w:bookmarkEnd w:id="714"/>
      <w:bookmarkEnd w:id="715"/>
      <w:bookmarkEnd w:id="716"/>
      <w:r>
        <w:rPr>
          <w:rFonts w:cs="Times New Roman"/>
          <w:color w:val="000000" w:themeColor="text1"/>
          <w14:textFill>
            <w14:solidFill>
              <w14:schemeClr w14:val="tx1"/>
            </w14:solidFill>
          </w14:textFill>
        </w:rPr>
        <w:t>要求</w:t>
      </w:r>
      <w:bookmarkEnd w:id="71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营运期工程环境管理的污染控制重点是提高资源、能源和原辅材料的利用率，控制污染源强，加强污染防治设施的管理力度，控制恶臭、噪声排放和固废处理处置。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工程环境管理主要内容（建议）如表8.1-1。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8.1-1 </w:t>
      </w:r>
      <w:r>
        <w:rPr>
          <w:rFonts w:cs="Times New Roman"/>
          <w:color w:val="000000" w:themeColor="text1"/>
          <w14:textFill>
            <w14:solidFill>
              <w14:schemeClr w14:val="tx1"/>
            </w14:solidFill>
          </w14:textFill>
        </w:rPr>
        <w:t>工程环境管理主要内容</w:t>
      </w:r>
    </w:p>
    <w:p>
      <w:pPr>
        <w:kinsoku w:val="0"/>
        <w:overflowPunct w:val="0"/>
        <w:autoSpaceDE w:val="0"/>
        <w:autoSpaceDN w:val="0"/>
        <w:adjustRightInd w:val="0"/>
        <w:spacing w:before="6" w:line="240" w:lineRule="auto"/>
        <w:ind w:firstLine="0" w:firstLineChars="0"/>
        <w:jc w:val="left"/>
        <w:rPr>
          <w:rFonts w:cs="Times New Roman"/>
          <w:color w:val="000000" w:themeColor="text1"/>
          <w:kern w:val="0"/>
          <w:sz w:val="2"/>
          <w:szCs w:val="2"/>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1926"/>
        <w:gridCol w:w="7175"/>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8"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bookmarkStart w:id="718" w:name="bookmark1"/>
            <w:bookmarkEnd w:id="718"/>
            <w:r>
              <w:rPr>
                <w:color w:val="000000" w:themeColor="text1"/>
                <w:szCs w:val="21"/>
                <w14:textFill>
                  <w14:solidFill>
                    <w14:schemeClr w14:val="tx1"/>
                  </w14:solidFill>
                </w14:textFill>
              </w:rPr>
              <w:t>项目</w:t>
            </w:r>
          </w:p>
        </w:tc>
        <w:tc>
          <w:tcPr>
            <w:tcW w:w="3942"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具体内容</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8"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环境计划管理</w:t>
            </w:r>
          </w:p>
        </w:tc>
        <w:tc>
          <w:tcPr>
            <w:tcW w:w="3942" w:type="pct"/>
            <w:tcBorders>
              <w:top w:val="single" w:color="auto" w:sz="12" w:space="0"/>
            </w:tcBorders>
            <w:vAlign w:val="center"/>
          </w:tcPr>
          <w:p>
            <w:pPr>
              <w:pStyle w:val="332"/>
              <w:jc w:val="both"/>
              <w:rPr>
                <w:color w:val="000000" w:themeColor="text1"/>
                <w14:textFill>
                  <w14:solidFill>
                    <w14:schemeClr w14:val="tx1"/>
                  </w14:solidFill>
                </w14:textFill>
              </w:rPr>
            </w:pPr>
            <w:r>
              <w:rPr>
                <w:color w:val="000000" w:themeColor="text1"/>
                <w:szCs w:val="21"/>
                <w14:textFill>
                  <w14:solidFill>
                    <w14:schemeClr w14:val="tx1"/>
                  </w14:solidFill>
                </w14:textFill>
              </w:rPr>
              <w:t>1、制定企业环境保护计划</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8" w:type="pct"/>
            <w:vMerge w:val="continue"/>
            <w:vAlign w:val="center"/>
          </w:tcPr>
          <w:p>
            <w:pPr>
              <w:pStyle w:val="332"/>
              <w:rPr>
                <w:color w:val="000000" w:themeColor="text1"/>
                <w14:textFill>
                  <w14:solidFill>
                    <w14:schemeClr w14:val="tx1"/>
                  </w14:solidFill>
                </w14:textFill>
              </w:rPr>
            </w:pPr>
          </w:p>
        </w:tc>
        <w:tc>
          <w:tcPr>
            <w:tcW w:w="3942" w:type="pct"/>
            <w:vAlign w:val="center"/>
          </w:tcPr>
          <w:p>
            <w:pPr>
              <w:pStyle w:val="332"/>
              <w:jc w:val="both"/>
              <w:rPr>
                <w:color w:val="000000" w:themeColor="text1"/>
                <w14:textFill>
                  <w14:solidFill>
                    <w14:schemeClr w14:val="tx1"/>
                  </w14:solidFill>
                </w14:textFill>
              </w:rPr>
            </w:pPr>
            <w:r>
              <w:rPr>
                <w:color w:val="000000" w:themeColor="text1"/>
                <w:szCs w:val="21"/>
                <w14:textFill>
                  <w14:solidFill>
                    <w14:schemeClr w14:val="tx1"/>
                  </w14:solidFill>
                </w14:textFill>
              </w:rPr>
              <w:t>2、制定施工期环境保护计划和运营期环境管理计划</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8" w:type="pct"/>
            <w:vMerge w:val="restart"/>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环境质量管理</w:t>
            </w:r>
          </w:p>
        </w:tc>
        <w:tc>
          <w:tcPr>
            <w:tcW w:w="3942" w:type="pct"/>
            <w:vAlign w:val="center"/>
          </w:tcPr>
          <w:p>
            <w:pPr>
              <w:pStyle w:val="332"/>
              <w:jc w:val="both"/>
              <w:rPr>
                <w:color w:val="000000" w:themeColor="text1"/>
                <w14:textFill>
                  <w14:solidFill>
                    <w14:schemeClr w14:val="tx1"/>
                  </w14:solidFill>
                </w14:textFill>
              </w:rPr>
            </w:pPr>
            <w:r>
              <w:rPr>
                <w:color w:val="000000" w:themeColor="text1"/>
                <w:szCs w:val="21"/>
                <w14:textFill>
                  <w14:solidFill>
                    <w14:schemeClr w14:val="tx1"/>
                  </w14:solidFill>
                </w14:textFill>
              </w:rPr>
              <w:t>1、进行企业污染源和环境质量状况的调查</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8" w:type="pct"/>
            <w:vMerge w:val="continue"/>
            <w:vAlign w:val="center"/>
          </w:tcPr>
          <w:p>
            <w:pPr>
              <w:pStyle w:val="332"/>
              <w:rPr>
                <w:color w:val="000000" w:themeColor="text1"/>
                <w14:textFill>
                  <w14:solidFill>
                    <w14:schemeClr w14:val="tx1"/>
                  </w14:solidFill>
                </w14:textFill>
              </w:rPr>
            </w:pPr>
          </w:p>
        </w:tc>
        <w:tc>
          <w:tcPr>
            <w:tcW w:w="3942" w:type="pct"/>
            <w:vAlign w:val="center"/>
          </w:tcPr>
          <w:p>
            <w:pPr>
              <w:pStyle w:val="332"/>
              <w:jc w:val="both"/>
              <w:rPr>
                <w:color w:val="000000" w:themeColor="text1"/>
                <w14:textFill>
                  <w14:solidFill>
                    <w14:schemeClr w14:val="tx1"/>
                  </w14:solidFill>
                </w14:textFill>
              </w:rPr>
            </w:pPr>
            <w:r>
              <w:rPr>
                <w:color w:val="000000" w:themeColor="text1"/>
                <w:szCs w:val="21"/>
                <w14:textFill>
                  <w14:solidFill>
                    <w14:schemeClr w14:val="tx1"/>
                  </w14:solidFill>
                </w14:textFill>
              </w:rPr>
              <w:t>2、建立环境监测制度</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8" w:type="pct"/>
            <w:vMerge w:val="continue"/>
            <w:vAlign w:val="center"/>
          </w:tcPr>
          <w:p>
            <w:pPr>
              <w:pStyle w:val="332"/>
              <w:rPr>
                <w:color w:val="000000" w:themeColor="text1"/>
                <w14:textFill>
                  <w14:solidFill>
                    <w14:schemeClr w14:val="tx1"/>
                  </w14:solidFill>
                </w14:textFill>
              </w:rPr>
            </w:pPr>
          </w:p>
        </w:tc>
        <w:tc>
          <w:tcPr>
            <w:tcW w:w="3942" w:type="pct"/>
            <w:vAlign w:val="center"/>
          </w:tcPr>
          <w:p>
            <w:pPr>
              <w:pStyle w:val="332"/>
              <w:jc w:val="both"/>
              <w:rPr>
                <w:color w:val="000000" w:themeColor="text1"/>
                <w14:textFill>
                  <w14:solidFill>
                    <w14:schemeClr w14:val="tx1"/>
                  </w14:solidFill>
                </w14:textFill>
              </w:rPr>
            </w:pPr>
            <w:r>
              <w:rPr>
                <w:color w:val="000000" w:themeColor="text1"/>
                <w:szCs w:val="21"/>
                <w14:textFill>
                  <w14:solidFill>
                    <w14:schemeClr w14:val="tx1"/>
                  </w14:solidFill>
                </w14:textFill>
              </w:rPr>
              <w:t>3、处理污染事故</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8" w:type="pct"/>
            <w:vMerge w:val="restart"/>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环境技术管理</w:t>
            </w:r>
          </w:p>
        </w:tc>
        <w:tc>
          <w:tcPr>
            <w:tcW w:w="3942" w:type="pct"/>
            <w:vAlign w:val="center"/>
          </w:tcPr>
          <w:p>
            <w:pPr>
              <w:pStyle w:val="332"/>
              <w:jc w:val="both"/>
              <w:rPr>
                <w:color w:val="000000" w:themeColor="text1"/>
                <w14:textFill>
                  <w14:solidFill>
                    <w14:schemeClr w14:val="tx1"/>
                  </w14:solidFill>
                </w14:textFill>
              </w:rPr>
            </w:pPr>
            <w:r>
              <w:rPr>
                <w:color w:val="000000" w:themeColor="text1"/>
                <w:szCs w:val="21"/>
                <w14:textFill>
                  <w14:solidFill>
                    <w14:schemeClr w14:val="tx1"/>
                  </w14:solidFill>
                </w14:textFill>
              </w:rPr>
              <w:t>1、组织制定环境保护技术操作规程</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8" w:type="pct"/>
            <w:vMerge w:val="continue"/>
            <w:vAlign w:val="center"/>
          </w:tcPr>
          <w:p>
            <w:pPr>
              <w:pStyle w:val="332"/>
              <w:rPr>
                <w:color w:val="000000" w:themeColor="text1"/>
                <w14:textFill>
                  <w14:solidFill>
                    <w14:schemeClr w14:val="tx1"/>
                  </w14:solidFill>
                </w14:textFill>
              </w:rPr>
            </w:pPr>
          </w:p>
        </w:tc>
        <w:tc>
          <w:tcPr>
            <w:tcW w:w="3942" w:type="pct"/>
            <w:vAlign w:val="center"/>
          </w:tcPr>
          <w:p>
            <w:pPr>
              <w:pStyle w:val="332"/>
              <w:jc w:val="both"/>
              <w:rPr>
                <w:color w:val="000000" w:themeColor="text1"/>
                <w14:textFill>
                  <w14:solidFill>
                    <w14:schemeClr w14:val="tx1"/>
                  </w14:solidFill>
                </w14:textFill>
              </w:rPr>
            </w:pPr>
            <w:r>
              <w:rPr>
                <w:color w:val="000000" w:themeColor="text1"/>
                <w:szCs w:val="21"/>
                <w14:textFill>
                  <w14:solidFill>
                    <w14:schemeClr w14:val="tx1"/>
                  </w14:solidFill>
                </w14:textFill>
              </w:rPr>
              <w:t>2、开展综合利用，减少三废排放</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8" w:type="pct"/>
            <w:vMerge w:val="continue"/>
            <w:vAlign w:val="center"/>
          </w:tcPr>
          <w:p>
            <w:pPr>
              <w:pStyle w:val="332"/>
              <w:rPr>
                <w:color w:val="000000" w:themeColor="text1"/>
                <w14:textFill>
                  <w14:solidFill>
                    <w14:schemeClr w14:val="tx1"/>
                  </w14:solidFill>
                </w14:textFill>
              </w:rPr>
            </w:pPr>
          </w:p>
        </w:tc>
        <w:tc>
          <w:tcPr>
            <w:tcW w:w="3942" w:type="pct"/>
            <w:vAlign w:val="center"/>
          </w:tcPr>
          <w:p>
            <w:pPr>
              <w:pStyle w:val="332"/>
              <w:jc w:val="both"/>
              <w:rPr>
                <w:color w:val="000000" w:themeColor="text1"/>
                <w14:textFill>
                  <w14:solidFill>
                    <w14:schemeClr w14:val="tx1"/>
                  </w14:solidFill>
                </w14:textFill>
              </w:rPr>
            </w:pPr>
            <w:r>
              <w:rPr>
                <w:color w:val="000000" w:themeColor="text1"/>
                <w:szCs w:val="21"/>
                <w14:textFill>
                  <w14:solidFill>
                    <w14:schemeClr w14:val="tx1"/>
                  </w14:solidFill>
                </w14:textFill>
              </w:rPr>
              <w:t>3、参与编制、组织和实施清洁生产审核</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8" w:type="pct"/>
            <w:vMerge w:val="restart"/>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环保设备管理</w:t>
            </w:r>
          </w:p>
        </w:tc>
        <w:tc>
          <w:tcPr>
            <w:tcW w:w="3942" w:type="pct"/>
            <w:vAlign w:val="center"/>
          </w:tcPr>
          <w:p>
            <w:pPr>
              <w:pStyle w:val="332"/>
              <w:jc w:val="both"/>
              <w:rPr>
                <w:color w:val="000000" w:themeColor="text1"/>
                <w14:textFill>
                  <w14:solidFill>
                    <w14:schemeClr w14:val="tx1"/>
                  </w14:solidFill>
                </w14:textFill>
              </w:rPr>
            </w:pPr>
            <w:r>
              <w:rPr>
                <w:color w:val="000000" w:themeColor="text1"/>
                <w:szCs w:val="21"/>
                <w14:textFill>
                  <w14:solidFill>
                    <w14:schemeClr w14:val="tx1"/>
                  </w14:solidFill>
                </w14:textFill>
              </w:rPr>
              <w:t>1、建立健全环保设备管理制度和管理措施</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8" w:type="pct"/>
            <w:vMerge w:val="continue"/>
            <w:vAlign w:val="center"/>
          </w:tcPr>
          <w:p>
            <w:pPr>
              <w:pStyle w:val="332"/>
              <w:rPr>
                <w:color w:val="000000" w:themeColor="text1"/>
                <w14:textFill>
                  <w14:solidFill>
                    <w14:schemeClr w14:val="tx1"/>
                  </w14:solidFill>
                </w14:textFill>
              </w:rPr>
            </w:pPr>
          </w:p>
        </w:tc>
        <w:tc>
          <w:tcPr>
            <w:tcW w:w="3942" w:type="pct"/>
            <w:vAlign w:val="center"/>
          </w:tcPr>
          <w:p>
            <w:pPr>
              <w:pStyle w:val="332"/>
              <w:jc w:val="both"/>
              <w:rPr>
                <w:color w:val="000000" w:themeColor="text1"/>
                <w14:textFill>
                  <w14:solidFill>
                    <w14:schemeClr w14:val="tx1"/>
                  </w14:solidFill>
                </w14:textFill>
              </w:rPr>
            </w:pPr>
            <w:r>
              <w:rPr>
                <w:color w:val="000000" w:themeColor="text1"/>
                <w:szCs w:val="21"/>
                <w14:textFill>
                  <w14:solidFill>
                    <w14:schemeClr w14:val="tx1"/>
                  </w14:solidFill>
                </w14:textFill>
              </w:rPr>
              <w:t>2、对环保设备定期检查、保养和维护，确保其正常运行</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8" w:type="pct"/>
            <w:vMerge w:val="restart"/>
            <w:vAlign w:val="center"/>
          </w:tcPr>
          <w:p>
            <w:pPr>
              <w:pStyle w:val="332"/>
              <w:rPr>
                <w:color w:val="000000" w:themeColor="text1"/>
                <w14:textFill>
                  <w14:solidFill>
                    <w14:schemeClr w14:val="tx1"/>
                  </w14:solidFill>
                </w14:textFill>
              </w:rPr>
            </w:pPr>
            <w:r>
              <w:rPr>
                <w:color w:val="000000" w:themeColor="text1"/>
                <w:szCs w:val="21"/>
                <w14:textFill>
                  <w14:solidFill>
                    <w14:schemeClr w14:val="tx1"/>
                  </w14:solidFill>
                </w14:textFill>
              </w:rPr>
              <w:t>环保宣传教育</w:t>
            </w:r>
          </w:p>
        </w:tc>
        <w:tc>
          <w:tcPr>
            <w:tcW w:w="3942" w:type="pct"/>
            <w:vAlign w:val="center"/>
          </w:tcPr>
          <w:p>
            <w:pPr>
              <w:pStyle w:val="332"/>
              <w:jc w:val="both"/>
              <w:rPr>
                <w:color w:val="000000" w:themeColor="text1"/>
                <w14:textFill>
                  <w14:solidFill>
                    <w14:schemeClr w14:val="tx1"/>
                  </w14:solidFill>
                </w14:textFill>
              </w:rPr>
            </w:pPr>
            <w:r>
              <w:rPr>
                <w:color w:val="000000" w:themeColor="text1"/>
                <w:szCs w:val="21"/>
                <w14:textFill>
                  <w14:solidFill>
                    <w14:schemeClr w14:val="tx1"/>
                  </w14:solidFill>
                </w14:textFill>
              </w:rPr>
              <w:t>1、宣传环保法律、法规和方针政策，严格执行环保法规和标准</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8" w:type="pct"/>
            <w:vMerge w:val="continue"/>
            <w:vAlign w:val="center"/>
          </w:tcPr>
          <w:p>
            <w:pPr>
              <w:pStyle w:val="332"/>
              <w:rPr>
                <w:color w:val="000000" w:themeColor="text1"/>
                <w14:textFill>
                  <w14:solidFill>
                    <w14:schemeClr w14:val="tx1"/>
                  </w14:solidFill>
                </w14:textFill>
              </w:rPr>
            </w:pPr>
          </w:p>
        </w:tc>
        <w:tc>
          <w:tcPr>
            <w:tcW w:w="3942" w:type="pct"/>
            <w:vAlign w:val="center"/>
          </w:tcPr>
          <w:p>
            <w:pPr>
              <w:pStyle w:val="332"/>
              <w:jc w:val="both"/>
              <w:rPr>
                <w:color w:val="000000" w:themeColor="text1"/>
                <w14:textFill>
                  <w14:solidFill>
                    <w14:schemeClr w14:val="tx1"/>
                  </w14:solidFill>
                </w14:textFill>
              </w:rPr>
            </w:pPr>
            <w:r>
              <w:rPr>
                <w:color w:val="000000" w:themeColor="text1"/>
                <w:szCs w:val="21"/>
                <w14:textFill>
                  <w14:solidFill>
                    <w14:schemeClr w14:val="tx1"/>
                  </w14:solidFill>
                </w14:textFill>
              </w:rPr>
              <w:t>2、组织企业环保专业技术培训，提高人员业务水平</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58" w:type="pct"/>
            <w:vMerge w:val="continue"/>
            <w:vAlign w:val="center"/>
          </w:tcPr>
          <w:p>
            <w:pPr>
              <w:pStyle w:val="332"/>
              <w:rPr>
                <w:color w:val="000000" w:themeColor="text1"/>
                <w14:textFill>
                  <w14:solidFill>
                    <w14:schemeClr w14:val="tx1"/>
                  </w14:solidFill>
                </w14:textFill>
              </w:rPr>
            </w:pPr>
          </w:p>
        </w:tc>
        <w:tc>
          <w:tcPr>
            <w:tcW w:w="3942" w:type="pct"/>
            <w:vAlign w:val="center"/>
          </w:tcPr>
          <w:p>
            <w:pPr>
              <w:pStyle w:val="332"/>
              <w:jc w:val="both"/>
              <w:rPr>
                <w:color w:val="000000" w:themeColor="text1"/>
                <w14:textFill>
                  <w14:solidFill>
                    <w14:schemeClr w14:val="tx1"/>
                  </w14:solidFill>
                </w14:textFill>
              </w:rPr>
            </w:pPr>
            <w:r>
              <w:rPr>
                <w:color w:val="000000" w:themeColor="text1"/>
                <w:szCs w:val="21"/>
                <w14:textFill>
                  <w14:solidFill>
                    <w14:schemeClr w14:val="tx1"/>
                  </w14:solidFill>
                </w14:textFill>
              </w:rPr>
              <w:t>3、提高企业职工的环保意识</w:t>
            </w:r>
          </w:p>
        </w:tc>
      </w:tr>
    </w:tbl>
    <w:p>
      <w:pPr>
        <w:pStyle w:val="4"/>
        <w:rPr>
          <w:rFonts w:cs="Times New Roman"/>
          <w:color w:val="000000" w:themeColor="text1"/>
          <w14:textFill>
            <w14:solidFill>
              <w14:schemeClr w14:val="tx1"/>
            </w14:solidFill>
          </w14:textFill>
        </w:rPr>
      </w:pPr>
      <w:bookmarkStart w:id="719" w:name="_Toc52791972"/>
      <w:bookmarkStart w:id="720" w:name="_Toc58362882"/>
      <w:bookmarkStart w:id="721" w:name="_Toc47620104"/>
      <w:bookmarkStart w:id="722" w:name="_Toc47619256"/>
      <w:bookmarkStart w:id="723" w:name="_Toc47619918"/>
      <w:bookmarkStart w:id="724" w:name="_Toc91163991"/>
      <w:r>
        <w:rPr>
          <w:rFonts w:cs="Times New Roman"/>
          <w:color w:val="000000" w:themeColor="text1"/>
          <w14:textFill>
            <w14:solidFill>
              <w14:schemeClr w14:val="tx1"/>
            </w14:solidFill>
          </w14:textFill>
        </w:rPr>
        <w:t>8.1.2</w:t>
      </w:r>
      <w:bookmarkEnd w:id="719"/>
      <w:bookmarkEnd w:id="720"/>
      <w:bookmarkEnd w:id="721"/>
      <w:bookmarkEnd w:id="722"/>
      <w:bookmarkEnd w:id="723"/>
      <w:r>
        <w:rPr>
          <w:rFonts w:cs="Times New Roman"/>
          <w:color w:val="000000" w:themeColor="text1"/>
          <w14:textFill>
            <w14:solidFill>
              <w14:schemeClr w14:val="tx1"/>
            </w14:solidFill>
          </w14:textFill>
        </w:rPr>
        <w:t>污染物排放清单</w:t>
      </w:r>
      <w:bookmarkEnd w:id="724"/>
    </w:p>
    <w:p>
      <w:pPr>
        <w:ind w:firstLine="480"/>
        <w:rPr>
          <w:rFonts w:cs="Times New Roman"/>
          <w:color w:val="000000" w:themeColor="text1"/>
          <w14:textFill>
            <w14:solidFill>
              <w14:schemeClr w14:val="tx1"/>
            </w14:solidFill>
          </w14:textFill>
        </w:rPr>
        <w:sectPr>
          <w:pgSz w:w="11907" w:h="16840"/>
          <w:pgMar w:top="1531" w:right="1418" w:bottom="1531" w:left="1418" w:header="851" w:footer="992" w:gutter="0"/>
          <w:pgNumType w:fmt="numberInDash"/>
          <w:cols w:space="720" w:num="1"/>
          <w:docGrid w:linePitch="312" w:charSpace="0"/>
        </w:sectPr>
      </w:pPr>
      <w:r>
        <w:rPr>
          <w:rFonts w:cs="Times New Roman"/>
          <w:color w:val="000000" w:themeColor="text1"/>
          <w14:textFill>
            <w14:solidFill>
              <w14:schemeClr w14:val="tx1"/>
            </w14:solidFill>
          </w14:textFill>
        </w:rPr>
        <w:t>本项目排放的污染物种类、排放浓度，拟采取的环境保护措施及污染物排放要求等情况见表8.1-2。</w:t>
      </w:r>
    </w:p>
    <w:p>
      <w:pPr>
        <w:kinsoku w:val="0"/>
        <w:overflowPunct w:val="0"/>
        <w:autoSpaceDE w:val="0"/>
        <w:autoSpaceDN w:val="0"/>
        <w:adjustRightInd w:val="0"/>
        <w:spacing w:before="7" w:line="240" w:lineRule="auto"/>
        <w:ind w:firstLine="0" w:firstLineChars="0"/>
        <w:jc w:val="left"/>
        <w:rPr>
          <w:rFonts w:cs="Times New Roman"/>
          <w:color w:val="000000" w:themeColor="text1"/>
          <w:kern w:val="0"/>
          <w:sz w:val="6"/>
          <w:szCs w:val="6"/>
          <w14:textFill>
            <w14:solidFill>
              <w14:schemeClr w14:val="tx1"/>
            </w14:solidFill>
          </w14:textFill>
        </w:rPr>
      </w:pPr>
      <w:bookmarkStart w:id="725" w:name="_Toc52791973"/>
      <w:bookmarkStart w:id="726" w:name="_Toc58362883"/>
      <w:bookmarkStart w:id="727" w:name="_Toc47620105"/>
      <w:bookmarkStart w:id="728" w:name="_Toc47619919"/>
      <w:bookmarkStart w:id="729" w:name="_Toc47619257"/>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54"/>
        <w:gridCol w:w="837"/>
        <w:gridCol w:w="6"/>
        <w:gridCol w:w="1025"/>
        <w:gridCol w:w="2974"/>
        <w:gridCol w:w="1281"/>
        <w:gridCol w:w="1033"/>
        <w:gridCol w:w="1014"/>
        <w:gridCol w:w="845"/>
        <w:gridCol w:w="2270"/>
        <w:gridCol w:w="1240"/>
        <w:gridCol w:w="7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01" w:type="pct"/>
            <w:vMerge w:val="restar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类别</w:t>
            </w:r>
          </w:p>
        </w:tc>
        <w:tc>
          <w:tcPr>
            <w:tcW w:w="305" w:type="pct"/>
            <w:gridSpan w:val="2"/>
            <w:vMerge w:val="restar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排放源</w:t>
            </w:r>
          </w:p>
        </w:tc>
        <w:tc>
          <w:tcPr>
            <w:tcW w:w="371" w:type="pct"/>
            <w:vMerge w:val="restar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1077" w:type="pct"/>
            <w:vMerge w:val="restar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环保措施</w:t>
            </w:r>
          </w:p>
        </w:tc>
        <w:tc>
          <w:tcPr>
            <w:tcW w:w="464" w:type="pct"/>
            <w:vMerge w:val="restart"/>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运行参数</w:t>
            </w:r>
          </w:p>
        </w:tc>
        <w:tc>
          <w:tcPr>
            <w:tcW w:w="741" w:type="pct"/>
            <w:gridSpan w:val="2"/>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排放情况</w:t>
            </w:r>
          </w:p>
        </w:tc>
        <w:tc>
          <w:tcPr>
            <w:tcW w:w="306" w:type="pct"/>
            <w:vMerge w:val="restart"/>
            <w:tcBorders>
              <w:top w:val="single" w:color="auto" w:sz="12" w:space="0"/>
              <w:bottom w:val="single" w:color="auto" w:sz="4" w:space="0"/>
            </w:tcBorders>
            <w:vAlign w:val="center"/>
          </w:tcPr>
          <w:p>
            <w:pPr>
              <w:pStyle w:val="332"/>
              <w:rPr>
                <w:color w:val="000000" w:themeColor="text1"/>
                <w:spacing w:val="-103"/>
                <w14:textFill>
                  <w14:solidFill>
                    <w14:schemeClr w14:val="tx1"/>
                  </w14:solidFill>
                </w14:textFill>
              </w:rPr>
            </w:pPr>
            <w:r>
              <w:rPr>
                <w:color w:val="000000" w:themeColor="text1"/>
                <w14:textFill>
                  <w14:solidFill>
                    <w14:schemeClr w14:val="tx1"/>
                  </w14:solidFill>
                </w14:textFill>
              </w:rPr>
              <w:t>总量</w:t>
            </w:r>
            <w:r>
              <w:rPr>
                <w:color w:val="000000" w:themeColor="text1"/>
                <w:spacing w:val="-103"/>
                <w14:textFill>
                  <w14:solidFill>
                    <w14:schemeClr w14:val="tx1"/>
                  </w14:solidFill>
                </w14:textFill>
              </w:rPr>
              <w:t xml:space="preserve"> </w:t>
            </w:r>
          </w:p>
          <w:p>
            <w:pPr>
              <w:pStyle w:val="332"/>
              <w:rPr>
                <w:color w:val="000000" w:themeColor="text1"/>
                <w14:textFill>
                  <w14:solidFill>
                    <w14:schemeClr w14:val="tx1"/>
                  </w14:solidFill>
                </w14:textFill>
              </w:rPr>
            </w:pPr>
            <w:r>
              <w:rPr>
                <w:color w:val="000000" w:themeColor="text1"/>
                <w14:textFill>
                  <w14:solidFill>
                    <w14:schemeClr w14:val="tx1"/>
                  </w14:solidFill>
                </w14:textFill>
              </w:rPr>
              <w:t>指标</w:t>
            </w:r>
          </w:p>
        </w:tc>
        <w:tc>
          <w:tcPr>
            <w:tcW w:w="1271" w:type="pct"/>
            <w:gridSpan w:val="2"/>
            <w:tcBorders>
              <w:top w:val="single" w:color="auto" w:sz="12" w:space="0"/>
              <w:bottom w:val="single" w:color="auto" w:sz="4"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排放标准</w:t>
            </w:r>
          </w:p>
        </w:tc>
        <w:tc>
          <w:tcPr>
            <w:tcW w:w="264" w:type="pct"/>
            <w:vMerge w:val="restar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排污</w:t>
            </w:r>
            <w:r>
              <w:rPr>
                <w:color w:val="000000" w:themeColor="text1"/>
                <w:spacing w:val="-103"/>
                <w14:textFill>
                  <w14:solidFill>
                    <w14:schemeClr w14:val="tx1"/>
                  </w14:solidFill>
                </w14:textFill>
              </w:rPr>
              <w:t xml:space="preserve"> </w:t>
            </w:r>
            <w:r>
              <w:rPr>
                <w:color w:val="000000" w:themeColor="text1"/>
                <w14:textFill>
                  <w14:solidFill>
                    <w14:schemeClr w14:val="tx1"/>
                  </w14:solidFill>
                </w14:textFill>
              </w:rPr>
              <w:t>口设</w:t>
            </w:r>
            <w:r>
              <w:rPr>
                <w:color w:val="000000" w:themeColor="text1"/>
                <w:spacing w:val="-103"/>
                <w14:textFill>
                  <w14:solidFill>
                    <w14:schemeClr w14:val="tx1"/>
                  </w14:solidFill>
                </w14:textFill>
              </w:rPr>
              <w:t xml:space="preserve"> </w:t>
            </w:r>
            <w:r>
              <w:rPr>
                <w:color w:val="000000" w:themeColor="text1"/>
                <w14:textFill>
                  <w14:solidFill>
                    <w14:schemeClr w14:val="tx1"/>
                  </w14:solidFill>
                </w14:textFill>
              </w:rPr>
              <w:t>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01" w:type="pct"/>
            <w:vMerge w:val="continue"/>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p>
        </w:tc>
        <w:tc>
          <w:tcPr>
            <w:tcW w:w="305" w:type="pct"/>
            <w:gridSpan w:val="2"/>
            <w:vMerge w:val="continue"/>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p>
        </w:tc>
        <w:tc>
          <w:tcPr>
            <w:tcW w:w="371" w:type="pct"/>
            <w:vMerge w:val="continue"/>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p>
        </w:tc>
        <w:tc>
          <w:tcPr>
            <w:tcW w:w="1077" w:type="pct"/>
            <w:vMerge w:val="continue"/>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p>
        </w:tc>
        <w:tc>
          <w:tcPr>
            <w:tcW w:w="464" w:type="pct"/>
            <w:vMerge w:val="continue"/>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p>
        </w:tc>
        <w:tc>
          <w:tcPr>
            <w:tcW w:w="374"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排放浓度mg/m</w:t>
            </w:r>
            <w:r>
              <w:rPr>
                <w:color w:val="000000" w:themeColor="text1"/>
                <w:position w:val="10"/>
                <w:sz w:val="14"/>
                <w:szCs w:val="14"/>
                <w14:textFill>
                  <w14:solidFill>
                    <w14:schemeClr w14:val="tx1"/>
                  </w14:solidFill>
                </w14:textFill>
              </w:rPr>
              <w:t>3</w:t>
            </w:r>
          </w:p>
        </w:tc>
        <w:tc>
          <w:tcPr>
            <w:tcW w:w="367"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排放量</w:t>
            </w:r>
          </w:p>
          <w:p>
            <w:pPr>
              <w:pStyle w:val="332"/>
              <w:rPr>
                <w:color w:val="000000" w:themeColor="text1"/>
                <w14:textFill>
                  <w14:solidFill>
                    <w14:schemeClr w14:val="tx1"/>
                  </w14:solidFill>
                </w14:textFill>
              </w:rPr>
            </w:pPr>
            <w:r>
              <w:rPr>
                <w:color w:val="000000" w:themeColor="text1"/>
                <w:spacing w:val="-2"/>
                <w14:textFill>
                  <w14:solidFill>
                    <w14:schemeClr w14:val="tx1"/>
                  </w14:solidFill>
                </w14:textFill>
              </w:rPr>
              <w:t>t/a</w:t>
            </w:r>
          </w:p>
        </w:tc>
        <w:tc>
          <w:tcPr>
            <w:tcW w:w="306" w:type="pct"/>
            <w:vMerge w:val="continue"/>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p>
        </w:tc>
        <w:tc>
          <w:tcPr>
            <w:tcW w:w="822"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标准</w:t>
            </w:r>
          </w:p>
        </w:tc>
        <w:tc>
          <w:tcPr>
            <w:tcW w:w="449" w:type="pct"/>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标准值</w:t>
            </w:r>
          </w:p>
          <w:p>
            <w:pPr>
              <w:pStyle w:val="332"/>
              <w:rPr>
                <w:color w:val="000000" w:themeColor="text1"/>
                <w14:textFill>
                  <w14:solidFill>
                    <w14:schemeClr w14:val="tx1"/>
                  </w14:solidFill>
                </w14:textFill>
              </w:rPr>
            </w:pPr>
            <w:r>
              <w:rPr>
                <w:color w:val="000000" w:themeColor="text1"/>
                <w14:textFill>
                  <w14:solidFill>
                    <w14:schemeClr w14:val="tx1"/>
                  </w14:solidFill>
                </w14:textFill>
              </w:rPr>
              <w:t>mg/m</w:t>
            </w:r>
            <w:r>
              <w:rPr>
                <w:color w:val="000000" w:themeColor="text1"/>
                <w:position w:val="10"/>
                <w:sz w:val="14"/>
                <w:szCs w:val="14"/>
                <w14:textFill>
                  <w14:solidFill>
                    <w14:schemeClr w14:val="tx1"/>
                  </w14:solidFill>
                </w14:textFill>
              </w:rPr>
              <w:t>3</w:t>
            </w:r>
          </w:p>
        </w:tc>
        <w:tc>
          <w:tcPr>
            <w:tcW w:w="264" w:type="pct"/>
            <w:vMerge w:val="continue"/>
            <w:tcBorders>
              <w:top w:val="single" w:color="auto" w:sz="4" w:space="0"/>
              <w:bottom w:val="single" w:color="auto" w:sz="12" w:space="0"/>
            </w:tcBorders>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大气污染物</w:t>
            </w:r>
          </w:p>
        </w:tc>
        <w:tc>
          <w:tcPr>
            <w:tcW w:w="305" w:type="pct"/>
            <w:gridSpan w:val="2"/>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沼气发电机</w:t>
            </w:r>
          </w:p>
        </w:tc>
        <w:tc>
          <w:tcPr>
            <w:tcW w:w="371"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烟尘</w:t>
            </w:r>
          </w:p>
        </w:tc>
        <w:tc>
          <w:tcPr>
            <w:tcW w:w="1077" w:type="pct"/>
            <w:vMerge w:val="restart"/>
            <w:tcBorders>
              <w:top w:val="single" w:color="auto" w:sz="1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燃用脱水、脱硫净化后的沼气；废气经</w:t>
            </w:r>
            <w:r>
              <w:rPr>
                <w:color w:val="000000" w:themeColor="text1"/>
                <w:spacing w:val="-52"/>
                <w14:textFill>
                  <w14:solidFill>
                    <w14:schemeClr w14:val="tx1"/>
                  </w14:solidFill>
                </w14:textFill>
              </w:rPr>
              <w:t xml:space="preserve"> </w:t>
            </w:r>
            <w:r>
              <w:rPr>
                <w:color w:val="000000" w:themeColor="text1"/>
                <w14:textFill>
                  <w14:solidFill>
                    <w14:schemeClr w14:val="tx1"/>
                  </w14:solidFill>
                </w14:textFill>
              </w:rPr>
              <w:t>15m高排气筒排出</w:t>
            </w:r>
          </w:p>
        </w:tc>
        <w:tc>
          <w:tcPr>
            <w:tcW w:w="464"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年运行</w:t>
            </w:r>
            <w:r>
              <w:rPr>
                <w:color w:val="000000" w:themeColor="text1"/>
                <w:spacing w:val="-12"/>
                <w14:textFill>
                  <w14:solidFill>
                    <w14:schemeClr w14:val="tx1"/>
                  </w14:solidFill>
                </w14:textFill>
              </w:rPr>
              <w:t>2400h，烟气</w:t>
            </w:r>
            <w:r>
              <w:rPr>
                <w:color w:val="000000" w:themeColor="text1"/>
                <w14:textFill>
                  <w14:solidFill>
                    <w14:schemeClr w14:val="tx1"/>
                  </w14:solidFill>
                </w14:textFill>
              </w:rPr>
              <w:t>量945.25m</w:t>
            </w:r>
            <w:r>
              <w:rPr>
                <w:color w:val="000000" w:themeColor="text1"/>
                <w:position w:val="10"/>
                <w:sz w:val="14"/>
                <w:szCs w:val="14"/>
                <w14:textFill>
                  <w14:solidFill>
                    <w14:schemeClr w14:val="tx1"/>
                  </w14:solidFill>
                </w14:textFill>
              </w:rPr>
              <w:t>3</w:t>
            </w:r>
            <w:r>
              <w:rPr>
                <w:color w:val="000000" w:themeColor="text1"/>
                <w14:textFill>
                  <w14:solidFill>
                    <w14:schemeClr w14:val="tx1"/>
                  </w14:solidFill>
                </w14:textFill>
              </w:rPr>
              <w:t>/h</w:t>
            </w:r>
          </w:p>
        </w:tc>
        <w:tc>
          <w:tcPr>
            <w:tcW w:w="374"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w:t>
            </w:r>
          </w:p>
        </w:tc>
        <w:tc>
          <w:tcPr>
            <w:tcW w:w="367"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0.0015</w:t>
            </w:r>
          </w:p>
        </w:tc>
        <w:tc>
          <w:tcPr>
            <w:tcW w:w="306" w:type="pct"/>
            <w:tcBorders>
              <w:top w:val="single" w:color="auto" w:sz="12" w:space="0"/>
            </w:tcBorders>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822"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《大气污染物综合排放标</w:t>
            </w:r>
            <w:r>
              <w:rPr>
                <w:color w:val="000000" w:themeColor="text1"/>
                <w:spacing w:val="-8"/>
                <w14:textFill>
                  <w14:solidFill>
                    <w14:schemeClr w14:val="tx1"/>
                  </w14:solidFill>
                </w14:textFill>
              </w:rPr>
              <w:t>准》（GB16297-1996）表</w:t>
            </w:r>
            <w:r>
              <w:rPr>
                <w:color w:val="000000" w:themeColor="text1"/>
                <w14:textFill>
                  <w14:solidFill>
                    <w14:schemeClr w14:val="tx1"/>
                  </w14:solidFill>
                </w14:textFill>
              </w:rPr>
              <w:t>2</w:t>
            </w:r>
            <w:r>
              <w:rPr>
                <w:color w:val="000000" w:themeColor="text1"/>
                <w:spacing w:val="-2"/>
                <w14:textFill>
                  <w14:solidFill>
                    <w14:schemeClr w14:val="tx1"/>
                  </w14:solidFill>
                </w14:textFill>
              </w:rPr>
              <w:t>中有组织SO</w:t>
            </w:r>
            <w:r>
              <w:rPr>
                <w:color w:val="000000" w:themeColor="text1"/>
                <w:spacing w:val="-2"/>
                <w:vertAlign w:val="subscript"/>
                <w14:textFill>
                  <w14:solidFill>
                    <w14:schemeClr w14:val="tx1"/>
                  </w14:solidFill>
                </w14:textFill>
              </w:rPr>
              <w:t>2</w:t>
            </w:r>
            <w:r>
              <w:rPr>
                <w:color w:val="000000" w:themeColor="text1"/>
                <w:spacing w:val="-2"/>
                <w14:textFill>
                  <w14:solidFill>
                    <w14:schemeClr w14:val="tx1"/>
                  </w14:solidFill>
                </w14:textFill>
              </w:rPr>
              <w:t>、NOx</w:t>
            </w:r>
            <w:r>
              <w:rPr>
                <w:color w:val="000000" w:themeColor="text1"/>
                <w14:textFill>
                  <w14:solidFill>
                    <w14:schemeClr w14:val="tx1"/>
                  </w14:solidFill>
                </w14:textFill>
              </w:rPr>
              <w:t>二级标准</w:t>
            </w:r>
          </w:p>
        </w:tc>
        <w:tc>
          <w:tcPr>
            <w:tcW w:w="449" w:type="pc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120</w:t>
            </w:r>
          </w:p>
        </w:tc>
        <w:tc>
          <w:tcPr>
            <w:tcW w:w="264"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15m</w:t>
            </w:r>
          </w:p>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p>
            <w:pPr>
              <w:pStyle w:val="332"/>
              <w:rPr>
                <w:color w:val="000000" w:themeColor="text1"/>
                <w14:textFill>
                  <w14:solidFill>
                    <w14:schemeClr w14:val="tx1"/>
                  </w14:solidFill>
                </w14:textFill>
              </w:rPr>
            </w:pPr>
            <w:r>
              <w:rPr>
                <w:color w:val="000000" w:themeColor="text1"/>
                <w14:textFill>
                  <w14:solidFill>
                    <w14:schemeClr w14:val="tx1"/>
                  </w14:solidFill>
                </w14:textFill>
              </w:rPr>
              <w:t>0.15m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14:textFill>
                  <w14:solidFill>
                    <w14:schemeClr w14:val="tx1"/>
                  </w14:solidFill>
                </w14:textFill>
              </w:rPr>
            </w:pPr>
          </w:p>
        </w:tc>
        <w:tc>
          <w:tcPr>
            <w:tcW w:w="305" w:type="pct"/>
            <w:gridSpan w:val="2"/>
            <w:vMerge w:val="continue"/>
            <w:vAlign w:val="center"/>
          </w:tcPr>
          <w:p>
            <w:pPr>
              <w:pStyle w:val="332"/>
              <w:rPr>
                <w:color w:val="000000" w:themeColor="text1"/>
                <w14:textFill>
                  <w14:solidFill>
                    <w14:schemeClr w14:val="tx1"/>
                  </w14:solidFill>
                </w14:textFill>
              </w:rPr>
            </w:pPr>
          </w:p>
        </w:tc>
        <w:tc>
          <w:tcPr>
            <w:tcW w:w="3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position w:val="-3"/>
                <w:sz w:val="14"/>
                <w:szCs w:val="14"/>
                <w14:textFill>
                  <w14:solidFill>
                    <w14:schemeClr w14:val="tx1"/>
                  </w14:solidFill>
                </w14:textFill>
              </w:rPr>
              <w:t>2</w:t>
            </w:r>
          </w:p>
        </w:tc>
        <w:tc>
          <w:tcPr>
            <w:tcW w:w="1077" w:type="pct"/>
            <w:vMerge w:val="continue"/>
            <w:vAlign w:val="center"/>
          </w:tcPr>
          <w:p>
            <w:pPr>
              <w:pStyle w:val="332"/>
              <w:rPr>
                <w:color w:val="000000" w:themeColor="text1"/>
                <w14:textFill>
                  <w14:solidFill>
                    <w14:schemeClr w14:val="tx1"/>
                  </w14:solidFill>
                </w14:textFill>
              </w:rPr>
            </w:pPr>
          </w:p>
        </w:tc>
        <w:tc>
          <w:tcPr>
            <w:tcW w:w="464" w:type="pct"/>
            <w:vMerge w:val="continue"/>
            <w:vAlign w:val="center"/>
          </w:tcPr>
          <w:p>
            <w:pPr>
              <w:pStyle w:val="332"/>
              <w:rPr>
                <w:color w:val="000000" w:themeColor="text1"/>
                <w14:textFill>
                  <w14:solidFill>
                    <w14:schemeClr w14:val="tx1"/>
                  </w14:solidFill>
                </w14:textFill>
              </w:rPr>
            </w:pPr>
          </w:p>
        </w:tc>
        <w:tc>
          <w:tcPr>
            <w:tcW w:w="3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4.72</w:t>
            </w:r>
          </w:p>
        </w:tc>
        <w:tc>
          <w:tcPr>
            <w:tcW w:w="36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0.0014</w:t>
            </w:r>
          </w:p>
        </w:tc>
        <w:tc>
          <w:tcPr>
            <w:tcW w:w="306"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822" w:type="pct"/>
            <w:vMerge w:val="continue"/>
            <w:vAlign w:val="center"/>
          </w:tcPr>
          <w:p>
            <w:pPr>
              <w:pStyle w:val="332"/>
              <w:rPr>
                <w:color w:val="000000" w:themeColor="text1"/>
                <w14:textFill>
                  <w14:solidFill>
                    <w14:schemeClr w14:val="tx1"/>
                  </w14:solidFill>
                </w14:textFill>
              </w:rPr>
            </w:pPr>
          </w:p>
        </w:tc>
        <w:tc>
          <w:tcPr>
            <w:tcW w:w="44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550</w:t>
            </w:r>
          </w:p>
        </w:tc>
        <w:tc>
          <w:tcPr>
            <w:tcW w:w="264"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14:textFill>
                  <w14:solidFill>
                    <w14:schemeClr w14:val="tx1"/>
                  </w14:solidFill>
                </w14:textFill>
              </w:rPr>
            </w:pPr>
          </w:p>
        </w:tc>
        <w:tc>
          <w:tcPr>
            <w:tcW w:w="305" w:type="pct"/>
            <w:gridSpan w:val="2"/>
            <w:vMerge w:val="continue"/>
            <w:vAlign w:val="center"/>
          </w:tcPr>
          <w:p>
            <w:pPr>
              <w:pStyle w:val="332"/>
              <w:rPr>
                <w:color w:val="000000" w:themeColor="text1"/>
                <w14:textFill>
                  <w14:solidFill>
                    <w14:schemeClr w14:val="tx1"/>
                  </w14:solidFill>
                </w14:textFill>
              </w:rPr>
            </w:pPr>
          </w:p>
        </w:tc>
        <w:tc>
          <w:tcPr>
            <w:tcW w:w="3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position w:val="-3"/>
                <w:sz w:val="14"/>
                <w:szCs w:val="14"/>
                <w14:textFill>
                  <w14:solidFill>
                    <w14:schemeClr w14:val="tx1"/>
                  </w14:solidFill>
                </w14:textFill>
              </w:rPr>
              <w:t>X</w:t>
            </w:r>
          </w:p>
        </w:tc>
        <w:tc>
          <w:tcPr>
            <w:tcW w:w="1077" w:type="pct"/>
            <w:vMerge w:val="continue"/>
            <w:vAlign w:val="center"/>
          </w:tcPr>
          <w:p>
            <w:pPr>
              <w:pStyle w:val="332"/>
              <w:rPr>
                <w:color w:val="000000" w:themeColor="text1"/>
                <w14:textFill>
                  <w14:solidFill>
                    <w14:schemeClr w14:val="tx1"/>
                  </w14:solidFill>
                </w14:textFill>
              </w:rPr>
            </w:pPr>
          </w:p>
        </w:tc>
        <w:tc>
          <w:tcPr>
            <w:tcW w:w="464" w:type="pct"/>
            <w:vMerge w:val="continue"/>
            <w:vAlign w:val="center"/>
          </w:tcPr>
          <w:p>
            <w:pPr>
              <w:pStyle w:val="332"/>
              <w:rPr>
                <w:color w:val="000000" w:themeColor="text1"/>
                <w14:textFill>
                  <w14:solidFill>
                    <w14:schemeClr w14:val="tx1"/>
                  </w14:solidFill>
                </w14:textFill>
              </w:rPr>
            </w:pPr>
          </w:p>
        </w:tc>
        <w:tc>
          <w:tcPr>
            <w:tcW w:w="3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148</w:t>
            </w:r>
          </w:p>
        </w:tc>
        <w:tc>
          <w:tcPr>
            <w:tcW w:w="36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0.045</w:t>
            </w:r>
          </w:p>
        </w:tc>
        <w:tc>
          <w:tcPr>
            <w:tcW w:w="306" w:type="pct"/>
            <w:vAlign w:val="center"/>
          </w:tcPr>
          <w:p>
            <w:pPr>
              <w:pStyle w:val="332"/>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tc>
        <w:tc>
          <w:tcPr>
            <w:tcW w:w="822" w:type="pct"/>
            <w:vAlign w:val="center"/>
          </w:tcPr>
          <w:p>
            <w:pPr>
              <w:pStyle w:val="332"/>
              <w:jc w:val="both"/>
              <w:rPr>
                <w:color w:val="000000" w:themeColor="text1"/>
                <w14:textFill>
                  <w14:solidFill>
                    <w14:schemeClr w14:val="tx1"/>
                  </w14:solidFill>
                </w14:textFill>
              </w:rPr>
            </w:pPr>
            <w:r>
              <w:rPr>
                <w:bCs/>
                <w:color w:val="000000" w:themeColor="text1"/>
                <w14:textFill>
                  <w14:solidFill>
                    <w14:schemeClr w14:val="tx1"/>
                  </w14:solidFill>
                </w14:textFill>
              </w:rPr>
              <w:t>《车用压燃式、气体燃料点燃式发动机与汽车排气污染物排放限值及测量方法》</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中国Ⅲ、Ⅳ、Ⅴ阶段</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GB17691—2005中Ⅴ阶段</w:t>
            </w:r>
          </w:p>
        </w:tc>
        <w:tc>
          <w:tcPr>
            <w:tcW w:w="44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2.0 g/kwh</w:t>
            </w:r>
          </w:p>
        </w:tc>
        <w:tc>
          <w:tcPr>
            <w:tcW w:w="264"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14:textFill>
                  <w14:solidFill>
                    <w14:schemeClr w14:val="tx1"/>
                  </w14:solidFill>
                </w14:textFill>
              </w:rPr>
            </w:pPr>
          </w:p>
        </w:tc>
        <w:tc>
          <w:tcPr>
            <w:tcW w:w="305" w:type="pct"/>
            <w:gridSpan w:val="2"/>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无害处理设备</w:t>
            </w:r>
          </w:p>
        </w:tc>
        <w:tc>
          <w:tcPr>
            <w:tcW w:w="3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077" w:type="pct"/>
            <w:vMerge w:val="restar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经自带尾气喷淋处理一体设备处理后由15m高排气筒排出，去除效率</w:t>
            </w:r>
            <w:r>
              <w:rPr>
                <w:color w:val="000000" w:themeColor="text1"/>
                <w:spacing w:val="-52"/>
                <w14:textFill>
                  <w14:solidFill>
                    <w14:schemeClr w14:val="tx1"/>
                  </w14:solidFill>
                </w14:textFill>
              </w:rPr>
              <w:t xml:space="preserve"> </w:t>
            </w:r>
            <w:r>
              <w:rPr>
                <w:color w:val="000000" w:themeColor="text1"/>
                <w14:textFill>
                  <w14:solidFill>
                    <w14:schemeClr w14:val="tx1"/>
                  </w14:solidFill>
                </w14:textFill>
              </w:rPr>
              <w:t>60%</w:t>
            </w:r>
          </w:p>
        </w:tc>
        <w:tc>
          <w:tcPr>
            <w:tcW w:w="464"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年运行</w:t>
            </w:r>
            <w:r>
              <w:rPr>
                <w:color w:val="000000" w:themeColor="text1"/>
                <w:spacing w:val="-12"/>
                <w14:textFill>
                  <w14:solidFill>
                    <w14:schemeClr w14:val="tx1"/>
                  </w14:solidFill>
                </w14:textFill>
              </w:rPr>
              <w:t>8760h，废气</w:t>
            </w:r>
            <w:r>
              <w:rPr>
                <w:color w:val="000000" w:themeColor="text1"/>
                <w14:textFill>
                  <w14:solidFill>
                    <w14:schemeClr w14:val="tx1"/>
                  </w14:solidFill>
                </w14:textFill>
              </w:rPr>
              <w:t>量</w:t>
            </w:r>
            <w:r>
              <w:rPr>
                <w:color w:val="000000" w:themeColor="text1"/>
                <w:spacing w:val="-55"/>
                <w14:textFill>
                  <w14:solidFill>
                    <w14:schemeClr w14:val="tx1"/>
                  </w14:solidFill>
                </w14:textFill>
              </w:rPr>
              <w:t xml:space="preserve"> </w:t>
            </w:r>
            <w:r>
              <w:rPr>
                <w:color w:val="000000" w:themeColor="text1"/>
                <w14:textFill>
                  <w14:solidFill>
                    <w14:schemeClr w14:val="tx1"/>
                  </w14:solidFill>
                </w14:textFill>
              </w:rPr>
              <w:t>690m</w:t>
            </w:r>
            <w:r>
              <w:rPr>
                <w:color w:val="000000" w:themeColor="text1"/>
                <w:position w:val="10"/>
                <w:sz w:val="14"/>
                <w:szCs w:val="14"/>
                <w14:textFill>
                  <w14:solidFill>
                    <w14:schemeClr w14:val="tx1"/>
                  </w14:solidFill>
                </w14:textFill>
              </w:rPr>
              <w:t>3</w:t>
            </w:r>
            <w:r>
              <w:rPr>
                <w:color w:val="000000" w:themeColor="text1"/>
                <w14:textFill>
                  <w14:solidFill>
                    <w14:schemeClr w14:val="tx1"/>
                  </w14:solidFill>
                </w14:textFill>
              </w:rPr>
              <w:t>/h</w:t>
            </w:r>
          </w:p>
        </w:tc>
        <w:tc>
          <w:tcPr>
            <w:tcW w:w="3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3.99</w:t>
            </w:r>
          </w:p>
        </w:tc>
        <w:tc>
          <w:tcPr>
            <w:tcW w:w="36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0.00017</w:t>
            </w:r>
          </w:p>
        </w:tc>
        <w:tc>
          <w:tcPr>
            <w:tcW w:w="3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822"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《恶臭污染物排放标准》（GB14554-93）</w:t>
            </w:r>
          </w:p>
        </w:tc>
        <w:tc>
          <w:tcPr>
            <w:tcW w:w="44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4.9kg/h</w:t>
            </w:r>
          </w:p>
        </w:tc>
        <w:tc>
          <w:tcPr>
            <w:tcW w:w="264"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15m</w:t>
            </w:r>
          </w:p>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p>
            <w:pPr>
              <w:pStyle w:val="332"/>
              <w:rPr>
                <w:color w:val="000000" w:themeColor="text1"/>
                <w14:textFill>
                  <w14:solidFill>
                    <w14:schemeClr w14:val="tx1"/>
                  </w14:solidFill>
                </w14:textFill>
              </w:rPr>
            </w:pPr>
            <w:r>
              <w:rPr>
                <w:color w:val="000000" w:themeColor="text1"/>
                <w14:textFill>
                  <w14:solidFill>
                    <w14:schemeClr w14:val="tx1"/>
                  </w14:solidFill>
                </w14:textFill>
              </w:rPr>
              <w:t>0.15m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14:textFill>
                  <w14:solidFill>
                    <w14:schemeClr w14:val="tx1"/>
                  </w14:solidFill>
                </w14:textFill>
              </w:rPr>
            </w:pPr>
          </w:p>
        </w:tc>
        <w:tc>
          <w:tcPr>
            <w:tcW w:w="305" w:type="pct"/>
            <w:gridSpan w:val="2"/>
            <w:vMerge w:val="continue"/>
            <w:vAlign w:val="center"/>
          </w:tcPr>
          <w:p>
            <w:pPr>
              <w:pStyle w:val="332"/>
              <w:rPr>
                <w:color w:val="000000" w:themeColor="text1"/>
                <w14:textFill>
                  <w14:solidFill>
                    <w14:schemeClr w14:val="tx1"/>
                  </w14:solidFill>
                </w14:textFill>
              </w:rPr>
            </w:pPr>
          </w:p>
        </w:tc>
        <w:tc>
          <w:tcPr>
            <w:tcW w:w="3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c>
          <w:tcPr>
            <w:tcW w:w="1077" w:type="pct"/>
            <w:vMerge w:val="continue"/>
            <w:vAlign w:val="center"/>
          </w:tcPr>
          <w:p>
            <w:pPr>
              <w:pStyle w:val="332"/>
              <w:rPr>
                <w:color w:val="000000" w:themeColor="text1"/>
                <w14:textFill>
                  <w14:solidFill>
                    <w14:schemeClr w14:val="tx1"/>
                  </w14:solidFill>
                </w14:textFill>
              </w:rPr>
            </w:pPr>
          </w:p>
        </w:tc>
        <w:tc>
          <w:tcPr>
            <w:tcW w:w="464" w:type="pct"/>
            <w:vMerge w:val="continue"/>
            <w:vAlign w:val="center"/>
          </w:tcPr>
          <w:p>
            <w:pPr>
              <w:pStyle w:val="332"/>
              <w:rPr>
                <w:color w:val="000000" w:themeColor="text1"/>
                <w14:textFill>
                  <w14:solidFill>
                    <w14:schemeClr w14:val="tx1"/>
                  </w14:solidFill>
                </w14:textFill>
              </w:rPr>
            </w:pPr>
          </w:p>
        </w:tc>
        <w:tc>
          <w:tcPr>
            <w:tcW w:w="3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0.033</w:t>
            </w:r>
          </w:p>
        </w:tc>
        <w:tc>
          <w:tcPr>
            <w:tcW w:w="36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0.0000014</w:t>
            </w:r>
          </w:p>
        </w:tc>
        <w:tc>
          <w:tcPr>
            <w:tcW w:w="3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822" w:type="pct"/>
            <w:vMerge w:val="continue"/>
            <w:vAlign w:val="center"/>
          </w:tcPr>
          <w:p>
            <w:pPr>
              <w:pStyle w:val="332"/>
              <w:rPr>
                <w:color w:val="000000" w:themeColor="text1"/>
                <w14:textFill>
                  <w14:solidFill>
                    <w14:schemeClr w14:val="tx1"/>
                  </w14:solidFill>
                </w14:textFill>
              </w:rPr>
            </w:pPr>
          </w:p>
        </w:tc>
        <w:tc>
          <w:tcPr>
            <w:tcW w:w="44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0.33kg/h</w:t>
            </w:r>
          </w:p>
        </w:tc>
        <w:tc>
          <w:tcPr>
            <w:tcW w:w="264"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14:textFill>
                  <w14:solidFill>
                    <w14:schemeClr w14:val="tx1"/>
                  </w14:solidFill>
                </w14:textFill>
              </w:rPr>
            </w:pPr>
          </w:p>
        </w:tc>
        <w:tc>
          <w:tcPr>
            <w:tcW w:w="305" w:type="pct"/>
            <w:gridSpan w:val="2"/>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养殖区</w:t>
            </w:r>
          </w:p>
          <w:p>
            <w:pPr>
              <w:pStyle w:val="332"/>
              <w:rPr>
                <w:color w:val="000000" w:themeColor="text1"/>
                <w14:textFill>
                  <w14:solidFill>
                    <w14:schemeClr w14:val="tx1"/>
                  </w14:solidFill>
                </w14:textFill>
              </w:rPr>
            </w:pPr>
            <w:r>
              <w:rPr>
                <w:color w:val="000000" w:themeColor="text1"/>
                <w14:textFill>
                  <w14:solidFill>
                    <w14:schemeClr w14:val="tx1"/>
                  </w14:solidFill>
                </w14:textFill>
              </w:rPr>
              <w:t>猪舍</w:t>
            </w:r>
          </w:p>
        </w:tc>
        <w:tc>
          <w:tcPr>
            <w:tcW w:w="3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077" w:type="pct"/>
            <w:vMerge w:val="restar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饲料添加EM，加强通风，每栋猪舍出风口处设置过滤吸附除臭装置；控制饲养密度、全漏缝地板并及时清粪，喷洒除臭剂等</w:t>
            </w:r>
            <w:r>
              <w:rPr>
                <w:color w:val="000000" w:themeColor="text1"/>
                <w:lang w:bidi="en-US"/>
                <w14:textFill>
                  <w14:solidFill>
                    <w14:schemeClr w14:val="tx1"/>
                  </w14:solidFill>
                </w14:textFill>
              </w:rPr>
              <w:t>，</w:t>
            </w:r>
            <w:r>
              <w:rPr>
                <w:color w:val="000000" w:themeColor="text1"/>
                <w14:textFill>
                  <w14:solidFill>
                    <w14:schemeClr w14:val="tx1"/>
                  </w14:solidFill>
                </w14:textFill>
              </w:rPr>
              <w:t>可消减85%</w:t>
            </w:r>
          </w:p>
        </w:tc>
        <w:tc>
          <w:tcPr>
            <w:tcW w:w="464"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年运行</w:t>
            </w:r>
          </w:p>
          <w:p>
            <w:pPr>
              <w:pStyle w:val="332"/>
              <w:rPr>
                <w:color w:val="000000" w:themeColor="text1"/>
                <w14:textFill>
                  <w14:solidFill>
                    <w14:schemeClr w14:val="tx1"/>
                  </w14:solidFill>
                </w14:textFill>
              </w:rPr>
            </w:pPr>
            <w:r>
              <w:rPr>
                <w:color w:val="000000" w:themeColor="text1"/>
                <w14:textFill>
                  <w14:solidFill>
                    <w14:schemeClr w14:val="tx1"/>
                  </w14:solidFill>
                </w14:textFill>
              </w:rPr>
              <w:t>8760h</w:t>
            </w:r>
          </w:p>
        </w:tc>
        <w:tc>
          <w:tcPr>
            <w:tcW w:w="3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36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0.060</w:t>
            </w:r>
          </w:p>
        </w:tc>
        <w:tc>
          <w:tcPr>
            <w:tcW w:w="3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822"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《恶臭污染物排放标准》（GB14554-93）</w:t>
            </w:r>
          </w:p>
        </w:tc>
        <w:tc>
          <w:tcPr>
            <w:tcW w:w="44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w:t>
            </w:r>
          </w:p>
        </w:tc>
        <w:tc>
          <w:tcPr>
            <w:tcW w:w="264"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14:textFill>
                  <w14:solidFill>
                    <w14:schemeClr w14:val="tx1"/>
                  </w14:solidFill>
                </w14:textFill>
              </w:rPr>
            </w:pPr>
          </w:p>
        </w:tc>
        <w:tc>
          <w:tcPr>
            <w:tcW w:w="305" w:type="pct"/>
            <w:gridSpan w:val="2"/>
            <w:vMerge w:val="continue"/>
            <w:vAlign w:val="center"/>
          </w:tcPr>
          <w:p>
            <w:pPr>
              <w:pStyle w:val="332"/>
              <w:rPr>
                <w:color w:val="000000" w:themeColor="text1"/>
                <w14:textFill>
                  <w14:solidFill>
                    <w14:schemeClr w14:val="tx1"/>
                  </w14:solidFill>
                </w14:textFill>
              </w:rPr>
            </w:pPr>
          </w:p>
        </w:tc>
        <w:tc>
          <w:tcPr>
            <w:tcW w:w="3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c>
          <w:tcPr>
            <w:tcW w:w="1077" w:type="pct"/>
            <w:vMerge w:val="continue"/>
            <w:vAlign w:val="center"/>
          </w:tcPr>
          <w:p>
            <w:pPr>
              <w:pStyle w:val="332"/>
              <w:rPr>
                <w:color w:val="000000" w:themeColor="text1"/>
                <w14:textFill>
                  <w14:solidFill>
                    <w14:schemeClr w14:val="tx1"/>
                  </w14:solidFill>
                </w14:textFill>
              </w:rPr>
            </w:pPr>
          </w:p>
        </w:tc>
        <w:tc>
          <w:tcPr>
            <w:tcW w:w="464" w:type="pct"/>
            <w:vMerge w:val="continue"/>
            <w:vAlign w:val="center"/>
          </w:tcPr>
          <w:p>
            <w:pPr>
              <w:pStyle w:val="332"/>
              <w:rPr>
                <w:color w:val="000000" w:themeColor="text1"/>
                <w14:textFill>
                  <w14:solidFill>
                    <w14:schemeClr w14:val="tx1"/>
                  </w14:solidFill>
                </w14:textFill>
              </w:rPr>
            </w:pPr>
          </w:p>
        </w:tc>
        <w:tc>
          <w:tcPr>
            <w:tcW w:w="3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36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0.0058</w:t>
            </w:r>
          </w:p>
        </w:tc>
        <w:tc>
          <w:tcPr>
            <w:tcW w:w="3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822" w:type="pct"/>
            <w:vMerge w:val="continue"/>
            <w:vAlign w:val="center"/>
          </w:tcPr>
          <w:p>
            <w:pPr>
              <w:pStyle w:val="332"/>
              <w:rPr>
                <w:color w:val="000000" w:themeColor="text1"/>
                <w14:textFill>
                  <w14:solidFill>
                    <w14:schemeClr w14:val="tx1"/>
                  </w14:solidFill>
                </w14:textFill>
              </w:rPr>
            </w:pPr>
          </w:p>
        </w:tc>
        <w:tc>
          <w:tcPr>
            <w:tcW w:w="44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264"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14:textFill>
                  <w14:solidFill>
                    <w14:schemeClr w14:val="tx1"/>
                  </w14:solidFill>
                </w14:textFill>
              </w:rPr>
            </w:pPr>
          </w:p>
        </w:tc>
        <w:tc>
          <w:tcPr>
            <w:tcW w:w="305" w:type="pct"/>
            <w:gridSpan w:val="2"/>
            <w:vMerge w:val="restart"/>
            <w:vAlign w:val="center"/>
          </w:tcPr>
          <w:p>
            <w:pPr>
              <w:pStyle w:val="332"/>
              <w:rPr>
                <w:color w:val="000000" w:themeColor="text1"/>
                <w14:textFill>
                  <w14:solidFill>
                    <w14:schemeClr w14:val="tx1"/>
                  </w14:solidFill>
                </w14:textFill>
              </w:rPr>
            </w:pPr>
            <w:r>
              <w:rPr>
                <w:color w:val="000000" w:themeColor="text1"/>
                <w:lang w:bidi="en-US"/>
                <w14:textFill>
                  <w14:solidFill>
                    <w14:schemeClr w14:val="tx1"/>
                  </w14:solidFill>
                </w14:textFill>
              </w:rPr>
              <w:t>黑膜沼气池</w:t>
            </w:r>
          </w:p>
        </w:tc>
        <w:tc>
          <w:tcPr>
            <w:tcW w:w="3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077" w:type="pct"/>
            <w:vMerge w:val="restar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黑膜沼气池密闭，</w:t>
            </w:r>
            <w:r>
              <w:rPr>
                <w:color w:val="000000" w:themeColor="text1"/>
                <w:lang w:bidi="en-US"/>
                <w14:textFill>
                  <w14:solidFill>
                    <w14:schemeClr w14:val="tx1"/>
                  </w14:solidFill>
                </w14:textFill>
              </w:rPr>
              <w:t>沼液储存池顶部覆盖HDPE膜，</w:t>
            </w:r>
            <w:r>
              <w:rPr>
                <w:color w:val="000000" w:themeColor="text1"/>
                <w14:textFill>
                  <w14:solidFill>
                    <w14:schemeClr w14:val="tx1"/>
                  </w14:solidFill>
                </w14:textFill>
              </w:rPr>
              <w:t>四周绿化；定期</w:t>
            </w:r>
            <w:r>
              <w:rPr>
                <w:color w:val="000000" w:themeColor="text1"/>
                <w:lang w:bidi="en-US"/>
                <w14:textFill>
                  <w14:solidFill>
                    <w14:schemeClr w14:val="tx1"/>
                  </w14:solidFill>
                </w14:textFill>
              </w:rPr>
              <w:t>喷洒除臭剂，</w:t>
            </w:r>
            <w:r>
              <w:rPr>
                <w:color w:val="000000" w:themeColor="text1"/>
                <w14:textFill>
                  <w14:solidFill>
                    <w14:schemeClr w14:val="tx1"/>
                  </w14:solidFill>
                </w14:textFill>
              </w:rPr>
              <w:t>可消减90%；</w:t>
            </w:r>
          </w:p>
        </w:tc>
        <w:tc>
          <w:tcPr>
            <w:tcW w:w="464"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年运行</w:t>
            </w:r>
          </w:p>
          <w:p>
            <w:pPr>
              <w:pStyle w:val="332"/>
              <w:rPr>
                <w:color w:val="000000" w:themeColor="text1"/>
                <w14:textFill>
                  <w14:solidFill>
                    <w14:schemeClr w14:val="tx1"/>
                  </w14:solidFill>
                </w14:textFill>
              </w:rPr>
            </w:pPr>
            <w:r>
              <w:rPr>
                <w:color w:val="000000" w:themeColor="text1"/>
                <w14:textFill>
                  <w14:solidFill>
                    <w14:schemeClr w14:val="tx1"/>
                  </w14:solidFill>
                </w14:textFill>
              </w:rPr>
              <w:t>8760h</w:t>
            </w:r>
          </w:p>
        </w:tc>
        <w:tc>
          <w:tcPr>
            <w:tcW w:w="3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36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0.031</w:t>
            </w:r>
          </w:p>
        </w:tc>
        <w:tc>
          <w:tcPr>
            <w:tcW w:w="3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822"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《恶臭污染物排放标准》（GB14554-93）</w:t>
            </w:r>
          </w:p>
        </w:tc>
        <w:tc>
          <w:tcPr>
            <w:tcW w:w="44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w:t>
            </w:r>
          </w:p>
        </w:tc>
        <w:tc>
          <w:tcPr>
            <w:tcW w:w="264"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14:textFill>
                  <w14:solidFill>
                    <w14:schemeClr w14:val="tx1"/>
                  </w14:solidFill>
                </w14:textFill>
              </w:rPr>
            </w:pPr>
          </w:p>
        </w:tc>
        <w:tc>
          <w:tcPr>
            <w:tcW w:w="305" w:type="pct"/>
            <w:gridSpan w:val="2"/>
            <w:vMerge w:val="continue"/>
            <w:vAlign w:val="center"/>
          </w:tcPr>
          <w:p>
            <w:pPr>
              <w:pStyle w:val="332"/>
              <w:rPr>
                <w:color w:val="000000" w:themeColor="text1"/>
                <w14:textFill>
                  <w14:solidFill>
                    <w14:schemeClr w14:val="tx1"/>
                  </w14:solidFill>
                </w14:textFill>
              </w:rPr>
            </w:pPr>
          </w:p>
        </w:tc>
        <w:tc>
          <w:tcPr>
            <w:tcW w:w="3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c>
          <w:tcPr>
            <w:tcW w:w="1077" w:type="pct"/>
            <w:vMerge w:val="continue"/>
            <w:vAlign w:val="center"/>
          </w:tcPr>
          <w:p>
            <w:pPr>
              <w:pStyle w:val="332"/>
              <w:rPr>
                <w:color w:val="000000" w:themeColor="text1"/>
                <w14:textFill>
                  <w14:solidFill>
                    <w14:schemeClr w14:val="tx1"/>
                  </w14:solidFill>
                </w14:textFill>
              </w:rPr>
            </w:pPr>
          </w:p>
        </w:tc>
        <w:tc>
          <w:tcPr>
            <w:tcW w:w="464" w:type="pct"/>
            <w:vMerge w:val="continue"/>
            <w:vAlign w:val="center"/>
          </w:tcPr>
          <w:p>
            <w:pPr>
              <w:pStyle w:val="332"/>
              <w:rPr>
                <w:color w:val="000000" w:themeColor="text1"/>
                <w14:textFill>
                  <w14:solidFill>
                    <w14:schemeClr w14:val="tx1"/>
                  </w14:solidFill>
                </w14:textFill>
              </w:rPr>
            </w:pPr>
          </w:p>
        </w:tc>
        <w:tc>
          <w:tcPr>
            <w:tcW w:w="3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36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0.000076</w:t>
            </w:r>
          </w:p>
        </w:tc>
        <w:tc>
          <w:tcPr>
            <w:tcW w:w="3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822" w:type="pct"/>
            <w:vMerge w:val="continue"/>
            <w:vAlign w:val="center"/>
          </w:tcPr>
          <w:p>
            <w:pPr>
              <w:pStyle w:val="332"/>
              <w:rPr>
                <w:color w:val="000000" w:themeColor="text1"/>
                <w14:textFill>
                  <w14:solidFill>
                    <w14:schemeClr w14:val="tx1"/>
                  </w14:solidFill>
                </w14:textFill>
              </w:rPr>
            </w:pPr>
          </w:p>
        </w:tc>
        <w:tc>
          <w:tcPr>
            <w:tcW w:w="44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264"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14:textFill>
                  <w14:solidFill>
                    <w14:schemeClr w14:val="tx1"/>
                  </w14:solidFill>
                </w14:textFill>
              </w:rPr>
            </w:pPr>
          </w:p>
        </w:tc>
        <w:tc>
          <w:tcPr>
            <w:tcW w:w="305" w:type="pct"/>
            <w:gridSpan w:val="2"/>
            <w:vMerge w:val="restart"/>
            <w:vAlign w:val="center"/>
          </w:tcPr>
          <w:p>
            <w:pPr>
              <w:pStyle w:val="332"/>
              <w:rPr>
                <w:color w:val="000000" w:themeColor="text1"/>
                <w14:textFill>
                  <w14:solidFill>
                    <w14:schemeClr w14:val="tx1"/>
                  </w14:solidFill>
                </w14:textFill>
              </w:rPr>
            </w:pPr>
            <w:r>
              <w:rPr>
                <w:color w:val="000000" w:themeColor="text1"/>
                <w:lang w:bidi="en-US"/>
                <w14:textFill>
                  <w14:solidFill>
                    <w14:schemeClr w14:val="tx1"/>
                  </w14:solidFill>
                </w14:textFill>
              </w:rPr>
              <w:t>沼液储存池</w:t>
            </w:r>
          </w:p>
        </w:tc>
        <w:tc>
          <w:tcPr>
            <w:tcW w:w="3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077" w:type="pct"/>
            <w:vMerge w:val="restart"/>
            <w:vAlign w:val="center"/>
          </w:tcPr>
          <w:p>
            <w:pPr>
              <w:pStyle w:val="332"/>
              <w:jc w:val="both"/>
              <w:rPr>
                <w:color w:val="000000" w:themeColor="text1"/>
                <w14:textFill>
                  <w14:solidFill>
                    <w14:schemeClr w14:val="tx1"/>
                  </w14:solidFill>
                </w14:textFill>
              </w:rPr>
            </w:pPr>
            <w:r>
              <w:rPr>
                <w:color w:val="000000" w:themeColor="text1"/>
                <w:lang w:bidi="en-US"/>
                <w14:textFill>
                  <w14:solidFill>
                    <w14:schemeClr w14:val="tx1"/>
                  </w14:solidFill>
                </w14:textFill>
              </w:rPr>
              <w:t>沼液储存池顶部覆盖HDPE膜，</w:t>
            </w:r>
            <w:r>
              <w:rPr>
                <w:color w:val="000000" w:themeColor="text1"/>
                <w14:textFill>
                  <w14:solidFill>
                    <w14:schemeClr w14:val="tx1"/>
                  </w14:solidFill>
                </w14:textFill>
              </w:rPr>
              <w:t>四周绿化，定期</w:t>
            </w:r>
            <w:r>
              <w:rPr>
                <w:color w:val="000000" w:themeColor="text1"/>
                <w:lang w:bidi="en-US"/>
                <w14:textFill>
                  <w14:solidFill>
                    <w14:schemeClr w14:val="tx1"/>
                  </w14:solidFill>
                </w14:textFill>
              </w:rPr>
              <w:t>喷洒除臭剂，</w:t>
            </w:r>
            <w:r>
              <w:rPr>
                <w:color w:val="000000" w:themeColor="text1"/>
                <w14:textFill>
                  <w14:solidFill>
                    <w14:schemeClr w14:val="tx1"/>
                  </w14:solidFill>
                </w14:textFill>
              </w:rPr>
              <w:t>可消减90%；</w:t>
            </w:r>
          </w:p>
        </w:tc>
        <w:tc>
          <w:tcPr>
            <w:tcW w:w="464"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年运行</w:t>
            </w:r>
          </w:p>
          <w:p>
            <w:pPr>
              <w:pStyle w:val="332"/>
              <w:rPr>
                <w:color w:val="000000" w:themeColor="text1"/>
                <w14:textFill>
                  <w14:solidFill>
                    <w14:schemeClr w14:val="tx1"/>
                  </w14:solidFill>
                </w14:textFill>
              </w:rPr>
            </w:pPr>
            <w:r>
              <w:rPr>
                <w:color w:val="000000" w:themeColor="text1"/>
                <w14:textFill>
                  <w14:solidFill>
                    <w14:schemeClr w14:val="tx1"/>
                  </w14:solidFill>
                </w14:textFill>
              </w:rPr>
              <w:t>8760h</w:t>
            </w:r>
          </w:p>
        </w:tc>
        <w:tc>
          <w:tcPr>
            <w:tcW w:w="3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36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0.009</w:t>
            </w:r>
          </w:p>
        </w:tc>
        <w:tc>
          <w:tcPr>
            <w:tcW w:w="306" w:type="pct"/>
            <w:vAlign w:val="center"/>
          </w:tcPr>
          <w:p>
            <w:pPr>
              <w:pStyle w:val="332"/>
              <w:rPr>
                <w:color w:val="000000" w:themeColor="text1"/>
                <w14:textFill>
                  <w14:solidFill>
                    <w14:schemeClr w14:val="tx1"/>
                  </w14:solidFill>
                </w14:textFill>
              </w:rPr>
            </w:pPr>
          </w:p>
        </w:tc>
        <w:tc>
          <w:tcPr>
            <w:tcW w:w="822"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《恶臭污染物排放标准》（GB14554-93）</w:t>
            </w:r>
          </w:p>
        </w:tc>
        <w:tc>
          <w:tcPr>
            <w:tcW w:w="44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w:t>
            </w:r>
          </w:p>
        </w:tc>
        <w:tc>
          <w:tcPr>
            <w:tcW w:w="264"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14:textFill>
                  <w14:solidFill>
                    <w14:schemeClr w14:val="tx1"/>
                  </w14:solidFill>
                </w14:textFill>
              </w:rPr>
            </w:pPr>
          </w:p>
        </w:tc>
        <w:tc>
          <w:tcPr>
            <w:tcW w:w="305" w:type="pct"/>
            <w:gridSpan w:val="2"/>
            <w:vMerge w:val="continue"/>
            <w:vAlign w:val="center"/>
          </w:tcPr>
          <w:p>
            <w:pPr>
              <w:pStyle w:val="332"/>
              <w:rPr>
                <w:color w:val="000000" w:themeColor="text1"/>
                <w14:textFill>
                  <w14:solidFill>
                    <w14:schemeClr w14:val="tx1"/>
                  </w14:solidFill>
                </w14:textFill>
              </w:rPr>
            </w:pPr>
          </w:p>
        </w:tc>
        <w:tc>
          <w:tcPr>
            <w:tcW w:w="3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c>
          <w:tcPr>
            <w:tcW w:w="1077" w:type="pct"/>
            <w:vMerge w:val="continue"/>
            <w:vAlign w:val="center"/>
          </w:tcPr>
          <w:p>
            <w:pPr>
              <w:pStyle w:val="332"/>
              <w:rPr>
                <w:color w:val="000000" w:themeColor="text1"/>
                <w14:textFill>
                  <w14:solidFill>
                    <w14:schemeClr w14:val="tx1"/>
                  </w14:solidFill>
                </w14:textFill>
              </w:rPr>
            </w:pPr>
          </w:p>
        </w:tc>
        <w:tc>
          <w:tcPr>
            <w:tcW w:w="464" w:type="pct"/>
            <w:vMerge w:val="continue"/>
            <w:vAlign w:val="center"/>
          </w:tcPr>
          <w:p>
            <w:pPr>
              <w:pStyle w:val="332"/>
              <w:rPr>
                <w:color w:val="000000" w:themeColor="text1"/>
                <w14:textFill>
                  <w14:solidFill>
                    <w14:schemeClr w14:val="tx1"/>
                  </w14:solidFill>
                </w14:textFill>
              </w:rPr>
            </w:pPr>
          </w:p>
        </w:tc>
        <w:tc>
          <w:tcPr>
            <w:tcW w:w="3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367"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0.001</w:t>
            </w:r>
          </w:p>
        </w:tc>
        <w:tc>
          <w:tcPr>
            <w:tcW w:w="306" w:type="pct"/>
            <w:vAlign w:val="center"/>
          </w:tcPr>
          <w:p>
            <w:pPr>
              <w:pStyle w:val="332"/>
              <w:rPr>
                <w:color w:val="000000" w:themeColor="text1"/>
                <w14:textFill>
                  <w14:solidFill>
                    <w14:schemeClr w14:val="tx1"/>
                  </w14:solidFill>
                </w14:textFill>
              </w:rPr>
            </w:pPr>
          </w:p>
        </w:tc>
        <w:tc>
          <w:tcPr>
            <w:tcW w:w="822" w:type="pct"/>
            <w:vMerge w:val="continue"/>
            <w:vAlign w:val="center"/>
          </w:tcPr>
          <w:p>
            <w:pPr>
              <w:pStyle w:val="332"/>
              <w:rPr>
                <w:color w:val="000000" w:themeColor="text1"/>
                <w14:textFill>
                  <w14:solidFill>
                    <w14:schemeClr w14:val="tx1"/>
                  </w14:solidFill>
                </w14:textFill>
              </w:rPr>
            </w:pPr>
          </w:p>
        </w:tc>
        <w:tc>
          <w:tcPr>
            <w:tcW w:w="44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0.06</w:t>
            </w:r>
          </w:p>
        </w:tc>
        <w:tc>
          <w:tcPr>
            <w:tcW w:w="264" w:type="pct"/>
            <w:vMerge w:val="continue"/>
            <w:vAlign w:val="center"/>
          </w:tcPr>
          <w:p>
            <w:pPr>
              <w:pStyle w:val="332"/>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14:textFill>
                  <w14:solidFill>
                    <w14:schemeClr w14:val="tx1"/>
                  </w14:solidFill>
                </w14:textFill>
              </w:rPr>
            </w:pPr>
          </w:p>
        </w:tc>
        <w:tc>
          <w:tcPr>
            <w:tcW w:w="305" w:type="pct"/>
            <w:gridSpan w:val="2"/>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固粪处理区</w:t>
            </w:r>
          </w:p>
        </w:tc>
        <w:tc>
          <w:tcPr>
            <w:tcW w:w="371"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position w:val="-3"/>
                <w:sz w:val="14"/>
                <w:szCs w:val="14"/>
                <w14:textFill>
                  <w14:solidFill>
                    <w14:schemeClr w14:val="tx1"/>
                  </w14:solidFill>
                </w14:textFill>
              </w:rPr>
              <w:t>3</w:t>
            </w:r>
          </w:p>
        </w:tc>
        <w:tc>
          <w:tcPr>
            <w:tcW w:w="1077" w:type="pct"/>
            <w:vMerge w:val="restart"/>
            <w:vAlign w:val="center"/>
          </w:tcPr>
          <w:p>
            <w:pPr>
              <w:pStyle w:val="332"/>
              <w:jc w:val="both"/>
              <w:rPr>
                <w:color w:val="000000" w:themeColor="text1"/>
                <w14:textFill>
                  <w14:solidFill>
                    <w14:schemeClr w14:val="tx1"/>
                  </w14:solidFill>
                </w14:textFill>
              </w:rPr>
            </w:pPr>
            <w:r>
              <w:rPr>
                <w:color w:val="000000" w:themeColor="text1"/>
                <w:lang w:bidi="en-US"/>
                <w14:textFill>
                  <w14:solidFill>
                    <w14:schemeClr w14:val="tx1"/>
                  </w14:solidFill>
                </w14:textFill>
              </w:rPr>
              <w:t>设置为封闭阳光房，</w:t>
            </w:r>
            <w:r>
              <w:rPr>
                <w:color w:val="000000" w:themeColor="text1"/>
                <w14:textFill>
                  <w14:solidFill>
                    <w14:schemeClr w14:val="tx1"/>
                  </w14:solidFill>
                </w14:textFill>
              </w:rPr>
              <w:t>加强通风，</w:t>
            </w:r>
            <w:r>
              <w:rPr>
                <w:color w:val="000000" w:themeColor="text1"/>
                <w:lang w:bidi="en-US"/>
                <w14:textFill>
                  <w14:solidFill>
                    <w14:schemeClr w14:val="tx1"/>
                  </w14:solidFill>
                </w14:textFill>
              </w:rPr>
              <w:t>出风口</w:t>
            </w:r>
            <w:r>
              <w:rPr>
                <w:color w:val="000000" w:themeColor="text1"/>
                <w14:textFill>
                  <w14:solidFill>
                    <w14:schemeClr w14:val="tx1"/>
                  </w14:solidFill>
                </w14:textFill>
              </w:rPr>
              <w:t>处设置喷淋除臭网，</w:t>
            </w:r>
            <w:r>
              <w:rPr>
                <w:color w:val="000000" w:themeColor="text1"/>
                <w:lang w:bidi="en-US"/>
                <w14:textFill>
                  <w14:solidFill>
                    <w14:schemeClr w14:val="tx1"/>
                  </w14:solidFill>
                </w14:textFill>
              </w:rPr>
              <w:t>喷洒除臭剂，</w:t>
            </w:r>
            <w:r>
              <w:rPr>
                <w:color w:val="000000" w:themeColor="text1"/>
                <w14:textFill>
                  <w14:solidFill>
                    <w14:schemeClr w14:val="tx1"/>
                  </w14:solidFill>
                </w14:textFill>
              </w:rPr>
              <w:t>可消减90%；</w:t>
            </w:r>
          </w:p>
        </w:tc>
        <w:tc>
          <w:tcPr>
            <w:tcW w:w="464"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年运行</w:t>
            </w:r>
          </w:p>
          <w:p>
            <w:pPr>
              <w:pStyle w:val="332"/>
              <w:rPr>
                <w:color w:val="000000" w:themeColor="text1"/>
                <w14:textFill>
                  <w14:solidFill>
                    <w14:schemeClr w14:val="tx1"/>
                  </w14:solidFill>
                </w14:textFill>
              </w:rPr>
            </w:pPr>
            <w:r>
              <w:rPr>
                <w:color w:val="000000" w:themeColor="text1"/>
                <w14:textFill>
                  <w14:solidFill>
                    <w14:schemeClr w14:val="tx1"/>
                  </w14:solidFill>
                </w14:textFill>
              </w:rPr>
              <w:t>8760h</w:t>
            </w:r>
          </w:p>
        </w:tc>
        <w:tc>
          <w:tcPr>
            <w:tcW w:w="37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367"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0.007</w:t>
            </w:r>
          </w:p>
        </w:tc>
        <w:tc>
          <w:tcPr>
            <w:tcW w:w="306"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c>
          <w:tcPr>
            <w:tcW w:w="822" w:type="pct"/>
            <w:vMerge w:val="restar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《恶臭污染物排放标准》（GB14554-93）</w:t>
            </w:r>
          </w:p>
        </w:tc>
        <w:tc>
          <w:tcPr>
            <w:tcW w:w="449"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1.5</w:t>
            </w:r>
          </w:p>
        </w:tc>
        <w:tc>
          <w:tcPr>
            <w:tcW w:w="26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14:textFill>
                  <w14:solidFill>
                    <w14:schemeClr w14:val="tx1"/>
                  </w14:solidFill>
                </w14:textFill>
              </w:rPr>
            </w:pPr>
          </w:p>
        </w:tc>
        <w:tc>
          <w:tcPr>
            <w:tcW w:w="305" w:type="pct"/>
            <w:gridSpan w:val="2"/>
            <w:vMerge w:val="continue"/>
            <w:vAlign w:val="center"/>
          </w:tcPr>
          <w:p>
            <w:pPr>
              <w:pStyle w:val="332"/>
              <w:rPr>
                <w:color w:val="000000" w:themeColor="text1"/>
                <w14:textFill>
                  <w14:solidFill>
                    <w14:schemeClr w14:val="tx1"/>
                  </w14:solidFill>
                </w14:textFill>
              </w:rPr>
            </w:pPr>
          </w:p>
        </w:tc>
        <w:tc>
          <w:tcPr>
            <w:tcW w:w="371" w:type="pct"/>
            <w:vAlign w:val="center"/>
          </w:tcPr>
          <w:p>
            <w:pPr>
              <w:pStyle w:val="332"/>
              <w:rPr>
                <w:color w:val="000000" w:themeColor="text1"/>
                <w14:textFill>
                  <w14:solidFill>
                    <w14:schemeClr w14:val="tx1"/>
                  </w14:solidFill>
                </w14:textFill>
              </w:rPr>
            </w:pPr>
            <w:r>
              <w:rPr>
                <w:color w:val="000000" w:themeColor="text1"/>
                <w:kern w:val="0"/>
                <w14:textFill>
                  <w14:solidFill>
                    <w14:schemeClr w14:val="tx1"/>
                  </w14:solidFill>
                </w14:textFill>
              </w:rPr>
              <w:t>H</w:t>
            </w:r>
            <w:r>
              <w:rPr>
                <w:color w:val="000000" w:themeColor="text1"/>
                <w:kern w:val="0"/>
                <w:position w:val="-3"/>
                <w:sz w:val="14"/>
                <w:szCs w:val="14"/>
                <w14:textFill>
                  <w14:solidFill>
                    <w14:schemeClr w14:val="tx1"/>
                  </w14:solidFill>
                </w14:textFill>
              </w:rPr>
              <w:t>2</w:t>
            </w:r>
            <w:r>
              <w:rPr>
                <w:color w:val="000000" w:themeColor="text1"/>
                <w:kern w:val="0"/>
                <w14:textFill>
                  <w14:solidFill>
                    <w14:schemeClr w14:val="tx1"/>
                  </w14:solidFill>
                </w14:textFill>
              </w:rPr>
              <w:t>S</w:t>
            </w:r>
          </w:p>
        </w:tc>
        <w:tc>
          <w:tcPr>
            <w:tcW w:w="1077" w:type="pct"/>
            <w:vMerge w:val="continue"/>
            <w:vAlign w:val="center"/>
          </w:tcPr>
          <w:p>
            <w:pPr>
              <w:pStyle w:val="332"/>
              <w:rPr>
                <w:color w:val="000000" w:themeColor="text1"/>
                <w:spacing w:val="-2"/>
                <w14:textFill>
                  <w14:solidFill>
                    <w14:schemeClr w14:val="tx1"/>
                  </w14:solidFill>
                </w14:textFill>
              </w:rPr>
            </w:pPr>
          </w:p>
        </w:tc>
        <w:tc>
          <w:tcPr>
            <w:tcW w:w="464" w:type="pct"/>
            <w:vMerge w:val="continue"/>
            <w:vAlign w:val="center"/>
          </w:tcPr>
          <w:p>
            <w:pPr>
              <w:pStyle w:val="332"/>
              <w:rPr>
                <w:color w:val="000000" w:themeColor="text1"/>
                <w14:textFill>
                  <w14:solidFill>
                    <w14:schemeClr w14:val="tx1"/>
                  </w14:solidFill>
                </w14:textFill>
              </w:rPr>
            </w:pPr>
          </w:p>
        </w:tc>
        <w:tc>
          <w:tcPr>
            <w:tcW w:w="374" w:type="pct"/>
            <w:vAlign w:val="center"/>
          </w:tcPr>
          <w:p>
            <w:pPr>
              <w:pStyle w:val="332"/>
              <w:rPr>
                <w:color w:val="000000" w:themeColor="text1"/>
                <w14:textFill>
                  <w14:solidFill>
                    <w14:schemeClr w14:val="tx1"/>
                  </w14:solidFill>
                </w14:textFill>
              </w:rPr>
            </w:pPr>
            <w:r>
              <w:rPr>
                <w:color w:val="000000" w:themeColor="text1"/>
                <w:kern w:val="0"/>
                <w14:textFill>
                  <w14:solidFill>
                    <w14:schemeClr w14:val="tx1"/>
                  </w14:solidFill>
                </w14:textFill>
              </w:rPr>
              <w:t>--</w:t>
            </w:r>
          </w:p>
        </w:tc>
        <w:tc>
          <w:tcPr>
            <w:tcW w:w="367" w:type="pct"/>
            <w:vAlign w:val="center"/>
          </w:tcPr>
          <w:p>
            <w:pPr>
              <w:pStyle w:val="332"/>
              <w:rPr>
                <w:color w:val="000000" w:themeColor="text1"/>
                <w14:textFill>
                  <w14:solidFill>
                    <w14:schemeClr w14:val="tx1"/>
                  </w14:solidFill>
                </w14:textFill>
              </w:rPr>
            </w:pPr>
            <w:r>
              <w:rPr>
                <w:rFonts w:eastAsia="等线"/>
                <w:color w:val="000000" w:themeColor="text1"/>
                <w:szCs w:val="21"/>
                <w14:textFill>
                  <w14:solidFill>
                    <w14:schemeClr w14:val="tx1"/>
                  </w14:solidFill>
                </w14:textFill>
              </w:rPr>
              <w:t>0.0003</w:t>
            </w:r>
          </w:p>
        </w:tc>
        <w:tc>
          <w:tcPr>
            <w:tcW w:w="306" w:type="pct"/>
            <w:vAlign w:val="center"/>
          </w:tcPr>
          <w:p>
            <w:pPr>
              <w:pStyle w:val="332"/>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w:t>
            </w:r>
          </w:p>
        </w:tc>
        <w:tc>
          <w:tcPr>
            <w:tcW w:w="822" w:type="pct"/>
            <w:vMerge w:val="continue"/>
            <w:vAlign w:val="center"/>
          </w:tcPr>
          <w:p>
            <w:pPr>
              <w:pStyle w:val="332"/>
              <w:rPr>
                <w:color w:val="000000" w:themeColor="text1"/>
                <w14:textFill>
                  <w14:solidFill>
                    <w14:schemeClr w14:val="tx1"/>
                  </w14:solidFill>
                </w14:textFill>
              </w:rPr>
            </w:pPr>
          </w:p>
        </w:tc>
        <w:tc>
          <w:tcPr>
            <w:tcW w:w="449" w:type="pct"/>
            <w:vAlign w:val="center"/>
          </w:tcPr>
          <w:p>
            <w:pPr>
              <w:pStyle w:val="332"/>
              <w:rPr>
                <w:color w:val="000000" w:themeColor="text1"/>
                <w14:textFill>
                  <w14:solidFill>
                    <w14:schemeClr w14:val="tx1"/>
                  </w14:solidFill>
                </w14:textFill>
              </w:rPr>
            </w:pPr>
            <w:r>
              <w:rPr>
                <w:color w:val="000000" w:themeColor="text1"/>
                <w:kern w:val="0"/>
                <w14:textFill>
                  <w14:solidFill>
                    <w14:schemeClr w14:val="tx1"/>
                  </w14:solidFill>
                </w14:textFill>
              </w:rPr>
              <w:t>0.06</w:t>
            </w:r>
          </w:p>
        </w:tc>
        <w:tc>
          <w:tcPr>
            <w:tcW w:w="264" w:type="pct"/>
            <w:vAlign w:val="center"/>
          </w:tcPr>
          <w:p>
            <w:pPr>
              <w:pStyle w:val="332"/>
              <w:rPr>
                <w:color w:val="000000" w:themeColor="text1"/>
                <w:sz w:val="17"/>
                <w:szCs w:val="17"/>
                <w14:textFill>
                  <w14:solidFill>
                    <w14:schemeClr w14:val="tx1"/>
                  </w14:solidFill>
                </w14:textFill>
              </w:rPr>
            </w:pPr>
            <w:r>
              <w:rPr>
                <w:color w:val="000000" w:themeColor="text1"/>
                <w:sz w:val="17"/>
                <w:szCs w:val="17"/>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restar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水污染物</w:t>
            </w:r>
          </w:p>
        </w:tc>
        <w:tc>
          <w:tcPr>
            <w:tcW w:w="303"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生活污水</w:t>
            </w:r>
          </w:p>
        </w:tc>
        <w:tc>
          <w:tcPr>
            <w:tcW w:w="373" w:type="pct"/>
            <w:gridSpan w:val="2"/>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COD、NH</w:t>
            </w:r>
            <w:r>
              <w:rPr>
                <w:color w:val="000000" w:themeColor="text1"/>
                <w:kern w:val="0"/>
                <w:position w:val="-3"/>
                <w:sz w:val="14"/>
                <w:szCs w:val="14"/>
                <w14:textFill>
                  <w14:solidFill>
                    <w14:schemeClr w14:val="tx1"/>
                  </w14:solidFill>
                </w14:textFill>
              </w:rPr>
              <w:t>3</w:t>
            </w:r>
            <w:r>
              <w:rPr>
                <w:color w:val="000000" w:themeColor="text1"/>
                <w:kern w:val="0"/>
                <w14:textFill>
                  <w14:solidFill>
                    <w14:schemeClr w14:val="tx1"/>
                  </w14:solidFill>
                </w14:textFill>
              </w:rPr>
              <w:t>-N、SS</w:t>
            </w:r>
          </w:p>
        </w:tc>
        <w:tc>
          <w:tcPr>
            <w:tcW w:w="1077" w:type="pct"/>
            <w:vAlign w:val="center"/>
          </w:tcPr>
          <w:p>
            <w:pPr>
              <w:pStyle w:val="332"/>
              <w:jc w:val="both"/>
              <w:rPr>
                <w:color w:val="000000" w:themeColor="text1"/>
                <w:kern w:val="0"/>
                <w14:textFill>
                  <w14:solidFill>
                    <w14:schemeClr w14:val="tx1"/>
                  </w14:solidFill>
                </w14:textFill>
              </w:rPr>
            </w:pPr>
            <w:r>
              <w:rPr>
                <w:color w:val="000000" w:themeColor="text1"/>
                <w14:textFill>
                  <w14:solidFill>
                    <w14:schemeClr w14:val="tx1"/>
                  </w14:solidFill>
                </w14:textFill>
              </w:rPr>
              <w:t>食堂含油废水经隔油池处理后与生活污水、养殖区废水经废水收集管网，进入粪污处理区处理；</w:t>
            </w:r>
          </w:p>
        </w:tc>
        <w:tc>
          <w:tcPr>
            <w:tcW w:w="46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年运行</w:t>
            </w:r>
          </w:p>
          <w:p>
            <w:pPr>
              <w:pStyle w:val="332"/>
              <w:rPr>
                <w:color w:val="000000" w:themeColor="text1"/>
                <w:kern w:val="0"/>
                <w14:textFill>
                  <w14:solidFill>
                    <w14:schemeClr w14:val="tx1"/>
                  </w14:solidFill>
                </w14:textFill>
              </w:rPr>
            </w:pPr>
            <w:r>
              <w:rPr>
                <w:color w:val="000000" w:themeColor="text1"/>
                <w14:textFill>
                  <w14:solidFill>
                    <w14:schemeClr w14:val="tx1"/>
                  </w14:solidFill>
                </w14:textFill>
              </w:rPr>
              <w:t>8760h</w:t>
            </w:r>
          </w:p>
        </w:tc>
        <w:tc>
          <w:tcPr>
            <w:tcW w:w="37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67"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0</w:t>
            </w:r>
          </w:p>
        </w:tc>
        <w:tc>
          <w:tcPr>
            <w:tcW w:w="306"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822" w:type="pct"/>
            <w:vMerge w:val="restart"/>
            <w:vAlign w:val="center"/>
          </w:tcPr>
          <w:p>
            <w:pPr>
              <w:pStyle w:val="332"/>
              <w:rPr>
                <w:color w:val="000000" w:themeColor="text1"/>
                <w:kern w:val="0"/>
                <w14:textFill>
                  <w14:solidFill>
                    <w14:schemeClr w14:val="tx1"/>
                  </w14:solidFill>
                </w14:textFill>
              </w:rPr>
            </w:pPr>
            <w:r>
              <w:rPr>
                <w:color w:val="000000" w:themeColor="text1"/>
                <w:spacing w:val="-2"/>
                <w:kern w:val="0"/>
                <w14:textFill>
                  <w14:solidFill>
                    <w14:schemeClr w14:val="tx1"/>
                  </w14:solidFill>
                </w14:textFill>
              </w:rPr>
              <w:t>沼液用于农田灌溉，沼渣运</w:t>
            </w:r>
            <w:r>
              <w:rPr>
                <w:color w:val="000000" w:themeColor="text1"/>
                <w:kern w:val="0"/>
                <w14:textFill>
                  <w14:solidFill>
                    <w14:schemeClr w14:val="tx1"/>
                  </w14:solidFill>
                </w14:textFill>
              </w:rPr>
              <w:t>至有机肥粪棚堆肥</w:t>
            </w:r>
          </w:p>
        </w:tc>
        <w:tc>
          <w:tcPr>
            <w:tcW w:w="449"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26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kern w:val="0"/>
                <w14:textFill>
                  <w14:solidFill>
                    <w14:schemeClr w14:val="tx1"/>
                  </w14:solidFill>
                </w14:textFill>
              </w:rPr>
            </w:pPr>
          </w:p>
        </w:tc>
        <w:tc>
          <w:tcPr>
            <w:tcW w:w="303"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养殖废水、</w:t>
            </w:r>
            <w:r>
              <w:rPr>
                <w:color w:val="000000" w:themeColor="text1"/>
                <w14:textFill>
                  <w14:solidFill>
                    <w14:schemeClr w14:val="tx1"/>
                  </w14:solidFill>
                </w14:textFill>
              </w:rPr>
              <w:t>冷凝水、渗滤液</w:t>
            </w:r>
          </w:p>
        </w:tc>
        <w:tc>
          <w:tcPr>
            <w:tcW w:w="373" w:type="pct"/>
            <w:gridSpan w:val="2"/>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COD、NH</w:t>
            </w:r>
            <w:r>
              <w:rPr>
                <w:color w:val="000000" w:themeColor="text1"/>
                <w:kern w:val="0"/>
                <w:position w:val="-3"/>
                <w:sz w:val="14"/>
                <w:szCs w:val="14"/>
                <w14:textFill>
                  <w14:solidFill>
                    <w14:schemeClr w14:val="tx1"/>
                  </w14:solidFill>
                </w14:textFill>
              </w:rPr>
              <w:t>3</w:t>
            </w:r>
            <w:r>
              <w:rPr>
                <w:color w:val="000000" w:themeColor="text1"/>
                <w:kern w:val="0"/>
                <w14:textFill>
                  <w14:solidFill>
                    <w14:schemeClr w14:val="tx1"/>
                  </w14:solidFill>
                </w14:textFill>
              </w:rPr>
              <w:t>-N、SS</w:t>
            </w:r>
          </w:p>
        </w:tc>
        <w:tc>
          <w:tcPr>
            <w:tcW w:w="1077" w:type="pct"/>
            <w:vAlign w:val="center"/>
          </w:tcPr>
          <w:p>
            <w:pPr>
              <w:pStyle w:val="332"/>
              <w:jc w:val="both"/>
              <w:rPr>
                <w:color w:val="000000" w:themeColor="text1"/>
                <w:kern w:val="0"/>
                <w14:textFill>
                  <w14:solidFill>
                    <w14:schemeClr w14:val="tx1"/>
                  </w14:solidFill>
                </w14:textFill>
              </w:rPr>
            </w:pPr>
            <w:r>
              <w:rPr>
                <w:color w:val="000000" w:themeColor="text1"/>
                <w14:textFill>
                  <w14:solidFill>
                    <w14:schemeClr w14:val="tx1"/>
                  </w14:solidFill>
                </w14:textFill>
              </w:rPr>
              <w:t>经场区污水管网收集，自流至集粪池，粪污水首先经过固液分离预处理后进入黑膜沼气池厌氧发酵产生沼液用于周边农田施肥；</w:t>
            </w:r>
          </w:p>
        </w:tc>
        <w:tc>
          <w:tcPr>
            <w:tcW w:w="464" w:type="pct"/>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年运行</w:t>
            </w:r>
          </w:p>
          <w:p>
            <w:pPr>
              <w:pStyle w:val="332"/>
              <w:rPr>
                <w:color w:val="000000" w:themeColor="text1"/>
                <w:kern w:val="0"/>
                <w14:textFill>
                  <w14:solidFill>
                    <w14:schemeClr w14:val="tx1"/>
                  </w14:solidFill>
                </w14:textFill>
              </w:rPr>
            </w:pPr>
            <w:r>
              <w:rPr>
                <w:color w:val="000000" w:themeColor="text1"/>
                <w14:textFill>
                  <w14:solidFill>
                    <w14:schemeClr w14:val="tx1"/>
                  </w14:solidFill>
                </w14:textFill>
              </w:rPr>
              <w:t>8760h</w:t>
            </w:r>
          </w:p>
        </w:tc>
        <w:tc>
          <w:tcPr>
            <w:tcW w:w="37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67"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0</w:t>
            </w:r>
          </w:p>
        </w:tc>
        <w:tc>
          <w:tcPr>
            <w:tcW w:w="306"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822" w:type="pct"/>
            <w:vMerge w:val="continue"/>
            <w:vAlign w:val="center"/>
          </w:tcPr>
          <w:p>
            <w:pPr>
              <w:pStyle w:val="332"/>
              <w:rPr>
                <w:color w:val="000000" w:themeColor="text1"/>
                <w:spacing w:val="-2"/>
                <w:kern w:val="0"/>
                <w14:textFill>
                  <w14:solidFill>
                    <w14:schemeClr w14:val="tx1"/>
                  </w14:solidFill>
                </w14:textFill>
              </w:rPr>
            </w:pPr>
          </w:p>
        </w:tc>
        <w:tc>
          <w:tcPr>
            <w:tcW w:w="449"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26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restar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 xml:space="preserve">固体废物 </w:t>
            </w:r>
          </w:p>
        </w:tc>
        <w:tc>
          <w:tcPr>
            <w:tcW w:w="676" w:type="pct"/>
            <w:gridSpan w:val="3"/>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猪粪</w:t>
            </w:r>
          </w:p>
        </w:tc>
        <w:tc>
          <w:tcPr>
            <w:tcW w:w="1077" w:type="pct"/>
            <w:vMerge w:val="restart"/>
            <w:vAlign w:val="center"/>
          </w:tcPr>
          <w:p>
            <w:pPr>
              <w:pStyle w:val="332"/>
              <w:jc w:val="both"/>
              <w:rPr>
                <w:color w:val="000000" w:themeColor="text1"/>
                <w:kern w:val="0"/>
                <w14:textFill>
                  <w14:solidFill>
                    <w14:schemeClr w14:val="tx1"/>
                  </w14:solidFill>
                </w14:textFill>
              </w:rPr>
            </w:pPr>
            <w:r>
              <w:rPr>
                <w:color w:val="000000" w:themeColor="text1"/>
                <w14:textFill>
                  <w14:solidFill>
                    <w14:schemeClr w14:val="tx1"/>
                  </w14:solidFill>
                </w14:textFill>
              </w:rPr>
              <w:t>经固液分离后的猪粪运至固粪处理区内发酵堆肥，堆肥后作为有机肥基料外售</w:t>
            </w:r>
          </w:p>
        </w:tc>
        <w:tc>
          <w:tcPr>
            <w:tcW w:w="46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7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67"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0</w:t>
            </w:r>
          </w:p>
        </w:tc>
        <w:tc>
          <w:tcPr>
            <w:tcW w:w="306"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822" w:type="pct"/>
            <w:vMerge w:val="restar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执行《一般工业固体废物贮存和填埋》(GB18599-2020)</w:t>
            </w:r>
          </w:p>
        </w:tc>
        <w:tc>
          <w:tcPr>
            <w:tcW w:w="449"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264" w:type="pct"/>
            <w:vMerge w:val="restar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kern w:val="0"/>
                <w14:textFill>
                  <w14:solidFill>
                    <w14:schemeClr w14:val="tx1"/>
                  </w14:solidFill>
                </w14:textFill>
              </w:rPr>
            </w:pPr>
          </w:p>
        </w:tc>
        <w:tc>
          <w:tcPr>
            <w:tcW w:w="676" w:type="pct"/>
            <w:gridSpan w:val="3"/>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沼渣</w:t>
            </w:r>
          </w:p>
        </w:tc>
        <w:tc>
          <w:tcPr>
            <w:tcW w:w="1077" w:type="pct"/>
            <w:vMerge w:val="continue"/>
            <w:vAlign w:val="center"/>
          </w:tcPr>
          <w:p>
            <w:pPr>
              <w:pStyle w:val="332"/>
              <w:rPr>
                <w:color w:val="000000" w:themeColor="text1"/>
                <w:kern w:val="0"/>
                <w14:textFill>
                  <w14:solidFill>
                    <w14:schemeClr w14:val="tx1"/>
                  </w14:solidFill>
                </w14:textFill>
              </w:rPr>
            </w:pPr>
          </w:p>
        </w:tc>
        <w:tc>
          <w:tcPr>
            <w:tcW w:w="46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7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67"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0</w:t>
            </w:r>
          </w:p>
        </w:tc>
        <w:tc>
          <w:tcPr>
            <w:tcW w:w="306"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822" w:type="pct"/>
            <w:vMerge w:val="continue"/>
            <w:vAlign w:val="center"/>
          </w:tcPr>
          <w:p>
            <w:pPr>
              <w:pStyle w:val="332"/>
              <w:rPr>
                <w:color w:val="000000" w:themeColor="text1"/>
                <w:kern w:val="0"/>
                <w14:textFill>
                  <w14:solidFill>
                    <w14:schemeClr w14:val="tx1"/>
                  </w14:solidFill>
                </w14:textFill>
              </w:rPr>
            </w:pPr>
          </w:p>
        </w:tc>
        <w:tc>
          <w:tcPr>
            <w:tcW w:w="449"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264" w:type="pct"/>
            <w:vMerge w:val="continue"/>
            <w:vAlign w:val="center"/>
          </w:tcPr>
          <w:p>
            <w:pPr>
              <w:pStyle w:val="332"/>
              <w:rPr>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kern w:val="0"/>
                <w14:textFill>
                  <w14:solidFill>
                    <w14:schemeClr w14:val="tx1"/>
                  </w14:solidFill>
                </w14:textFill>
              </w:rPr>
            </w:pPr>
          </w:p>
        </w:tc>
        <w:tc>
          <w:tcPr>
            <w:tcW w:w="676" w:type="pct"/>
            <w:gridSpan w:val="3"/>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无害化处理</w:t>
            </w:r>
          </w:p>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固体残渣</w:t>
            </w:r>
          </w:p>
        </w:tc>
        <w:tc>
          <w:tcPr>
            <w:tcW w:w="1077" w:type="pct"/>
            <w:vAlign w:val="center"/>
          </w:tcPr>
          <w:p>
            <w:pPr>
              <w:pStyle w:val="332"/>
              <w:jc w:val="both"/>
              <w:rPr>
                <w:color w:val="000000" w:themeColor="text1"/>
                <w:kern w:val="0"/>
                <w14:textFill>
                  <w14:solidFill>
                    <w14:schemeClr w14:val="tx1"/>
                  </w14:solidFill>
                </w14:textFill>
              </w:rPr>
            </w:pPr>
            <w:r>
              <w:rPr>
                <w:color w:val="000000" w:themeColor="text1"/>
                <w14:textFill>
                  <w14:solidFill>
                    <w14:schemeClr w14:val="tx1"/>
                  </w14:solidFill>
                </w14:textFill>
              </w:rPr>
              <w:t>送固粪处理区内发酵堆肥</w:t>
            </w:r>
          </w:p>
        </w:tc>
        <w:tc>
          <w:tcPr>
            <w:tcW w:w="46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7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67"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0</w:t>
            </w:r>
          </w:p>
        </w:tc>
        <w:tc>
          <w:tcPr>
            <w:tcW w:w="306"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822" w:type="pct"/>
            <w:vMerge w:val="continue"/>
            <w:vAlign w:val="center"/>
          </w:tcPr>
          <w:p>
            <w:pPr>
              <w:pStyle w:val="332"/>
              <w:rPr>
                <w:color w:val="000000" w:themeColor="text1"/>
                <w:kern w:val="0"/>
                <w14:textFill>
                  <w14:solidFill>
                    <w14:schemeClr w14:val="tx1"/>
                  </w14:solidFill>
                </w14:textFill>
              </w:rPr>
            </w:pPr>
          </w:p>
        </w:tc>
        <w:tc>
          <w:tcPr>
            <w:tcW w:w="449"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264" w:type="pct"/>
            <w:vMerge w:val="continue"/>
            <w:vAlign w:val="center"/>
          </w:tcPr>
          <w:p>
            <w:pPr>
              <w:pStyle w:val="332"/>
              <w:rPr>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kern w:val="0"/>
                <w14:textFill>
                  <w14:solidFill>
                    <w14:schemeClr w14:val="tx1"/>
                  </w14:solidFill>
                </w14:textFill>
              </w:rPr>
            </w:pPr>
          </w:p>
        </w:tc>
        <w:tc>
          <w:tcPr>
            <w:tcW w:w="676" w:type="pct"/>
            <w:gridSpan w:val="3"/>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病死猪、母猪胎盘</w:t>
            </w:r>
          </w:p>
        </w:tc>
        <w:tc>
          <w:tcPr>
            <w:tcW w:w="1077" w:type="pct"/>
            <w:vAlign w:val="center"/>
          </w:tcPr>
          <w:p>
            <w:pPr>
              <w:pStyle w:val="332"/>
              <w:jc w:val="both"/>
              <w:rPr>
                <w:color w:val="000000" w:themeColor="text1"/>
                <w:kern w:val="0"/>
                <w14:textFill>
                  <w14:solidFill>
                    <w14:schemeClr w14:val="tx1"/>
                  </w14:solidFill>
                </w14:textFill>
              </w:rPr>
            </w:pPr>
            <w:r>
              <w:rPr>
                <w:color w:val="000000" w:themeColor="text1"/>
                <w14:textFill>
                  <w14:solidFill>
                    <w14:schemeClr w14:val="tx1"/>
                  </w14:solidFill>
                </w14:textFill>
              </w:rPr>
              <w:t>无害化处理后，送固粪处理区内发酵堆肥</w:t>
            </w:r>
          </w:p>
        </w:tc>
        <w:tc>
          <w:tcPr>
            <w:tcW w:w="46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7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67"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0</w:t>
            </w:r>
          </w:p>
        </w:tc>
        <w:tc>
          <w:tcPr>
            <w:tcW w:w="306" w:type="pct"/>
            <w:vAlign w:val="center"/>
          </w:tcPr>
          <w:p>
            <w:pPr>
              <w:pStyle w:val="332"/>
              <w:rPr>
                <w:color w:val="000000" w:themeColor="text1"/>
                <w:kern w:val="0"/>
                <w:sz w:val="17"/>
                <w:szCs w:val="17"/>
                <w14:textFill>
                  <w14:solidFill>
                    <w14:schemeClr w14:val="tx1"/>
                  </w14:solidFill>
                </w14:textFill>
              </w:rPr>
            </w:pPr>
          </w:p>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822" w:type="pct"/>
            <w:vMerge w:val="continue"/>
            <w:vAlign w:val="center"/>
          </w:tcPr>
          <w:p>
            <w:pPr>
              <w:pStyle w:val="332"/>
              <w:rPr>
                <w:color w:val="000000" w:themeColor="text1"/>
                <w:kern w:val="0"/>
                <w14:textFill>
                  <w14:solidFill>
                    <w14:schemeClr w14:val="tx1"/>
                  </w14:solidFill>
                </w14:textFill>
              </w:rPr>
            </w:pPr>
          </w:p>
        </w:tc>
        <w:tc>
          <w:tcPr>
            <w:tcW w:w="449"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264" w:type="pct"/>
            <w:vMerge w:val="continue"/>
            <w:vAlign w:val="center"/>
          </w:tcPr>
          <w:p>
            <w:pPr>
              <w:pStyle w:val="332"/>
              <w:rPr>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kern w:val="0"/>
                <w14:textFill>
                  <w14:solidFill>
                    <w14:schemeClr w14:val="tx1"/>
                  </w14:solidFill>
                </w14:textFill>
              </w:rPr>
            </w:pPr>
          </w:p>
        </w:tc>
        <w:tc>
          <w:tcPr>
            <w:tcW w:w="676" w:type="pct"/>
            <w:gridSpan w:val="3"/>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废脱硫剂</w:t>
            </w:r>
          </w:p>
        </w:tc>
        <w:tc>
          <w:tcPr>
            <w:tcW w:w="1077" w:type="pct"/>
            <w:vAlign w:val="center"/>
          </w:tcPr>
          <w:p>
            <w:pPr>
              <w:pStyle w:val="332"/>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由生产厂家统一回收处置</w:t>
            </w:r>
          </w:p>
        </w:tc>
        <w:tc>
          <w:tcPr>
            <w:tcW w:w="46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7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67"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0</w:t>
            </w:r>
          </w:p>
        </w:tc>
        <w:tc>
          <w:tcPr>
            <w:tcW w:w="306"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822" w:type="pct"/>
            <w:vMerge w:val="continue"/>
            <w:vAlign w:val="center"/>
          </w:tcPr>
          <w:p>
            <w:pPr>
              <w:pStyle w:val="332"/>
              <w:rPr>
                <w:color w:val="000000" w:themeColor="text1"/>
                <w:kern w:val="0"/>
                <w14:textFill>
                  <w14:solidFill>
                    <w14:schemeClr w14:val="tx1"/>
                  </w14:solidFill>
                </w14:textFill>
              </w:rPr>
            </w:pPr>
          </w:p>
        </w:tc>
        <w:tc>
          <w:tcPr>
            <w:tcW w:w="449"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264" w:type="pct"/>
            <w:vMerge w:val="continue"/>
            <w:vAlign w:val="center"/>
          </w:tcPr>
          <w:p>
            <w:pPr>
              <w:pStyle w:val="332"/>
              <w:rPr>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kern w:val="0"/>
                <w14:textFill>
                  <w14:solidFill>
                    <w14:schemeClr w14:val="tx1"/>
                  </w14:solidFill>
                </w14:textFill>
              </w:rPr>
            </w:pPr>
          </w:p>
        </w:tc>
        <w:tc>
          <w:tcPr>
            <w:tcW w:w="676" w:type="pct"/>
            <w:gridSpan w:val="3"/>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医疗废物</w:t>
            </w:r>
          </w:p>
        </w:tc>
        <w:tc>
          <w:tcPr>
            <w:tcW w:w="1077" w:type="pct"/>
            <w:vAlign w:val="center"/>
          </w:tcPr>
          <w:p>
            <w:pPr>
              <w:pStyle w:val="332"/>
              <w:jc w:val="both"/>
              <w:rPr>
                <w:color w:val="000000" w:themeColor="text1"/>
                <w:kern w:val="0"/>
                <w14:textFill>
                  <w14:solidFill>
                    <w14:schemeClr w14:val="tx1"/>
                  </w14:solidFill>
                </w14:textFill>
              </w:rPr>
            </w:pPr>
            <w:r>
              <w:rPr>
                <w:color w:val="000000" w:themeColor="text1"/>
                <w:spacing w:val="-2"/>
                <w:kern w:val="0"/>
                <w14:textFill>
                  <w14:solidFill>
                    <w14:schemeClr w14:val="tx1"/>
                  </w14:solidFill>
                </w14:textFill>
              </w:rPr>
              <w:t>暂存于医废暂存间，委托有</w:t>
            </w:r>
            <w:r>
              <w:rPr>
                <w:color w:val="000000" w:themeColor="text1"/>
                <w:kern w:val="0"/>
                <w14:textFill>
                  <w14:solidFill>
                    <w14:schemeClr w14:val="tx1"/>
                  </w14:solidFill>
                </w14:textFill>
              </w:rPr>
              <w:t>资质单位处理</w:t>
            </w:r>
          </w:p>
        </w:tc>
        <w:tc>
          <w:tcPr>
            <w:tcW w:w="46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7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67"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0</w:t>
            </w:r>
          </w:p>
        </w:tc>
        <w:tc>
          <w:tcPr>
            <w:tcW w:w="306"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822" w:type="pct"/>
            <w:vAlign w:val="center"/>
          </w:tcPr>
          <w:p>
            <w:pPr>
              <w:pStyle w:val="332"/>
              <w:rPr>
                <w:color w:val="000000" w:themeColor="text1"/>
                <w:kern w:val="0"/>
                <w14:textFill>
                  <w14:solidFill>
                    <w14:schemeClr w14:val="tx1"/>
                  </w14:solidFill>
                </w14:textFill>
              </w:rPr>
            </w:pPr>
            <w:r>
              <w:rPr>
                <w:color w:val="000000" w:themeColor="text1"/>
                <w:spacing w:val="-2"/>
                <w:kern w:val="0"/>
                <w14:textFill>
                  <w14:solidFill>
                    <w14:schemeClr w14:val="tx1"/>
                  </w14:solidFill>
                </w14:textFill>
              </w:rPr>
              <w:t>《危险废物贮存污染控制标</w:t>
            </w:r>
            <w:r>
              <w:rPr>
                <w:color w:val="000000" w:themeColor="text1"/>
                <w:spacing w:val="-93"/>
                <w:kern w:val="0"/>
                <w14:textFill>
                  <w14:solidFill>
                    <w14:schemeClr w14:val="tx1"/>
                  </w14:solidFill>
                </w14:textFill>
              </w:rPr>
              <w:t xml:space="preserve"> </w:t>
            </w:r>
            <w:r>
              <w:rPr>
                <w:color w:val="000000" w:themeColor="text1"/>
                <w:spacing w:val="-8"/>
                <w:kern w:val="0"/>
                <w14:textFill>
                  <w14:solidFill>
                    <w14:schemeClr w14:val="tx1"/>
                  </w14:solidFill>
                </w14:textFill>
              </w:rPr>
              <w:t>准》（GB18597-2001）及</w:t>
            </w:r>
            <w:r>
              <w:rPr>
                <w:color w:val="000000" w:themeColor="text1"/>
                <w:kern w:val="0"/>
                <w14:textFill>
                  <w14:solidFill>
                    <w14:schemeClr w14:val="tx1"/>
                  </w14:solidFill>
                </w14:textFill>
              </w:rPr>
              <w:t>2013修改单</w:t>
            </w:r>
          </w:p>
        </w:tc>
        <w:tc>
          <w:tcPr>
            <w:tcW w:w="449"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264" w:type="pct"/>
            <w:vMerge w:val="continue"/>
            <w:vAlign w:val="center"/>
          </w:tcPr>
          <w:p>
            <w:pPr>
              <w:pStyle w:val="332"/>
              <w:rPr>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kern w:val="0"/>
                <w14:textFill>
                  <w14:solidFill>
                    <w14:schemeClr w14:val="tx1"/>
                  </w14:solidFill>
                </w14:textFill>
              </w:rPr>
            </w:pPr>
          </w:p>
        </w:tc>
        <w:tc>
          <w:tcPr>
            <w:tcW w:w="676" w:type="pct"/>
            <w:gridSpan w:val="3"/>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生活垃圾</w:t>
            </w:r>
          </w:p>
        </w:tc>
        <w:tc>
          <w:tcPr>
            <w:tcW w:w="1077" w:type="pct"/>
            <w:vAlign w:val="center"/>
          </w:tcPr>
          <w:p>
            <w:pPr>
              <w:pStyle w:val="332"/>
              <w:jc w:val="both"/>
              <w:rPr>
                <w:color w:val="000000" w:themeColor="text1"/>
                <w:kern w:val="0"/>
                <w14:textFill>
                  <w14:solidFill>
                    <w14:schemeClr w14:val="tx1"/>
                  </w14:solidFill>
                </w14:textFill>
              </w:rPr>
            </w:pPr>
            <w:r>
              <w:rPr>
                <w:color w:val="000000" w:themeColor="text1"/>
                <w:spacing w:val="-2"/>
                <w:kern w:val="0"/>
                <w14:textFill>
                  <w14:solidFill>
                    <w14:schemeClr w14:val="tx1"/>
                  </w14:solidFill>
                </w14:textFill>
              </w:rPr>
              <w:t>场区设封闭式垃圾箱，定期</w:t>
            </w:r>
            <w:r>
              <w:rPr>
                <w:color w:val="000000" w:themeColor="text1"/>
                <w:kern w:val="0"/>
                <w14:textFill>
                  <w14:solidFill>
                    <w14:schemeClr w14:val="tx1"/>
                  </w14:solidFill>
                </w14:textFill>
              </w:rPr>
              <w:t>由环卫部门统一处理</w:t>
            </w:r>
          </w:p>
        </w:tc>
        <w:tc>
          <w:tcPr>
            <w:tcW w:w="46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7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67"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5.48</w:t>
            </w:r>
          </w:p>
        </w:tc>
        <w:tc>
          <w:tcPr>
            <w:tcW w:w="306"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822"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449"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264" w:type="pct"/>
            <w:vMerge w:val="continue"/>
            <w:vAlign w:val="center"/>
          </w:tcPr>
          <w:p>
            <w:pPr>
              <w:pStyle w:val="332"/>
              <w:rPr>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restar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噪声</w:t>
            </w:r>
          </w:p>
        </w:tc>
        <w:tc>
          <w:tcPr>
            <w:tcW w:w="676" w:type="pct"/>
            <w:gridSpan w:val="3"/>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产噪设备</w:t>
            </w:r>
          </w:p>
        </w:tc>
        <w:tc>
          <w:tcPr>
            <w:tcW w:w="1077"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隔声、基础减振、定期维护</w:t>
            </w:r>
          </w:p>
        </w:tc>
        <w:tc>
          <w:tcPr>
            <w:tcW w:w="46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7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67"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60~75</w:t>
            </w:r>
          </w:p>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dB(A)</w:t>
            </w:r>
          </w:p>
        </w:tc>
        <w:tc>
          <w:tcPr>
            <w:tcW w:w="306"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822" w:type="pct"/>
            <w:vMerge w:val="restart"/>
            <w:vAlign w:val="center"/>
          </w:tcPr>
          <w:p>
            <w:pPr>
              <w:pStyle w:val="332"/>
              <w:rPr>
                <w:color w:val="000000" w:themeColor="text1"/>
                <w:kern w:val="0"/>
                <w14:textFill>
                  <w14:solidFill>
                    <w14:schemeClr w14:val="tx1"/>
                  </w14:solidFill>
                </w14:textFill>
              </w:rPr>
            </w:pPr>
            <w:r>
              <w:rPr>
                <w:color w:val="000000" w:themeColor="text1"/>
                <w:spacing w:val="-2"/>
                <w:kern w:val="0"/>
                <w14:textFill>
                  <w14:solidFill>
                    <w14:schemeClr w14:val="tx1"/>
                  </w14:solidFill>
                </w14:textFill>
              </w:rPr>
              <w:t>《工业企业厂界环境噪声排</w:t>
            </w:r>
            <w:r>
              <w:rPr>
                <w:color w:val="000000" w:themeColor="text1"/>
                <w:spacing w:val="-7"/>
                <w:kern w:val="0"/>
                <w14:textFill>
                  <w14:solidFill>
                    <w14:schemeClr w14:val="tx1"/>
                  </w14:solidFill>
                </w14:textFill>
              </w:rPr>
              <w:t>放标准》（GB12348-2008）</w:t>
            </w:r>
            <w:r>
              <w:rPr>
                <w:color w:val="000000" w:themeColor="text1"/>
                <w:kern w:val="0"/>
                <w14:textFill>
                  <w14:solidFill>
                    <w14:schemeClr w14:val="tx1"/>
                  </w14:solidFill>
                </w14:textFill>
              </w:rPr>
              <w:t>中</w:t>
            </w:r>
            <w:r>
              <w:rPr>
                <w:color w:val="000000" w:themeColor="text1"/>
                <w:spacing w:val="-53"/>
                <w:kern w:val="0"/>
                <w14:textFill>
                  <w14:solidFill>
                    <w14:schemeClr w14:val="tx1"/>
                  </w14:solidFill>
                </w14:textFill>
              </w:rPr>
              <w:t xml:space="preserve"> </w:t>
            </w:r>
            <w:r>
              <w:rPr>
                <w:color w:val="000000" w:themeColor="text1"/>
                <w:kern w:val="0"/>
                <w14:textFill>
                  <w14:solidFill>
                    <w14:schemeClr w14:val="tx1"/>
                  </w14:solidFill>
                </w14:textFill>
              </w:rPr>
              <w:t>1类标准值</w:t>
            </w:r>
          </w:p>
        </w:tc>
        <w:tc>
          <w:tcPr>
            <w:tcW w:w="449" w:type="pct"/>
            <w:vMerge w:val="restar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55dB(A)/</w:t>
            </w:r>
          </w:p>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45dB(A)</w:t>
            </w:r>
          </w:p>
        </w:tc>
        <w:tc>
          <w:tcPr>
            <w:tcW w:w="264" w:type="pct"/>
            <w:vMerge w:val="restar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Merge w:val="continue"/>
            <w:vAlign w:val="center"/>
          </w:tcPr>
          <w:p>
            <w:pPr>
              <w:pStyle w:val="332"/>
              <w:rPr>
                <w:color w:val="000000" w:themeColor="text1"/>
                <w:kern w:val="0"/>
                <w14:textFill>
                  <w14:solidFill>
                    <w14:schemeClr w14:val="tx1"/>
                  </w14:solidFill>
                </w14:textFill>
              </w:rPr>
            </w:pPr>
          </w:p>
        </w:tc>
        <w:tc>
          <w:tcPr>
            <w:tcW w:w="676" w:type="pct"/>
            <w:gridSpan w:val="3"/>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运输车辆</w:t>
            </w:r>
          </w:p>
        </w:tc>
        <w:tc>
          <w:tcPr>
            <w:tcW w:w="1077"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控制车辆行驶速度，</w:t>
            </w:r>
            <w:r>
              <w:rPr>
                <w:color w:val="000000" w:themeColor="text1"/>
                <w:spacing w:val="-2"/>
                <w:kern w:val="0"/>
                <w14:textFill>
                  <w14:solidFill>
                    <w14:schemeClr w14:val="tx1"/>
                  </w14:solidFill>
                </w14:textFill>
              </w:rPr>
              <w:t>加强场内车辆管理，禁止鸣</w:t>
            </w:r>
            <w:r>
              <w:rPr>
                <w:color w:val="000000" w:themeColor="text1"/>
                <w:spacing w:val="-92"/>
                <w:kern w:val="0"/>
                <w14:textFill>
                  <w14:solidFill>
                    <w14:schemeClr w14:val="tx1"/>
                  </w14:solidFill>
                </w14:textFill>
              </w:rPr>
              <w:t xml:space="preserve"> </w:t>
            </w:r>
            <w:r>
              <w:rPr>
                <w:color w:val="000000" w:themeColor="text1"/>
                <w:kern w:val="0"/>
                <w14:textFill>
                  <w14:solidFill>
                    <w14:schemeClr w14:val="tx1"/>
                  </w14:solidFill>
                </w14:textFill>
              </w:rPr>
              <w:t>笛</w:t>
            </w:r>
          </w:p>
        </w:tc>
        <w:tc>
          <w:tcPr>
            <w:tcW w:w="46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74"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367"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~55dB(A)</w:t>
            </w:r>
          </w:p>
        </w:tc>
        <w:tc>
          <w:tcPr>
            <w:tcW w:w="306"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w:t>
            </w:r>
          </w:p>
        </w:tc>
        <w:tc>
          <w:tcPr>
            <w:tcW w:w="822" w:type="pct"/>
            <w:vMerge w:val="continue"/>
            <w:vAlign w:val="center"/>
          </w:tcPr>
          <w:p>
            <w:pPr>
              <w:pStyle w:val="332"/>
              <w:rPr>
                <w:color w:val="000000" w:themeColor="text1"/>
                <w:kern w:val="0"/>
                <w14:textFill>
                  <w14:solidFill>
                    <w14:schemeClr w14:val="tx1"/>
                  </w14:solidFill>
                </w14:textFill>
              </w:rPr>
            </w:pPr>
          </w:p>
        </w:tc>
        <w:tc>
          <w:tcPr>
            <w:tcW w:w="449" w:type="pct"/>
            <w:vMerge w:val="continue"/>
            <w:vAlign w:val="center"/>
          </w:tcPr>
          <w:p>
            <w:pPr>
              <w:pStyle w:val="332"/>
              <w:rPr>
                <w:color w:val="000000" w:themeColor="text1"/>
                <w:kern w:val="0"/>
                <w14:textFill>
                  <w14:solidFill>
                    <w14:schemeClr w14:val="tx1"/>
                  </w14:solidFill>
                </w14:textFill>
              </w:rPr>
            </w:pPr>
          </w:p>
        </w:tc>
        <w:tc>
          <w:tcPr>
            <w:tcW w:w="264" w:type="pct"/>
            <w:vMerge w:val="continue"/>
            <w:vAlign w:val="center"/>
          </w:tcPr>
          <w:p>
            <w:pPr>
              <w:pStyle w:val="332"/>
              <w:rPr>
                <w:color w:val="000000" w:themeColor="text1"/>
                <w:kern w:val="0"/>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1" w:type="pct"/>
            <w:vAlign w:val="center"/>
          </w:tcPr>
          <w:p>
            <w:pPr>
              <w:pStyle w:val="332"/>
              <w:rPr>
                <w:color w:val="000000" w:themeColor="text1"/>
                <w:kern w:val="0"/>
                <w14:textFill>
                  <w14:solidFill>
                    <w14:schemeClr w14:val="tx1"/>
                  </w14:solidFill>
                </w14:textFill>
              </w:rPr>
            </w:pPr>
            <w:r>
              <w:rPr>
                <w:color w:val="000000" w:themeColor="text1"/>
                <w:kern w:val="0"/>
                <w14:textFill>
                  <w14:solidFill>
                    <w14:schemeClr w14:val="tx1"/>
                  </w14:solidFill>
                </w14:textFill>
              </w:rPr>
              <w:t>管理</w:t>
            </w:r>
          </w:p>
        </w:tc>
        <w:tc>
          <w:tcPr>
            <w:tcW w:w="4799" w:type="pct"/>
            <w:gridSpan w:val="11"/>
            <w:vAlign w:val="center"/>
          </w:tcPr>
          <w:p>
            <w:pPr>
              <w:pStyle w:val="332"/>
              <w:jc w:val="both"/>
              <w:rPr>
                <w:color w:val="000000" w:themeColor="text1"/>
                <w:kern w:val="0"/>
                <w14:textFill>
                  <w14:solidFill>
                    <w14:schemeClr w14:val="tx1"/>
                  </w14:solidFill>
                </w14:textFill>
              </w:rPr>
            </w:pPr>
            <w:r>
              <w:rPr>
                <w:color w:val="000000" w:themeColor="text1"/>
                <w:kern w:val="0"/>
                <w14:textFill>
                  <w14:solidFill>
                    <w14:schemeClr w14:val="tx1"/>
                  </w14:solidFill>
                </w14:textFill>
              </w:rPr>
              <w:t>加强员工环保教育，提高员工环保意识；设专人负责设备的维护、保养等。</w:t>
            </w:r>
          </w:p>
        </w:tc>
      </w:tr>
    </w:tbl>
    <w:p>
      <w:pPr>
        <w:ind w:firstLine="480"/>
        <w:rPr>
          <w:rFonts w:cs="Times New Roman"/>
          <w:color w:val="000000" w:themeColor="text1"/>
          <w14:textFill>
            <w14:solidFill>
              <w14:schemeClr w14:val="tx1"/>
            </w14:solidFill>
          </w14:textFill>
        </w:rPr>
        <w:sectPr>
          <w:pgSz w:w="16840" w:h="11907" w:orient="landscape"/>
          <w:pgMar w:top="1418" w:right="1531" w:bottom="1418" w:left="1531" w:header="851" w:footer="992" w:gutter="0"/>
          <w:pgNumType w:fmt="numberInDash"/>
          <w:cols w:space="720" w:num="1"/>
          <w:docGrid w:linePitch="326" w:charSpace="0"/>
        </w:sectPr>
      </w:pPr>
    </w:p>
    <w:p>
      <w:pPr>
        <w:pStyle w:val="4"/>
        <w:rPr>
          <w:rFonts w:cs="Times New Roman"/>
          <w:color w:val="000000" w:themeColor="text1"/>
          <w14:textFill>
            <w14:solidFill>
              <w14:schemeClr w14:val="tx1"/>
            </w14:solidFill>
          </w14:textFill>
        </w:rPr>
      </w:pPr>
      <w:bookmarkStart w:id="730" w:name="_Toc91163992"/>
      <w:r>
        <w:rPr>
          <w:rFonts w:cs="Times New Roman"/>
          <w:color w:val="000000" w:themeColor="text1"/>
          <w14:textFill>
            <w14:solidFill>
              <w14:schemeClr w14:val="tx1"/>
            </w14:solidFill>
          </w14:textFill>
        </w:rPr>
        <w:t xml:space="preserve">8.1.3 </w:t>
      </w:r>
      <w:bookmarkEnd w:id="725"/>
      <w:bookmarkEnd w:id="726"/>
      <w:bookmarkEnd w:id="727"/>
      <w:bookmarkEnd w:id="728"/>
      <w:bookmarkEnd w:id="729"/>
      <w:r>
        <w:rPr>
          <w:rFonts w:cs="Times New Roman"/>
          <w:color w:val="000000" w:themeColor="text1"/>
          <w14:textFill>
            <w14:solidFill>
              <w14:schemeClr w14:val="tx1"/>
            </w14:solidFill>
          </w14:textFill>
        </w:rPr>
        <w:t>排污口规范化设置</w:t>
      </w:r>
      <w:bookmarkEnd w:id="730"/>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企业在严格进行环境管理的同时还应遵照国家对排污口规范的要求，在场区“三废”及噪声排放点设置明显标志，标志的设置应执行《环境保护图形标志排放口（源）》（GB15562.1-1995）及《环境保护图形固体废物贮存（处置）场》（GB15562.2-1995）中有关规定。</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排放口图形标志见图8.1-1。工程施工期环境管理机构主要职责如下：</w:t>
      </w:r>
    </w:p>
    <w:tbl>
      <w:tblPr>
        <w:tblStyle w:val="5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257"/>
        <w:gridCol w:w="1488"/>
        <w:gridCol w:w="1650"/>
        <w:gridCol w:w="1662"/>
        <w:gridCol w:w="1563"/>
        <w:gridCol w:w="1667"/>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1257" w:type="dxa"/>
            <w:tcBorders>
              <w:top w:val="single" w:color="auto" w:sz="12" w:space="0"/>
              <w:left w:val="single" w:color="auto" w:sz="12" w:space="0"/>
              <w:bottom w:val="single" w:color="auto" w:sz="12"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排放口</w:t>
            </w:r>
          </w:p>
        </w:tc>
        <w:tc>
          <w:tcPr>
            <w:tcW w:w="1488" w:type="dxa"/>
            <w:tcBorders>
              <w:top w:val="single" w:color="auto" w:sz="12" w:space="0"/>
              <w:bottom w:val="single" w:color="auto" w:sz="12"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废气排口</w:t>
            </w:r>
          </w:p>
        </w:tc>
        <w:tc>
          <w:tcPr>
            <w:tcW w:w="1650" w:type="dxa"/>
            <w:tcBorders>
              <w:top w:val="single" w:color="auto" w:sz="12" w:space="0"/>
              <w:bottom w:val="single" w:color="auto" w:sz="12" w:space="0"/>
              <w:right w:val="single" w:color="000000" w:sz="2"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废水排放口</w:t>
            </w:r>
          </w:p>
        </w:tc>
        <w:tc>
          <w:tcPr>
            <w:tcW w:w="1662" w:type="dxa"/>
            <w:tcBorders>
              <w:top w:val="single" w:color="auto" w:sz="12" w:space="0"/>
              <w:left w:val="single" w:color="000000" w:sz="2" w:space="0"/>
              <w:bottom w:val="single" w:color="auto" w:sz="12"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噪声源</w:t>
            </w:r>
          </w:p>
        </w:tc>
        <w:tc>
          <w:tcPr>
            <w:tcW w:w="1563" w:type="dxa"/>
            <w:tcBorders>
              <w:top w:val="single" w:color="auto" w:sz="12" w:space="0"/>
              <w:bottom w:val="single" w:color="auto" w:sz="12"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固体废物堆场</w:t>
            </w:r>
          </w:p>
        </w:tc>
        <w:tc>
          <w:tcPr>
            <w:tcW w:w="1667" w:type="dxa"/>
            <w:tcBorders>
              <w:top w:val="single" w:color="auto" w:sz="12" w:space="0"/>
              <w:bottom w:val="single" w:color="auto" w:sz="12" w:space="0"/>
              <w:right w:val="single" w:color="auto" w:sz="12"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危险废物标志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1257" w:type="dxa"/>
            <w:tcBorders>
              <w:top w:val="single" w:color="auto" w:sz="12" w:space="0"/>
              <w:left w:val="single" w:color="auto" w:sz="12" w:space="0"/>
              <w:bottom w:val="single" w:color="auto" w:sz="6"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图形符号</w:t>
            </w:r>
          </w:p>
        </w:tc>
        <w:tc>
          <w:tcPr>
            <w:tcW w:w="1488" w:type="dxa"/>
            <w:tcBorders>
              <w:top w:val="single" w:color="auto" w:sz="12" w:space="0"/>
              <w:bottom w:val="single" w:color="auto" w:sz="6"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91845" cy="791845"/>
                  <wp:effectExtent l="0" t="0" r="8255" b="8255"/>
                  <wp:docPr id="6679" name="图片 39" descr="废气排放口"/>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79" name="图片 39" descr="废气排放口"/>
                          <pic:cNvPicPr>
                            <a:picLocks noChangeAspect="true" noChangeArrowheads="true"/>
                          </pic:cNvPicPr>
                        </pic:nvPicPr>
                        <pic:blipFill>
                          <a:blip r:embed="rId55">
                            <a:extLst>
                              <a:ext uri="{28A0092B-C50C-407E-A947-70E740481C1C}">
                                <a14:useLocalDpi xmlns:a14="http://schemas.microsoft.com/office/drawing/2010/main" val="false"/>
                              </a:ext>
                            </a:extLst>
                          </a:blip>
                          <a:srcRect/>
                          <a:stretch>
                            <a:fillRect/>
                          </a:stretch>
                        </pic:blipFill>
                        <pic:spPr>
                          <a:xfrm>
                            <a:off x="0" y="0"/>
                            <a:ext cx="791845" cy="791845"/>
                          </a:xfrm>
                          <a:prstGeom prst="rect">
                            <a:avLst/>
                          </a:prstGeom>
                          <a:noFill/>
                          <a:ln w="9525">
                            <a:noFill/>
                            <a:miter lim="800000"/>
                            <a:headEnd/>
                            <a:tailEnd/>
                          </a:ln>
                        </pic:spPr>
                      </pic:pic>
                    </a:graphicData>
                  </a:graphic>
                </wp:inline>
              </w:drawing>
            </w:r>
          </w:p>
        </w:tc>
        <w:tc>
          <w:tcPr>
            <w:tcW w:w="1650" w:type="dxa"/>
            <w:tcBorders>
              <w:top w:val="single" w:color="auto" w:sz="12" w:space="0"/>
              <w:bottom w:val="single" w:color="auto" w:sz="6" w:space="0"/>
              <w:right w:val="single" w:color="000000" w:sz="2"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866775" cy="805180"/>
                  <wp:effectExtent l="0" t="0" r="9525" b="0"/>
                  <wp:docPr id="6680" name="图片 40" descr="未标题-5 拷贝"/>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80" name="图片 40" descr="未标题-5 拷贝"/>
                          <pic:cNvPicPr>
                            <a:picLocks noChangeAspect="true" noChangeArrowheads="true"/>
                          </pic:cNvPicPr>
                        </pic:nvPicPr>
                        <pic:blipFill>
                          <a:blip r:embed="rId56" cstate="print">
                            <a:extLst>
                              <a:ext uri="{28A0092B-C50C-407E-A947-70E740481C1C}">
                                <a14:useLocalDpi xmlns:a14="http://schemas.microsoft.com/office/drawing/2010/main" val="false"/>
                              </a:ext>
                            </a:extLst>
                          </a:blip>
                          <a:srcRect l="4231" t="11546" r="58992" b="62689"/>
                          <a:stretch>
                            <a:fillRect/>
                          </a:stretch>
                        </pic:blipFill>
                        <pic:spPr>
                          <a:xfrm>
                            <a:off x="0" y="0"/>
                            <a:ext cx="866775" cy="805180"/>
                          </a:xfrm>
                          <a:prstGeom prst="rect">
                            <a:avLst/>
                          </a:prstGeom>
                          <a:noFill/>
                          <a:ln w="9525">
                            <a:noFill/>
                            <a:miter lim="800000"/>
                            <a:headEnd/>
                            <a:tailEnd/>
                          </a:ln>
                        </pic:spPr>
                      </pic:pic>
                    </a:graphicData>
                  </a:graphic>
                </wp:inline>
              </w:drawing>
            </w:r>
          </w:p>
        </w:tc>
        <w:tc>
          <w:tcPr>
            <w:tcW w:w="1662" w:type="dxa"/>
            <w:tcBorders>
              <w:top w:val="single" w:color="auto" w:sz="12" w:space="0"/>
              <w:left w:val="single" w:color="000000" w:sz="2" w:space="0"/>
              <w:bottom w:val="single" w:color="auto" w:sz="6"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812165" cy="777875"/>
                  <wp:effectExtent l="0" t="0" r="6985" b="3175"/>
                  <wp:docPr id="6681" name="图片 41" descr="噪声排放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81" name="图片 41" descr="噪声排放源"/>
                          <pic:cNvPicPr>
                            <a:picLocks noChangeAspect="true" noChangeArrowheads="true"/>
                          </pic:cNvPicPr>
                        </pic:nvPicPr>
                        <pic:blipFill>
                          <a:blip r:embed="rId57">
                            <a:extLst>
                              <a:ext uri="{28A0092B-C50C-407E-A947-70E740481C1C}">
                                <a14:useLocalDpi xmlns:a14="http://schemas.microsoft.com/office/drawing/2010/main" val="false"/>
                              </a:ext>
                            </a:extLst>
                          </a:blip>
                          <a:srcRect/>
                          <a:stretch>
                            <a:fillRect/>
                          </a:stretch>
                        </pic:blipFill>
                        <pic:spPr>
                          <a:xfrm>
                            <a:off x="0" y="0"/>
                            <a:ext cx="812165" cy="777875"/>
                          </a:xfrm>
                          <a:prstGeom prst="rect">
                            <a:avLst/>
                          </a:prstGeom>
                          <a:noFill/>
                          <a:ln w="9525">
                            <a:noFill/>
                            <a:miter lim="800000"/>
                            <a:headEnd/>
                            <a:tailEnd/>
                          </a:ln>
                        </pic:spPr>
                      </pic:pic>
                    </a:graphicData>
                  </a:graphic>
                </wp:inline>
              </w:drawing>
            </w:r>
          </w:p>
        </w:tc>
        <w:tc>
          <w:tcPr>
            <w:tcW w:w="1563" w:type="dxa"/>
            <w:tcBorders>
              <w:top w:val="single" w:color="auto" w:sz="12" w:space="0"/>
              <w:bottom w:val="single" w:color="auto" w:sz="6" w:space="0"/>
              <w:tl2br w:val="nil"/>
              <w:tr2bl w:val="nil"/>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825500" cy="791845"/>
                  <wp:effectExtent l="0" t="0" r="0" b="8255"/>
                  <wp:docPr id="6682" name="图片 42" descr="一般固体废物"/>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82" name="图片 42" descr="一般固体废物"/>
                          <pic:cNvPicPr>
                            <a:picLocks noChangeAspect="true" noChangeArrowheads="true"/>
                          </pic:cNvPicPr>
                        </pic:nvPicPr>
                        <pic:blipFill>
                          <a:blip r:embed="rId58">
                            <a:extLst>
                              <a:ext uri="{28A0092B-C50C-407E-A947-70E740481C1C}">
                                <a14:useLocalDpi xmlns:a14="http://schemas.microsoft.com/office/drawing/2010/main" val="false"/>
                              </a:ext>
                            </a:extLst>
                          </a:blip>
                          <a:srcRect/>
                          <a:stretch>
                            <a:fillRect/>
                          </a:stretch>
                        </pic:blipFill>
                        <pic:spPr>
                          <a:xfrm>
                            <a:off x="0" y="0"/>
                            <a:ext cx="825500" cy="791845"/>
                          </a:xfrm>
                          <a:prstGeom prst="rect">
                            <a:avLst/>
                          </a:prstGeom>
                          <a:noFill/>
                          <a:ln w="9525">
                            <a:noFill/>
                            <a:miter lim="800000"/>
                            <a:headEnd/>
                            <a:tailEnd/>
                          </a:ln>
                        </pic:spPr>
                      </pic:pic>
                    </a:graphicData>
                  </a:graphic>
                </wp:inline>
              </w:drawing>
            </w:r>
          </w:p>
        </w:tc>
        <w:tc>
          <w:tcPr>
            <w:tcW w:w="1667" w:type="dxa"/>
            <w:tcBorders>
              <w:top w:val="single" w:color="auto" w:sz="12" w:space="0"/>
              <w:bottom w:val="single" w:color="auto" w:sz="6" w:space="0"/>
              <w:right w:val="single" w:color="auto" w:sz="12" w:space="0"/>
              <w:tl2br w:val="nil"/>
              <w:tr2bl w:val="nil"/>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75970" cy="763270"/>
                  <wp:effectExtent l="0" t="0" r="5080" b="0"/>
                  <wp:docPr id="6673" name="图片 585"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73" name="图片 585" descr="IMG_256"/>
                          <pic:cNvPicPr>
                            <a:picLocks noChangeAspect="true" noChangeArrowheads="true"/>
                          </pic:cNvPicPr>
                        </pic:nvPicPr>
                        <pic:blipFill>
                          <a:blip r:embed="rId59" cstate="print">
                            <a:extLst>
                              <a:ext uri="{28A0092B-C50C-407E-A947-70E740481C1C}">
                                <a14:useLocalDpi xmlns:a14="http://schemas.microsoft.com/office/drawing/2010/main" val="false"/>
                              </a:ext>
                            </a:extLst>
                          </a:blip>
                          <a:srcRect/>
                          <a:stretch>
                            <a:fillRect/>
                          </a:stretch>
                        </pic:blipFill>
                        <pic:spPr>
                          <a:xfrm>
                            <a:off x="0" y="0"/>
                            <a:ext cx="775970" cy="763270"/>
                          </a:xfrm>
                          <a:prstGeom prst="rect">
                            <a:avLst/>
                          </a:prstGeom>
                          <a:noFill/>
                          <a:ln w="9525">
                            <a:noFill/>
                            <a:miter lim="800000"/>
                            <a:headEnd/>
                            <a:tailEnd/>
                          </a:ln>
                          <a:effectLst/>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97" w:hRule="atLeast"/>
          <w:jc w:val="center"/>
        </w:trPr>
        <w:tc>
          <w:tcPr>
            <w:tcW w:w="1257" w:type="dxa"/>
            <w:tcBorders>
              <w:top w:val="single" w:color="auto" w:sz="6" w:space="0"/>
              <w:left w:val="single" w:color="auto" w:sz="12" w:space="0"/>
              <w:bottom w:val="single" w:color="auto" w:sz="6"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背景颜色</w:t>
            </w:r>
          </w:p>
        </w:tc>
        <w:tc>
          <w:tcPr>
            <w:tcW w:w="6363" w:type="dxa"/>
            <w:gridSpan w:val="4"/>
            <w:tcBorders>
              <w:top w:val="single" w:color="auto" w:sz="6" w:space="0"/>
              <w:bottom w:val="single" w:color="auto" w:sz="6"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绿色</w:t>
            </w:r>
          </w:p>
        </w:tc>
        <w:tc>
          <w:tcPr>
            <w:tcW w:w="1667" w:type="dxa"/>
            <w:tcBorders>
              <w:top w:val="single" w:color="auto" w:sz="6" w:space="0"/>
              <w:bottom w:val="single" w:color="auto" w:sz="6" w:space="0"/>
              <w:right w:val="single" w:color="auto" w:sz="12"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桔黄色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97" w:hRule="atLeast"/>
          <w:jc w:val="center"/>
        </w:trPr>
        <w:tc>
          <w:tcPr>
            <w:tcW w:w="1257" w:type="dxa"/>
            <w:tcBorders>
              <w:top w:val="single" w:color="auto" w:sz="6" w:space="0"/>
              <w:left w:val="single" w:color="auto" w:sz="12" w:space="0"/>
              <w:bottom w:val="single" w:color="auto" w:sz="12"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图形颜色</w:t>
            </w:r>
          </w:p>
        </w:tc>
        <w:tc>
          <w:tcPr>
            <w:tcW w:w="6363" w:type="dxa"/>
            <w:gridSpan w:val="4"/>
            <w:tcBorders>
              <w:top w:val="single" w:color="auto" w:sz="6" w:space="0"/>
              <w:bottom w:val="single" w:color="auto" w:sz="12"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白色</w:t>
            </w:r>
          </w:p>
        </w:tc>
        <w:tc>
          <w:tcPr>
            <w:tcW w:w="1667" w:type="dxa"/>
            <w:tcBorders>
              <w:top w:val="single" w:color="auto" w:sz="6" w:space="0"/>
              <w:bottom w:val="single" w:color="auto" w:sz="12" w:space="0"/>
              <w:right w:val="single" w:color="auto" w:sz="12" w:space="0"/>
              <w:tl2br w:val="nil"/>
              <w:tr2bl w:val="nil"/>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黑色</w:t>
            </w:r>
          </w:p>
        </w:tc>
      </w:tr>
    </w:tbl>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图</w:t>
      </w:r>
      <w:r>
        <w:rPr>
          <w:rFonts w:cs="Times New Roman"/>
          <w:bCs/>
          <w:color w:val="000000" w:themeColor="text1"/>
          <w14:textFill>
            <w14:solidFill>
              <w14:schemeClr w14:val="tx1"/>
            </w14:solidFill>
          </w14:textFill>
        </w:rPr>
        <w:t xml:space="preserve">8.1-1 </w:t>
      </w:r>
      <w:r>
        <w:rPr>
          <w:rFonts w:cs="Times New Roman"/>
          <w:color w:val="000000" w:themeColor="text1"/>
          <w14:textFill>
            <w14:solidFill>
              <w14:schemeClr w14:val="tx1"/>
            </w14:solidFill>
          </w14:textFill>
        </w:rPr>
        <w:t>环境保护图形标志</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1、废气排放口规范化设置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病死猪无害化处理设备排气筒高度为15 m，沼气发电机排气筒高度为15 m。排气筒设置便于采样监测的采样口和采样监测平台，采样孔点数目和位置按《固定污染源排气中颗粒物测定与气态污染物采样方法》（GB/T16157-1996）的规定设置。在距离废气排气筒和附近醒目处，设提示环境保护图形标志，能长久保留。</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2、废水排污口规范化设置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本项目运营过程中废水不外排，不设置废水排污口。</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3、噪声排放口的规范化设置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建设项目周围无噪声敏感目标，不设置噪声环境保护图形标志。</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4、固体废物贮存（处置）场所的规范化</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cs="Times New Roman"/>
          <w:color w:val="000000" w:themeColor="text1"/>
          <w14:textFill>
            <w14:solidFill>
              <w14:schemeClr w14:val="tx1"/>
            </w14:solidFill>
          </w14:textFill>
        </w:rPr>
        <w:t>生活垃圾：集中收集，存放于垃圾收集箱内，定期清运至附近垃圾收集点。</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rFonts w:cs="Times New Roman"/>
          <w:color w:val="000000" w:themeColor="text1"/>
          <w14:textFill>
            <w14:solidFill>
              <w14:schemeClr w14:val="tx1"/>
            </w14:solidFill>
          </w14:textFill>
        </w:rPr>
        <w:t>废脱硫剂：本项目脱硫剂主要成分为Fe</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，废脱硫剂主要是因为杂质成分过多，脱硫效果不佳，由于废脱硫剂产生量较少，集中收集后由生产厂家回收再利用。</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cs="Times New Roman"/>
          <w:color w:val="000000" w:themeColor="text1"/>
          <w14:textFill>
            <w14:solidFill>
              <w14:schemeClr w14:val="tx1"/>
            </w14:solidFill>
          </w14:textFill>
        </w:rPr>
        <w:t>医疗废物：设1座10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的医疗废物暂存间，防疫工作产生医疗废物委托有资质的单位处理。</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cs="Times New Roman"/>
          <w:color w:val="000000" w:themeColor="text1"/>
          <w14:textFill>
            <w14:solidFill>
              <w14:schemeClr w14:val="tx1"/>
            </w14:solidFill>
          </w14:textFill>
        </w:rPr>
        <w:t>病死猪：设1座建筑面积为450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的病死猪无害化处理车间，经无害化降解处理后作有机肥料。</w:t>
      </w:r>
    </w:p>
    <w:p>
      <w:pPr>
        <w:ind w:firstLine="480"/>
        <w:rPr>
          <w:rFonts w:cs="Times New Roman"/>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rFonts w:cs="Times New Roman"/>
          <w:color w:val="000000" w:themeColor="text1"/>
          <w14:textFill>
            <w14:solidFill>
              <w14:schemeClr w14:val="tx1"/>
            </w14:solidFill>
          </w14:textFill>
        </w:rPr>
        <w:t>猪粪、沼渣、固体残渣：设1座建筑面积为600 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的有机肥粪棚进行好氧堆肥处理。</w:t>
      </w:r>
      <w:bookmarkStart w:id="731" w:name="_Toc58362884"/>
      <w:bookmarkStart w:id="732" w:name="_Toc52791974"/>
      <w:bookmarkStart w:id="733" w:name="_Toc47619920"/>
      <w:bookmarkStart w:id="734" w:name="_Toc47620106"/>
      <w:bookmarkStart w:id="735" w:name="_Toc47619258"/>
    </w:p>
    <w:p>
      <w:pPr>
        <w:pStyle w:val="4"/>
        <w:rPr>
          <w:rFonts w:cs="Times New Roman"/>
          <w:color w:val="000000" w:themeColor="text1"/>
          <w14:textFill>
            <w14:solidFill>
              <w14:schemeClr w14:val="tx1"/>
            </w14:solidFill>
          </w14:textFill>
        </w:rPr>
      </w:pPr>
      <w:bookmarkStart w:id="736" w:name="_Toc91163993"/>
      <w:r>
        <w:rPr>
          <w:rFonts w:cs="Times New Roman"/>
          <w:color w:val="000000" w:themeColor="text1"/>
          <w14:textFill>
            <w14:solidFill>
              <w14:schemeClr w14:val="tx1"/>
            </w14:solidFill>
          </w14:textFill>
        </w:rPr>
        <w:t xml:space="preserve">8.1.4 </w:t>
      </w:r>
      <w:bookmarkEnd w:id="731"/>
      <w:bookmarkEnd w:id="732"/>
      <w:bookmarkEnd w:id="733"/>
      <w:bookmarkEnd w:id="734"/>
      <w:bookmarkEnd w:id="735"/>
      <w:bookmarkStart w:id="737" w:name="_Toc52791975"/>
      <w:bookmarkStart w:id="738" w:name="_Toc58362885"/>
      <w:bookmarkStart w:id="739" w:name="_Toc47620107"/>
      <w:bookmarkStart w:id="740" w:name="_Toc47619921"/>
      <w:bookmarkStart w:id="741" w:name="_Toc47619259"/>
      <w:r>
        <w:rPr>
          <w:rFonts w:cs="Times New Roman"/>
          <w:color w:val="000000" w:themeColor="text1"/>
          <w14:textFill>
            <w14:solidFill>
              <w14:schemeClr w14:val="tx1"/>
            </w14:solidFill>
          </w14:textFill>
        </w:rPr>
        <w:t>执行的环境质量标准</w:t>
      </w:r>
      <w:bookmarkEnd w:id="736"/>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本项目环境质量标准分别为：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1、《环境空气质量标准》（</w:t>
      </w:r>
      <w:r>
        <w:rPr>
          <w:rFonts w:eastAsia="黑体" w:cs="Times New Roman"/>
          <w:color w:val="000000" w:themeColor="text1"/>
          <w14:textFill>
            <w14:solidFill>
              <w14:schemeClr w14:val="tx1"/>
            </w14:solidFill>
          </w14:textFill>
        </w:rPr>
        <w:t>GB3095-2012</w:t>
      </w:r>
      <w:r>
        <w:rPr>
          <w:rFonts w:cs="Times New Roman"/>
          <w:color w:val="000000" w:themeColor="text1"/>
          <w14:textFill>
            <w14:solidFill>
              <w14:schemeClr w14:val="tx1"/>
            </w14:solidFill>
          </w14:textFill>
        </w:rPr>
        <w:t>）及修改单中二级标准、《环境影响评价技术导则 大气环境》（</w:t>
      </w:r>
      <w:r>
        <w:rPr>
          <w:rFonts w:eastAsia="黑体" w:cs="Times New Roman"/>
          <w:color w:val="000000" w:themeColor="text1"/>
          <w14:textFill>
            <w14:solidFill>
              <w14:schemeClr w14:val="tx1"/>
            </w14:solidFill>
          </w14:textFill>
        </w:rPr>
        <w:t>HJ2.2-2018</w:t>
      </w:r>
      <w:r>
        <w:rPr>
          <w:rFonts w:cs="Times New Roman"/>
          <w:color w:val="000000" w:themeColor="text1"/>
          <w14:textFill>
            <w14:solidFill>
              <w14:schemeClr w14:val="tx1"/>
            </w14:solidFill>
          </w14:textFill>
        </w:rPr>
        <w:t>）附录</w:t>
      </w:r>
      <w:r>
        <w:rPr>
          <w:rFonts w:eastAsia="黑体" w:cs="Times New Roman"/>
          <w:color w:val="000000" w:themeColor="text1"/>
          <w14:textFill>
            <w14:solidFill>
              <w14:schemeClr w14:val="tx1"/>
            </w14:solidFill>
          </w14:textFill>
        </w:rPr>
        <w:t xml:space="preserve">D </w:t>
      </w:r>
      <w:r>
        <w:rPr>
          <w:rFonts w:cs="Times New Roman"/>
          <w:color w:val="000000" w:themeColor="text1"/>
          <w14:textFill>
            <w14:solidFill>
              <w14:schemeClr w14:val="tx1"/>
            </w14:solidFill>
          </w14:textFill>
        </w:rPr>
        <w:t>中氨和硫化氢空气质量浓度限值；</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2、《地表水环境质量标准》（</w:t>
      </w:r>
      <w:r>
        <w:rPr>
          <w:rFonts w:eastAsia="黑体" w:cs="Times New Roman"/>
          <w:color w:val="000000" w:themeColor="text1"/>
          <w14:textFill>
            <w14:solidFill>
              <w14:schemeClr w14:val="tx1"/>
            </w14:solidFill>
          </w14:textFill>
        </w:rPr>
        <w:t>GB3838-2002</w:t>
      </w:r>
      <w:r>
        <w:rPr>
          <w:rFonts w:cs="Times New Roman"/>
          <w:color w:val="000000" w:themeColor="text1"/>
          <w14:textFill>
            <w14:solidFill>
              <w14:schemeClr w14:val="tx1"/>
            </w14:solidFill>
          </w14:textFill>
        </w:rPr>
        <w:t>）Ⅱ类标准；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3、《地下水质量标准》（</w:t>
      </w:r>
      <w:r>
        <w:rPr>
          <w:rFonts w:eastAsia="黑体" w:cs="Times New Roman"/>
          <w:color w:val="000000" w:themeColor="text1"/>
          <w14:textFill>
            <w14:solidFill>
              <w14:schemeClr w14:val="tx1"/>
            </w14:solidFill>
          </w14:textFill>
        </w:rPr>
        <w:t>GB/T14848-2017</w:t>
      </w:r>
      <w:r>
        <w:rPr>
          <w:rFonts w:cs="Times New Roman"/>
          <w:color w:val="000000" w:themeColor="text1"/>
          <w14:textFill>
            <w14:solidFill>
              <w14:schemeClr w14:val="tx1"/>
            </w14:solidFill>
          </w14:textFill>
        </w:rPr>
        <w:t>）Ⅲ类标准；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4、《声环境质量标准》（</w:t>
      </w:r>
      <w:r>
        <w:rPr>
          <w:rFonts w:eastAsia="黑体" w:cs="Times New Roman"/>
          <w:color w:val="000000" w:themeColor="text1"/>
          <w14:textFill>
            <w14:solidFill>
              <w14:schemeClr w14:val="tx1"/>
            </w14:solidFill>
          </w14:textFill>
        </w:rPr>
        <w:t>GB3096-2008</w:t>
      </w:r>
      <w:r>
        <w:rPr>
          <w:rFonts w:cs="Times New Roman"/>
          <w:color w:val="000000" w:themeColor="text1"/>
          <w14:textFill>
            <w14:solidFill>
              <w14:schemeClr w14:val="tx1"/>
            </w14:solidFill>
          </w14:textFill>
        </w:rPr>
        <w:t>）</w:t>
      </w:r>
      <w:r>
        <w:rPr>
          <w:rFonts w:eastAsia="黑体"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类标准；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5、《土壤环境质量 农用地土壤污染风险管控标准（试行）》（GB15618-2018）农用地土壤污染风险筛选值。</w:t>
      </w:r>
    </w:p>
    <w:p>
      <w:pPr>
        <w:pStyle w:val="4"/>
        <w:rPr>
          <w:rFonts w:cs="Times New Roman"/>
          <w:color w:val="000000" w:themeColor="text1"/>
          <w14:textFill>
            <w14:solidFill>
              <w14:schemeClr w14:val="tx1"/>
            </w14:solidFill>
          </w14:textFill>
        </w:rPr>
      </w:pPr>
      <w:bookmarkStart w:id="742" w:name="_Toc91163994"/>
      <w:r>
        <w:rPr>
          <w:rFonts w:cs="Times New Roman"/>
          <w:color w:val="000000" w:themeColor="text1"/>
          <w14:textFill>
            <w14:solidFill>
              <w14:schemeClr w14:val="tx1"/>
            </w14:solidFill>
          </w14:textFill>
        </w:rPr>
        <w:t xml:space="preserve">8.1.5 </w:t>
      </w:r>
      <w:bookmarkEnd w:id="737"/>
      <w:bookmarkEnd w:id="738"/>
      <w:bookmarkEnd w:id="739"/>
      <w:bookmarkEnd w:id="740"/>
      <w:bookmarkEnd w:id="741"/>
      <w:bookmarkStart w:id="743" w:name="_Toc47619922"/>
      <w:bookmarkStart w:id="744" w:name="_Toc58362886"/>
      <w:bookmarkStart w:id="745" w:name="_Toc52791976"/>
      <w:bookmarkStart w:id="746" w:name="_Toc47620108"/>
      <w:bookmarkStart w:id="747" w:name="_Toc47619488"/>
      <w:bookmarkStart w:id="748" w:name="_Toc47619382"/>
      <w:bookmarkStart w:id="749" w:name="_Toc47619260"/>
      <w:r>
        <w:rPr>
          <w:rFonts w:cs="Times New Roman"/>
          <w:color w:val="000000" w:themeColor="text1"/>
          <w14:textFill>
            <w14:solidFill>
              <w14:schemeClr w14:val="tx1"/>
            </w14:solidFill>
          </w14:textFill>
        </w:rPr>
        <w:t>企业信息公开</w:t>
      </w:r>
      <w:bookmarkEnd w:id="742"/>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企业事业单位环境信息公开办法》（环保部令第31号）的规定，企业事业单位应当按照强制公开和自愿公开相结合的原则，及时、如实地公开其环境信息。如环境信息涉及国家秘密、商业秘密或者个人隐私的，依法可以不公开；法律、法规另有规定的，从其规定。企业事业单位应当建立健全本单位环境信息公开制度，指定机构负责本单位环境信息公开日常工作。</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8.1-3 </w:t>
      </w:r>
      <w:r>
        <w:rPr>
          <w:rFonts w:cs="Times New Roman"/>
          <w:color w:val="000000" w:themeColor="text1"/>
          <w14:textFill>
            <w14:solidFill>
              <w14:schemeClr w14:val="tx1"/>
            </w14:solidFill>
          </w14:textFill>
        </w:rPr>
        <w:t>企业信息公开内容</w:t>
      </w: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1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9"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阶段</w:t>
            </w:r>
          </w:p>
        </w:tc>
        <w:tc>
          <w:tcPr>
            <w:tcW w:w="4381"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信息公开内容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9"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环境影响报告书编制阶段</w:t>
            </w:r>
          </w:p>
        </w:tc>
        <w:tc>
          <w:tcPr>
            <w:tcW w:w="4381" w:type="pct"/>
            <w:tcBorders>
              <w:top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根据建设项目环评公众参与相关规定，建设单位在建设项目环境影响报告书编制过程中，应当向社会公开建设项目的工程基本情况、周边主要保护目标的位置和距离、主要环境影响预测情况、拟采取的主要环境保护措施、公众参与的途</w:t>
            </w:r>
            <w:r>
              <w:rPr>
                <w:rFonts w:hint="eastAsia"/>
                <w:color w:val="000000" w:themeColor="text1"/>
                <w:lang w:eastAsia="zh-CN"/>
                <w14:textFill>
                  <w14:solidFill>
                    <w14:schemeClr w14:val="tx1"/>
                  </w14:solidFill>
                </w14:textFill>
              </w:rPr>
              <w:t>径</w:t>
            </w:r>
            <w:r>
              <w:rPr>
                <w:color w:val="000000" w:themeColor="text1"/>
                <w14:textFill>
                  <w14:solidFill>
                    <w14:schemeClr w14:val="tx1"/>
                  </w14:solidFill>
                </w14:textFill>
              </w:rPr>
              <w:t>方式等。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环境影响报告书编制完成</w:t>
            </w:r>
          </w:p>
        </w:tc>
        <w:tc>
          <w:tcPr>
            <w:tcW w:w="438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建设单位在建设项目环境影响报告书编制完成后，向环境保护主管部门报批前，应当向社会公开环境影响报告书全本，其中对于编制环境影响报告书的建设项目还应一并公开公众参与情况说明。报批过程中，如对环境影响报告书进一步修改，应及时公开最后版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建设项目开工前</w:t>
            </w:r>
          </w:p>
        </w:tc>
        <w:tc>
          <w:tcPr>
            <w:tcW w:w="438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建设项目开工建设前，建设单位应当向社会公开建设项目开工日期、设计单位、施工单位和环境监理单位、工程基本情况、实际选址选线、拟采取的环境保护措施清单和实施计划、由地方政府或相关部门负责配套的环境保护措施清单和实施计划等，并确保上述信息在整个施工期内均处于公开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项目施工过程中</w:t>
            </w:r>
          </w:p>
        </w:tc>
        <w:tc>
          <w:tcPr>
            <w:tcW w:w="438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项目建设过程中，建设单位应当向社会公开建设项目环境保护措施进展情况、施工期的环境保护措施落实情况、施工期环境监理情况、施工期环境监测结果等。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9"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建设项目建成后</w:t>
            </w:r>
          </w:p>
        </w:tc>
        <w:tc>
          <w:tcPr>
            <w:tcW w:w="4381" w:type="pct"/>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建设项目建成后，建设单位应当向社会公开建设项目环评提出的各项环境保护设施和措施执行情况、竣工环境保护验收监测和调查结果。对主要因排放污染物对环境产生影响的建设项目，投入生产或使用后，应当定期向社会特别是周边社区公开主要污染物排放情况。</w:t>
            </w:r>
          </w:p>
        </w:tc>
      </w:tr>
    </w:tbl>
    <w:p>
      <w:pPr>
        <w:pStyle w:val="4"/>
        <w:rPr>
          <w:rFonts w:cs="Times New Roman"/>
          <w:color w:val="000000" w:themeColor="text1"/>
          <w14:textFill>
            <w14:solidFill>
              <w14:schemeClr w14:val="tx1"/>
            </w14:solidFill>
          </w14:textFill>
        </w:rPr>
      </w:pPr>
      <w:bookmarkStart w:id="750" w:name="_Toc91163995"/>
      <w:r>
        <w:rPr>
          <w:rFonts w:cs="Times New Roman"/>
          <w:color w:val="000000" w:themeColor="text1"/>
          <w14:textFill>
            <w14:solidFill>
              <w14:schemeClr w14:val="tx1"/>
            </w14:solidFill>
          </w14:textFill>
        </w:rPr>
        <w:t xml:space="preserve">8.1.6 </w:t>
      </w:r>
      <w:r>
        <w:rPr>
          <w:rFonts w:cs="Times New Roman"/>
          <w:color w:val="000000" w:themeColor="text1"/>
          <w:kern w:val="0"/>
          <w:szCs w:val="24"/>
          <w14:textFill>
            <w14:solidFill>
              <w14:schemeClr w14:val="tx1"/>
            </w14:solidFill>
          </w14:textFill>
        </w:rPr>
        <w:t>环境管理制度</w:t>
      </w:r>
      <w:bookmarkEnd w:id="750"/>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本项目应建立健全环保管理制度，本次评价提出的环保管理制度主要内容建议见表8.1-4。</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8.1-4 </w:t>
      </w:r>
      <w:r>
        <w:rPr>
          <w:rFonts w:cs="Times New Roman"/>
          <w:color w:val="000000" w:themeColor="text1"/>
          <w14:textFill>
            <w14:solidFill>
              <w14:schemeClr w14:val="tx1"/>
            </w14:solidFill>
          </w14:textFill>
        </w:rPr>
        <w:t>环境保护管理制度表</w:t>
      </w:r>
    </w:p>
    <w:p>
      <w:pPr>
        <w:kinsoku w:val="0"/>
        <w:overflowPunct w:val="0"/>
        <w:autoSpaceDE w:val="0"/>
        <w:autoSpaceDN w:val="0"/>
        <w:adjustRightInd w:val="0"/>
        <w:spacing w:before="2" w:line="240" w:lineRule="auto"/>
        <w:ind w:firstLine="0" w:firstLineChars="0"/>
        <w:jc w:val="left"/>
        <w:rPr>
          <w:rFonts w:cs="Times New Roman"/>
          <w:color w:val="000000" w:themeColor="text1"/>
          <w:kern w:val="0"/>
          <w:sz w:val="4"/>
          <w:szCs w:val="4"/>
          <w14:textFill>
            <w14:solidFill>
              <w14:schemeClr w14:val="tx1"/>
            </w14:solidFill>
          </w14:textFill>
        </w:rPr>
      </w:pPr>
    </w:p>
    <w:tbl>
      <w:tblPr>
        <w:tblStyle w:val="53"/>
        <w:tblW w:w="5000" w:type="pct"/>
        <w:tblInd w:w="0" w:type="dxa"/>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autofit"/>
        <w:tblCellMar>
          <w:top w:w="0" w:type="dxa"/>
          <w:left w:w="0" w:type="dxa"/>
          <w:bottom w:w="0" w:type="dxa"/>
          <w:right w:w="0" w:type="dxa"/>
        </w:tblCellMar>
      </w:tblPr>
      <w:tblGrid>
        <w:gridCol w:w="1338"/>
        <w:gridCol w:w="7763"/>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35"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实施部门</w:t>
            </w:r>
          </w:p>
        </w:tc>
        <w:tc>
          <w:tcPr>
            <w:tcW w:w="4265" w:type="pct"/>
            <w:tcBorders>
              <w:top w:val="single" w:color="auto" w:sz="12" w:space="0"/>
              <w:bottom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主要内容</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35" w:type="pct"/>
            <w:vMerge w:val="restart"/>
            <w:tcBorders>
              <w:top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环保科</w:t>
            </w:r>
          </w:p>
        </w:tc>
        <w:tc>
          <w:tcPr>
            <w:tcW w:w="4265" w:type="pct"/>
            <w:tcBorders>
              <w:top w:val="single" w:color="auto" w:sz="12"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1、内部环境保护审核、例会制度</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35" w:type="pct"/>
            <w:vMerge w:val="continue"/>
            <w:vAlign w:val="center"/>
          </w:tcPr>
          <w:p>
            <w:pPr>
              <w:pStyle w:val="332"/>
              <w:rPr>
                <w:color w:val="000000" w:themeColor="text1"/>
                <w14:textFill>
                  <w14:solidFill>
                    <w14:schemeClr w14:val="tx1"/>
                  </w14:solidFill>
                </w14:textFill>
              </w:rPr>
            </w:pPr>
          </w:p>
        </w:tc>
        <w:tc>
          <w:tcPr>
            <w:tcW w:w="4265"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2、环境质量管理目标与指标考核制度</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35" w:type="pct"/>
            <w:vMerge w:val="continue"/>
            <w:vAlign w:val="center"/>
          </w:tcPr>
          <w:p>
            <w:pPr>
              <w:pStyle w:val="332"/>
              <w:rPr>
                <w:color w:val="000000" w:themeColor="text1"/>
                <w14:textFill>
                  <w14:solidFill>
                    <w14:schemeClr w14:val="tx1"/>
                  </w14:solidFill>
                </w14:textFill>
              </w:rPr>
            </w:pPr>
          </w:p>
        </w:tc>
        <w:tc>
          <w:tcPr>
            <w:tcW w:w="4265"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3、环境风险管理制度</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35" w:type="pct"/>
            <w:vMerge w:val="continue"/>
            <w:vAlign w:val="center"/>
          </w:tcPr>
          <w:p>
            <w:pPr>
              <w:pStyle w:val="332"/>
              <w:rPr>
                <w:color w:val="000000" w:themeColor="text1"/>
                <w14:textFill>
                  <w14:solidFill>
                    <w14:schemeClr w14:val="tx1"/>
                  </w14:solidFill>
                </w14:textFill>
              </w:rPr>
            </w:pPr>
          </w:p>
        </w:tc>
        <w:tc>
          <w:tcPr>
            <w:tcW w:w="4265"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4、内部环境管理监督与检查制度</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35" w:type="pct"/>
            <w:vMerge w:val="continue"/>
            <w:vAlign w:val="center"/>
          </w:tcPr>
          <w:p>
            <w:pPr>
              <w:pStyle w:val="332"/>
              <w:rPr>
                <w:color w:val="000000" w:themeColor="text1"/>
                <w14:textFill>
                  <w14:solidFill>
                    <w14:schemeClr w14:val="tx1"/>
                  </w14:solidFill>
                </w14:textFill>
              </w:rPr>
            </w:pPr>
          </w:p>
        </w:tc>
        <w:tc>
          <w:tcPr>
            <w:tcW w:w="4265"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5、环保设施与设备定期检查、保养和维护管理制度</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35" w:type="pct"/>
            <w:vMerge w:val="continue"/>
            <w:vAlign w:val="center"/>
          </w:tcPr>
          <w:p>
            <w:pPr>
              <w:pStyle w:val="332"/>
              <w:rPr>
                <w:color w:val="000000" w:themeColor="text1"/>
                <w14:textFill>
                  <w14:solidFill>
                    <w14:schemeClr w14:val="tx1"/>
                  </w14:solidFill>
                </w14:textFill>
              </w:rPr>
            </w:pPr>
          </w:p>
        </w:tc>
        <w:tc>
          <w:tcPr>
            <w:tcW w:w="4265"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6、环境保护定期、不定期监测制度</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35" w:type="pct"/>
            <w:vMerge w:val="continue"/>
            <w:vAlign w:val="center"/>
          </w:tcPr>
          <w:p>
            <w:pPr>
              <w:pStyle w:val="332"/>
              <w:rPr>
                <w:color w:val="000000" w:themeColor="text1"/>
                <w14:textFill>
                  <w14:solidFill>
                    <w14:schemeClr w14:val="tx1"/>
                  </w14:solidFill>
                </w14:textFill>
              </w:rPr>
            </w:pPr>
          </w:p>
        </w:tc>
        <w:tc>
          <w:tcPr>
            <w:tcW w:w="4265" w:type="pct"/>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7、环境保护档案管理与环境污染事故管理规定</w:t>
            </w:r>
          </w:p>
        </w:tc>
      </w:tr>
    </w:tbl>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1、环境管理组织机构</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境保护工作计划由总经理总负责，具体工作由环境安全保卫科组织实施。科室配备环保体系，环保基建、环保培训。科室管理职责主要包括贯彻执行环保政策，制定实施环保工作计划规划，组织全场环保工作验收考核，监督三废达标排放，负责污染事故调查处理，编制环保统计和考核报告。</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2、环境管理台账</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设置专人对主要污染物种类、数量、浓度、排放去向、达标情况及设施运行情况记录于档案。</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3、环保措施建设情况及运营维护费用保障计划</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环保设施与设备管理规程建议见表8.1-5。</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8.1-5 </w:t>
      </w:r>
      <w:r>
        <w:rPr>
          <w:rFonts w:cs="Times New Roman"/>
          <w:color w:val="000000" w:themeColor="text1"/>
          <w14:textFill>
            <w14:solidFill>
              <w14:schemeClr w14:val="tx1"/>
            </w14:solidFill>
          </w14:textFill>
        </w:rPr>
        <w:t>环保设施管理规程表</w:t>
      </w:r>
    </w:p>
    <w:p>
      <w:pPr>
        <w:kinsoku w:val="0"/>
        <w:overflowPunct w:val="0"/>
        <w:autoSpaceDE w:val="0"/>
        <w:autoSpaceDN w:val="0"/>
        <w:adjustRightInd w:val="0"/>
        <w:spacing w:before="11" w:line="240" w:lineRule="auto"/>
        <w:ind w:firstLine="0" w:firstLineChars="0"/>
        <w:jc w:val="left"/>
        <w:rPr>
          <w:rFonts w:cs="Times New Roman"/>
          <w:color w:val="000000" w:themeColor="text1"/>
          <w:kern w:val="0"/>
          <w:sz w:val="2"/>
          <w:szCs w:val="2"/>
          <w14:textFill>
            <w14:solidFill>
              <w14:schemeClr w14:val="tx1"/>
            </w14:solidFill>
          </w14:textFill>
        </w:rPr>
      </w:pPr>
    </w:p>
    <w:tbl>
      <w:tblPr>
        <w:tblStyle w:val="53"/>
        <w:tblW w:w="5000" w:type="pct"/>
        <w:tblInd w:w="0" w:type="dxa"/>
        <w:tblLayout w:type="autofit"/>
        <w:tblCellMar>
          <w:top w:w="0" w:type="dxa"/>
          <w:left w:w="0" w:type="dxa"/>
          <w:bottom w:w="0" w:type="dxa"/>
          <w:right w:w="0" w:type="dxa"/>
        </w:tblCellMar>
      </w:tblPr>
      <w:tblGrid>
        <w:gridCol w:w="984"/>
        <w:gridCol w:w="2445"/>
        <w:gridCol w:w="3737"/>
        <w:gridCol w:w="1935"/>
      </w:tblGrid>
      <w:tr>
        <w:tblPrEx>
          <w:tblCellMar>
            <w:top w:w="0" w:type="dxa"/>
            <w:left w:w="0" w:type="dxa"/>
            <w:bottom w:w="0" w:type="dxa"/>
            <w:right w:w="0" w:type="dxa"/>
          </w:tblCellMar>
        </w:tblPrEx>
        <w:trPr>
          <w:trHeight w:val="397" w:hRule="atLeast"/>
          <w:tblHeader/>
        </w:trPr>
        <w:tc>
          <w:tcPr>
            <w:tcW w:w="541" w:type="pct"/>
            <w:tcBorders>
              <w:top w:val="single" w:color="auto" w:sz="12" w:space="0"/>
              <w:left w:val="single" w:color="auto"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实施部门</w:t>
            </w:r>
          </w:p>
        </w:tc>
        <w:tc>
          <w:tcPr>
            <w:tcW w:w="4459" w:type="pct"/>
            <w:gridSpan w:val="3"/>
            <w:tcBorders>
              <w:top w:val="single" w:color="auto" w:sz="12" w:space="0"/>
              <w:left w:val="single" w:color="000000" w:sz="6"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主要管理内容</w:t>
            </w:r>
          </w:p>
        </w:tc>
      </w:tr>
      <w:tr>
        <w:tblPrEx>
          <w:tblCellMar>
            <w:top w:w="0" w:type="dxa"/>
            <w:left w:w="0" w:type="dxa"/>
            <w:bottom w:w="0" w:type="dxa"/>
            <w:right w:w="0" w:type="dxa"/>
          </w:tblCellMar>
        </w:tblPrEx>
        <w:trPr>
          <w:trHeight w:val="397" w:hRule="atLeast"/>
        </w:trPr>
        <w:tc>
          <w:tcPr>
            <w:tcW w:w="541" w:type="pct"/>
            <w:vMerge w:val="restart"/>
            <w:tcBorders>
              <w:top w:val="single" w:color="auto" w:sz="12"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环保科</w:t>
            </w:r>
          </w:p>
        </w:tc>
        <w:tc>
          <w:tcPr>
            <w:tcW w:w="1343" w:type="pct"/>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2053" w:type="pct"/>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防治措施建设情况</w:t>
            </w:r>
          </w:p>
        </w:tc>
        <w:tc>
          <w:tcPr>
            <w:tcW w:w="1063" w:type="pct"/>
            <w:tcBorders>
              <w:top w:val="single" w:color="auto" w:sz="12"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费用保障计划</w:t>
            </w:r>
          </w:p>
        </w:tc>
      </w:tr>
      <w:tr>
        <w:tblPrEx>
          <w:tblCellMar>
            <w:top w:w="0" w:type="dxa"/>
            <w:left w:w="0" w:type="dxa"/>
            <w:bottom w:w="0" w:type="dxa"/>
            <w:right w:w="0" w:type="dxa"/>
          </w:tblCellMar>
        </w:tblPrEx>
        <w:trPr>
          <w:trHeight w:val="397" w:hRule="atLeast"/>
        </w:trPr>
        <w:tc>
          <w:tcPr>
            <w:tcW w:w="541" w:type="pct"/>
            <w:vMerge w:val="continue"/>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p>
        </w:tc>
        <w:tc>
          <w:tcPr>
            <w:tcW w:w="134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恶臭（NH</w:t>
            </w:r>
            <w:r>
              <w:rPr>
                <w:color w:val="000000" w:themeColor="text1"/>
                <w:position w:val="-3"/>
                <w:sz w:val="14"/>
                <w:szCs w:val="14"/>
                <w14:textFill>
                  <w14:solidFill>
                    <w14:schemeClr w14:val="tx1"/>
                  </w14:solidFill>
                </w14:textFill>
              </w:rPr>
              <w:t>3</w:t>
            </w:r>
            <w:r>
              <w:rPr>
                <w:color w:val="000000" w:themeColor="text1"/>
                <w14:textFill>
                  <w14:solidFill>
                    <w14:schemeClr w14:val="tx1"/>
                  </w14:solidFill>
                </w14:textFill>
              </w:rPr>
              <w:t>、H</w:t>
            </w:r>
            <w:r>
              <w:rPr>
                <w:color w:val="000000" w:themeColor="text1"/>
                <w:position w:val="-3"/>
                <w:sz w:val="14"/>
                <w:szCs w:val="14"/>
                <w14:textFill>
                  <w14:solidFill>
                    <w14:schemeClr w14:val="tx1"/>
                  </w14:solidFill>
                </w14:textFill>
              </w:rPr>
              <w:t>2</w:t>
            </w:r>
            <w:r>
              <w:rPr>
                <w:color w:val="000000" w:themeColor="text1"/>
                <w14:textFill>
                  <w14:solidFill>
                    <w14:schemeClr w14:val="tx1"/>
                  </w14:solidFill>
                </w14:textFill>
              </w:rPr>
              <w:t>S）</w:t>
            </w:r>
          </w:p>
        </w:tc>
        <w:tc>
          <w:tcPr>
            <w:tcW w:w="2053" w:type="pct"/>
            <w:tcBorders>
              <w:top w:val="single" w:color="000000" w:sz="4" w:space="0"/>
              <w:left w:val="single" w:color="000000" w:sz="6" w:space="0"/>
              <w:bottom w:val="single" w:color="000000" w:sz="4"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通风、喷洒除臭剂</w:t>
            </w:r>
          </w:p>
        </w:tc>
        <w:tc>
          <w:tcPr>
            <w:tcW w:w="1063"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费用企业承担</w:t>
            </w:r>
          </w:p>
        </w:tc>
      </w:tr>
      <w:tr>
        <w:tblPrEx>
          <w:tblCellMar>
            <w:top w:w="0" w:type="dxa"/>
            <w:left w:w="0" w:type="dxa"/>
            <w:bottom w:w="0" w:type="dxa"/>
            <w:right w:w="0" w:type="dxa"/>
          </w:tblCellMar>
        </w:tblPrEx>
        <w:trPr>
          <w:trHeight w:val="397" w:hRule="atLeast"/>
        </w:trPr>
        <w:tc>
          <w:tcPr>
            <w:tcW w:w="541" w:type="pct"/>
            <w:vMerge w:val="continue"/>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p>
        </w:tc>
        <w:tc>
          <w:tcPr>
            <w:tcW w:w="134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生产废水</w:t>
            </w:r>
          </w:p>
        </w:tc>
        <w:tc>
          <w:tcPr>
            <w:tcW w:w="2053" w:type="pct"/>
            <w:tcBorders>
              <w:top w:val="single" w:color="000000" w:sz="4" w:space="0"/>
              <w:left w:val="single" w:color="000000" w:sz="6" w:space="0"/>
              <w:bottom w:val="single" w:color="000000" w:sz="4"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厌氧塘</w:t>
            </w:r>
          </w:p>
        </w:tc>
        <w:tc>
          <w:tcPr>
            <w:tcW w:w="1063"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费用企业承担</w:t>
            </w:r>
          </w:p>
        </w:tc>
      </w:tr>
      <w:tr>
        <w:tblPrEx>
          <w:tblCellMar>
            <w:top w:w="0" w:type="dxa"/>
            <w:left w:w="0" w:type="dxa"/>
            <w:bottom w:w="0" w:type="dxa"/>
            <w:right w:w="0" w:type="dxa"/>
          </w:tblCellMar>
        </w:tblPrEx>
        <w:trPr>
          <w:trHeight w:val="397" w:hRule="atLeast"/>
        </w:trPr>
        <w:tc>
          <w:tcPr>
            <w:tcW w:w="541" w:type="pct"/>
            <w:vMerge w:val="continue"/>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p>
        </w:tc>
        <w:tc>
          <w:tcPr>
            <w:tcW w:w="134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生活污水</w:t>
            </w:r>
          </w:p>
        </w:tc>
        <w:tc>
          <w:tcPr>
            <w:tcW w:w="2053" w:type="pct"/>
            <w:tcBorders>
              <w:top w:val="single" w:color="000000" w:sz="4" w:space="0"/>
              <w:left w:val="single" w:color="000000" w:sz="6" w:space="0"/>
              <w:bottom w:val="single" w:color="000000" w:sz="4"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spacing w:val="-2"/>
                <w14:textFill>
                  <w14:solidFill>
                    <w14:schemeClr w14:val="tx1"/>
                  </w14:solidFill>
                </w14:textFill>
              </w:rPr>
              <w:t>食堂废水经隔油池处理后排入厌氧塘，</w:t>
            </w:r>
            <w:r>
              <w:rPr>
                <w:color w:val="000000" w:themeColor="text1"/>
                <w14:textFill>
                  <w14:solidFill>
                    <w14:schemeClr w14:val="tx1"/>
                  </w14:solidFill>
                </w14:textFill>
              </w:rPr>
              <w:t>其他生活污水直接进入厌氧塘处理</w:t>
            </w:r>
          </w:p>
        </w:tc>
        <w:tc>
          <w:tcPr>
            <w:tcW w:w="1063"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费用企业承担</w:t>
            </w:r>
          </w:p>
        </w:tc>
      </w:tr>
      <w:tr>
        <w:tblPrEx>
          <w:tblCellMar>
            <w:top w:w="0" w:type="dxa"/>
            <w:left w:w="0" w:type="dxa"/>
            <w:bottom w:w="0" w:type="dxa"/>
            <w:right w:w="0" w:type="dxa"/>
          </w:tblCellMar>
        </w:tblPrEx>
        <w:trPr>
          <w:trHeight w:val="397" w:hRule="atLeast"/>
        </w:trPr>
        <w:tc>
          <w:tcPr>
            <w:tcW w:w="541" w:type="pct"/>
            <w:vMerge w:val="continue"/>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p>
        </w:tc>
        <w:tc>
          <w:tcPr>
            <w:tcW w:w="134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2053" w:type="pct"/>
            <w:tcBorders>
              <w:top w:val="single" w:color="000000" w:sz="4" w:space="0"/>
              <w:left w:val="single" w:color="000000" w:sz="6" w:space="0"/>
              <w:bottom w:val="single" w:color="000000" w:sz="4"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基础减震、墙体隔声</w:t>
            </w:r>
          </w:p>
        </w:tc>
        <w:tc>
          <w:tcPr>
            <w:tcW w:w="1063"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费用企业承担</w:t>
            </w:r>
          </w:p>
        </w:tc>
      </w:tr>
      <w:tr>
        <w:tblPrEx>
          <w:tblCellMar>
            <w:top w:w="0" w:type="dxa"/>
            <w:left w:w="0" w:type="dxa"/>
            <w:bottom w:w="0" w:type="dxa"/>
            <w:right w:w="0" w:type="dxa"/>
          </w:tblCellMar>
        </w:tblPrEx>
        <w:trPr>
          <w:trHeight w:val="397" w:hRule="atLeast"/>
        </w:trPr>
        <w:tc>
          <w:tcPr>
            <w:tcW w:w="541" w:type="pct"/>
            <w:vMerge w:val="continue"/>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p>
        </w:tc>
        <w:tc>
          <w:tcPr>
            <w:tcW w:w="134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病死猪</w:t>
            </w:r>
          </w:p>
        </w:tc>
        <w:tc>
          <w:tcPr>
            <w:tcW w:w="2053" w:type="pct"/>
            <w:tcBorders>
              <w:top w:val="single" w:color="000000" w:sz="4" w:space="0"/>
              <w:left w:val="single" w:color="000000" w:sz="6" w:space="0"/>
              <w:bottom w:val="single" w:color="000000" w:sz="4"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经无害化降解处理后作有机肥</w:t>
            </w:r>
          </w:p>
        </w:tc>
        <w:tc>
          <w:tcPr>
            <w:tcW w:w="1063"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费用企业承担</w:t>
            </w:r>
          </w:p>
        </w:tc>
      </w:tr>
      <w:tr>
        <w:tblPrEx>
          <w:tblCellMar>
            <w:top w:w="0" w:type="dxa"/>
            <w:left w:w="0" w:type="dxa"/>
            <w:bottom w:w="0" w:type="dxa"/>
            <w:right w:w="0" w:type="dxa"/>
          </w:tblCellMar>
        </w:tblPrEx>
        <w:trPr>
          <w:trHeight w:val="397" w:hRule="atLeast"/>
        </w:trPr>
        <w:tc>
          <w:tcPr>
            <w:tcW w:w="541" w:type="pct"/>
            <w:vMerge w:val="continue"/>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p>
        </w:tc>
        <w:tc>
          <w:tcPr>
            <w:tcW w:w="134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猪粪、沼渣、固体残渣</w:t>
            </w:r>
          </w:p>
        </w:tc>
        <w:tc>
          <w:tcPr>
            <w:tcW w:w="2053" w:type="pct"/>
            <w:tcBorders>
              <w:top w:val="single" w:color="000000" w:sz="4" w:space="0"/>
              <w:left w:val="single" w:color="000000" w:sz="6" w:space="0"/>
              <w:bottom w:val="single" w:color="000000" w:sz="4"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spacing w:val="-2"/>
                <w14:textFill>
                  <w14:solidFill>
                    <w14:schemeClr w14:val="tx1"/>
                  </w14:solidFill>
                </w14:textFill>
              </w:rPr>
              <w:t>收集运至有机肥粪棚进行好氧堆肥处</w:t>
            </w:r>
            <w:r>
              <w:rPr>
                <w:color w:val="000000" w:themeColor="text1"/>
                <w:spacing w:val="-73"/>
                <w14:textFill>
                  <w14:solidFill>
                    <w14:schemeClr w14:val="tx1"/>
                  </w14:solidFill>
                </w14:textFill>
              </w:rPr>
              <w:t xml:space="preserve"> </w:t>
            </w:r>
            <w:r>
              <w:rPr>
                <w:color w:val="000000" w:themeColor="text1"/>
                <w14:textFill>
                  <w14:solidFill>
                    <w14:schemeClr w14:val="tx1"/>
                  </w14:solidFill>
                </w14:textFill>
              </w:rPr>
              <w:t>理</w:t>
            </w:r>
          </w:p>
        </w:tc>
        <w:tc>
          <w:tcPr>
            <w:tcW w:w="1063"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费用企业承担</w:t>
            </w:r>
          </w:p>
        </w:tc>
      </w:tr>
      <w:tr>
        <w:tblPrEx>
          <w:tblCellMar>
            <w:top w:w="0" w:type="dxa"/>
            <w:left w:w="0" w:type="dxa"/>
            <w:bottom w:w="0" w:type="dxa"/>
            <w:right w:w="0" w:type="dxa"/>
          </w:tblCellMar>
        </w:tblPrEx>
        <w:trPr>
          <w:trHeight w:val="397" w:hRule="atLeast"/>
        </w:trPr>
        <w:tc>
          <w:tcPr>
            <w:tcW w:w="541" w:type="pct"/>
            <w:vMerge w:val="continue"/>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p>
        </w:tc>
        <w:tc>
          <w:tcPr>
            <w:tcW w:w="134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废脱硫剂</w:t>
            </w:r>
          </w:p>
        </w:tc>
        <w:tc>
          <w:tcPr>
            <w:tcW w:w="2053" w:type="pct"/>
            <w:tcBorders>
              <w:top w:val="single" w:color="000000" w:sz="4" w:space="0"/>
              <w:left w:val="single" w:color="000000" w:sz="6" w:space="0"/>
              <w:bottom w:val="single" w:color="000000" w:sz="4"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由厂家回收</w:t>
            </w:r>
          </w:p>
        </w:tc>
        <w:tc>
          <w:tcPr>
            <w:tcW w:w="1063"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费用企业承担</w:t>
            </w:r>
          </w:p>
        </w:tc>
      </w:tr>
      <w:tr>
        <w:tblPrEx>
          <w:tblCellMar>
            <w:top w:w="0" w:type="dxa"/>
            <w:left w:w="0" w:type="dxa"/>
            <w:bottom w:w="0" w:type="dxa"/>
            <w:right w:w="0" w:type="dxa"/>
          </w:tblCellMar>
        </w:tblPrEx>
        <w:trPr>
          <w:trHeight w:val="397" w:hRule="atLeast"/>
        </w:trPr>
        <w:tc>
          <w:tcPr>
            <w:tcW w:w="541" w:type="pct"/>
            <w:vMerge w:val="continue"/>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p>
        </w:tc>
        <w:tc>
          <w:tcPr>
            <w:tcW w:w="1343" w:type="pct"/>
            <w:tcBorders>
              <w:top w:val="single" w:color="000000" w:sz="4" w:space="0"/>
              <w:left w:val="single" w:color="000000" w:sz="6" w:space="0"/>
              <w:bottom w:val="single" w:color="000000" w:sz="6"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生活垃圾</w:t>
            </w:r>
          </w:p>
        </w:tc>
        <w:tc>
          <w:tcPr>
            <w:tcW w:w="2053" w:type="pct"/>
            <w:tcBorders>
              <w:top w:val="single" w:color="000000" w:sz="4" w:space="0"/>
              <w:left w:val="single" w:color="000000" w:sz="6" w:space="0"/>
              <w:bottom w:val="single" w:color="000000" w:sz="6"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交环卫部门处理</w:t>
            </w:r>
          </w:p>
        </w:tc>
        <w:tc>
          <w:tcPr>
            <w:tcW w:w="1063" w:type="pct"/>
            <w:tcBorders>
              <w:top w:val="single" w:color="000000" w:sz="4" w:space="0"/>
              <w:left w:val="single" w:color="000000" w:sz="6" w:space="0"/>
              <w:bottom w:val="single" w:color="000000" w:sz="6"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费用企业承担</w:t>
            </w:r>
          </w:p>
        </w:tc>
      </w:tr>
      <w:tr>
        <w:tblPrEx>
          <w:tblCellMar>
            <w:top w:w="0" w:type="dxa"/>
            <w:left w:w="0" w:type="dxa"/>
            <w:bottom w:w="0" w:type="dxa"/>
            <w:right w:w="0" w:type="dxa"/>
          </w:tblCellMar>
        </w:tblPrEx>
        <w:trPr>
          <w:trHeight w:val="397" w:hRule="atLeast"/>
        </w:trPr>
        <w:tc>
          <w:tcPr>
            <w:tcW w:w="541" w:type="pct"/>
            <w:vMerge w:val="continue"/>
            <w:tcBorders>
              <w:top w:val="single" w:color="000000" w:sz="4" w:space="0"/>
              <w:left w:val="single" w:color="auto"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p>
        </w:tc>
        <w:tc>
          <w:tcPr>
            <w:tcW w:w="1343" w:type="pct"/>
            <w:tcBorders>
              <w:top w:val="single" w:color="000000" w:sz="6"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医疗废物</w:t>
            </w:r>
          </w:p>
        </w:tc>
        <w:tc>
          <w:tcPr>
            <w:tcW w:w="2053" w:type="pct"/>
            <w:tcBorders>
              <w:top w:val="single" w:color="000000" w:sz="6" w:space="0"/>
              <w:left w:val="single" w:color="000000" w:sz="6" w:space="0"/>
              <w:bottom w:val="single" w:color="auto" w:sz="12" w:space="0"/>
              <w:right w:val="single" w:color="000000" w:sz="6" w:space="0"/>
            </w:tcBorders>
            <w:vAlign w:val="center"/>
          </w:tcPr>
          <w:p>
            <w:pPr>
              <w:pStyle w:val="332"/>
              <w:jc w:val="both"/>
              <w:rPr>
                <w:color w:val="000000" w:themeColor="text1"/>
                <w14:textFill>
                  <w14:solidFill>
                    <w14:schemeClr w14:val="tx1"/>
                  </w14:solidFill>
                </w14:textFill>
              </w:rPr>
            </w:pPr>
            <w:r>
              <w:rPr>
                <w:color w:val="000000" w:themeColor="text1"/>
                <w14:textFill>
                  <w14:solidFill>
                    <w14:schemeClr w14:val="tx1"/>
                  </w14:solidFill>
                </w14:textFill>
              </w:rPr>
              <w:t>委托有资质单位统一处置</w:t>
            </w:r>
          </w:p>
        </w:tc>
        <w:tc>
          <w:tcPr>
            <w:tcW w:w="1063" w:type="pct"/>
            <w:tcBorders>
              <w:top w:val="single" w:color="000000" w:sz="6" w:space="0"/>
              <w:left w:val="single" w:color="000000" w:sz="6"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费用企业承担</w:t>
            </w:r>
          </w:p>
        </w:tc>
      </w:tr>
    </w:tbl>
    <w:p>
      <w:pPr>
        <w:pStyle w:val="3"/>
        <w:spacing w:before="120" w:after="120"/>
        <w:rPr>
          <w:rFonts w:cs="Times New Roman"/>
          <w:color w:val="000000" w:themeColor="text1"/>
          <w14:textFill>
            <w14:solidFill>
              <w14:schemeClr w14:val="tx1"/>
            </w14:solidFill>
          </w14:textFill>
        </w:rPr>
      </w:pPr>
      <w:bookmarkStart w:id="751" w:name="_Toc91163996"/>
      <w:r>
        <w:rPr>
          <w:rFonts w:cs="Times New Roman"/>
          <w:color w:val="000000" w:themeColor="text1"/>
          <w14:textFill>
            <w14:solidFill>
              <w14:schemeClr w14:val="tx1"/>
            </w14:solidFill>
          </w14:textFill>
        </w:rPr>
        <w:t>8.2 环境监测</w:t>
      </w:r>
      <w:bookmarkEnd w:id="743"/>
      <w:bookmarkEnd w:id="744"/>
      <w:bookmarkEnd w:id="745"/>
      <w:bookmarkEnd w:id="746"/>
      <w:bookmarkEnd w:id="747"/>
      <w:bookmarkEnd w:id="748"/>
      <w:bookmarkEnd w:id="749"/>
      <w:r>
        <w:rPr>
          <w:rFonts w:cs="Times New Roman"/>
          <w:color w:val="000000" w:themeColor="text1"/>
          <w14:textFill>
            <w14:solidFill>
              <w14:schemeClr w14:val="tx1"/>
            </w14:solidFill>
          </w14:textFill>
        </w:rPr>
        <w:t>计划</w:t>
      </w:r>
      <w:bookmarkEnd w:id="751"/>
    </w:p>
    <w:p>
      <w:pPr>
        <w:pStyle w:val="4"/>
        <w:rPr>
          <w:rFonts w:cs="Times New Roman"/>
          <w:color w:val="000000" w:themeColor="text1"/>
          <w14:textFill>
            <w14:solidFill>
              <w14:schemeClr w14:val="tx1"/>
            </w14:solidFill>
          </w14:textFill>
        </w:rPr>
      </w:pPr>
      <w:bookmarkStart w:id="752" w:name="_Toc58362887"/>
      <w:bookmarkStart w:id="753" w:name="_Toc47619923"/>
      <w:bookmarkStart w:id="754" w:name="_Toc52791977"/>
      <w:bookmarkStart w:id="755" w:name="_Toc47620109"/>
      <w:bookmarkStart w:id="756" w:name="_Toc47619261"/>
      <w:bookmarkStart w:id="757" w:name="_Toc91163997"/>
      <w:r>
        <w:rPr>
          <w:rFonts w:cs="Times New Roman"/>
          <w:color w:val="000000" w:themeColor="text1"/>
          <w14:textFill>
            <w14:solidFill>
              <w14:schemeClr w14:val="tx1"/>
            </w14:solidFill>
          </w14:textFill>
        </w:rPr>
        <w:t xml:space="preserve">8.2.1 </w:t>
      </w:r>
      <w:bookmarkEnd w:id="752"/>
      <w:bookmarkEnd w:id="753"/>
      <w:bookmarkEnd w:id="754"/>
      <w:bookmarkEnd w:id="755"/>
      <w:bookmarkEnd w:id="756"/>
      <w:r>
        <w:rPr>
          <w:rFonts w:cs="Times New Roman"/>
          <w:color w:val="000000" w:themeColor="text1"/>
          <w14:textFill>
            <w14:solidFill>
              <w14:schemeClr w14:val="tx1"/>
            </w14:solidFill>
          </w14:textFill>
        </w:rPr>
        <w:t>废气污染物监测计划</w:t>
      </w:r>
      <w:bookmarkEnd w:id="75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1、气污染物排放情况监管和环境空气质量监测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废气污染物排放情况监管主要是监测无害化处理车间产生的NH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S，沼气发电机废气中的SO</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、NOx，厂界NH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2、监测位置</w:t>
      </w:r>
    </w:p>
    <w:p>
      <w:pPr>
        <w:ind w:firstLine="480"/>
        <w:rPr>
          <w:rFonts w:cs="Times New Roman"/>
          <w:color w:val="000000" w:themeColor="text1"/>
          <w:kern w:val="0"/>
          <w:szCs w:val="24"/>
          <w14:textFill>
            <w14:solidFill>
              <w14:schemeClr w14:val="tx1"/>
            </w14:solidFill>
          </w14:textFill>
        </w:rPr>
      </w:pPr>
      <w:r>
        <w:rPr>
          <w:rFonts w:cs="Times New Roman"/>
          <w:color w:val="000000" w:themeColor="text1"/>
          <w14:textFill>
            <w14:solidFill>
              <w14:schemeClr w14:val="tx1"/>
            </w14:solidFill>
          </w14:textFill>
        </w:rPr>
        <w:t>废气污染源监测位置为无害化处理尾气、沼气发电机废气排气</w:t>
      </w:r>
      <w:r>
        <w:rPr>
          <w:rFonts w:cs="Times New Roman"/>
          <w:color w:val="000000" w:themeColor="text1"/>
          <w:kern w:val="0"/>
          <w:szCs w:val="24"/>
          <w14:textFill>
            <w14:solidFill>
              <w14:schemeClr w14:val="tx1"/>
            </w14:solidFill>
          </w14:textFill>
        </w:rPr>
        <w:t>筒及场界上、下风向。</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3、监测频率</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无害化处理废气中氨和硫化氢，沼气发电机废气中烟尘、二氧化硫、氮氧化物为有组织排放，每年监测一次，场界NH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S每年一次。</w:t>
      </w:r>
    </w:p>
    <w:p>
      <w:pPr>
        <w:pStyle w:val="4"/>
        <w:rPr>
          <w:rFonts w:cs="Times New Roman"/>
          <w:color w:val="000000" w:themeColor="text1"/>
          <w14:textFill>
            <w14:solidFill>
              <w14:schemeClr w14:val="tx1"/>
            </w14:solidFill>
          </w14:textFill>
        </w:rPr>
      </w:pPr>
      <w:bookmarkStart w:id="758" w:name="_Toc47619262"/>
      <w:bookmarkStart w:id="759" w:name="_Toc47619924"/>
      <w:bookmarkStart w:id="760" w:name="_Toc47620110"/>
      <w:bookmarkStart w:id="761" w:name="_Toc52791978"/>
      <w:bookmarkStart w:id="762" w:name="_Toc58362888"/>
      <w:bookmarkStart w:id="763" w:name="_Toc91163998"/>
      <w:r>
        <w:rPr>
          <w:rFonts w:cs="Times New Roman"/>
          <w:color w:val="000000" w:themeColor="text1"/>
          <w14:textFill>
            <w14:solidFill>
              <w14:schemeClr w14:val="tx1"/>
            </w14:solidFill>
          </w14:textFill>
        </w:rPr>
        <w:t xml:space="preserve">8.2.2 </w:t>
      </w:r>
      <w:bookmarkEnd w:id="758"/>
      <w:bookmarkEnd w:id="759"/>
      <w:bookmarkEnd w:id="760"/>
      <w:bookmarkEnd w:id="761"/>
      <w:bookmarkEnd w:id="762"/>
      <w:r>
        <w:rPr>
          <w:rFonts w:cs="Times New Roman"/>
          <w:color w:val="000000" w:themeColor="text1"/>
          <w14:textFill>
            <w14:solidFill>
              <w14:schemeClr w14:val="tx1"/>
            </w14:solidFill>
          </w14:textFill>
        </w:rPr>
        <w:t>地下水跟踪监测计划</w:t>
      </w:r>
      <w:bookmarkEnd w:id="763"/>
    </w:p>
    <w:p>
      <w:pPr>
        <w:pStyle w:val="5"/>
        <w:rPr>
          <w:color w:val="000000" w:themeColor="text1"/>
          <w14:textFill>
            <w14:solidFill>
              <w14:schemeClr w14:val="tx1"/>
            </w14:solidFill>
          </w14:textFill>
        </w:rPr>
      </w:pPr>
      <w:r>
        <w:rPr>
          <w:color w:val="000000" w:themeColor="text1"/>
          <w14:textFill>
            <w14:solidFill>
              <w14:schemeClr w14:val="tx1"/>
            </w14:solidFill>
          </w14:textFill>
        </w:rPr>
        <w:t>8.2.2.1地下水动态监测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单位应组织专业人员定期对地下水水质进行监测，以掌握场区及周围地下水水质的动态变化，为及时应对地下水污染提供依据，确保建设项目的生产运行不会影响周围地下水环境，因此将柏社村水井设置为监测井对地下水水质进行监测，具体监测方案如下。</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（1）监测点布设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场区及沼液消纳区下游杜村水井作为监控井。</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（2）监测项目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监测项目：pH值、总硬度、硝酸盐氮、亚硝酸盐氮、氨氮、菌落总数、总大肠菌群共7项。</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（3）监测频率</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监测频率：一年一次。</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将每次的监测数据及时进行统计、整理，并将每次的监测结果与相关标准及历史监测结果进行比较，以分析地下水水质各项指标的变化情况，确保场界周围地下水环境的安全。</w:t>
      </w:r>
    </w:p>
    <w:p>
      <w:pPr>
        <w:pStyle w:val="5"/>
        <w:rPr>
          <w:color w:val="000000" w:themeColor="text1"/>
          <w14:textFill>
            <w14:solidFill>
              <w14:schemeClr w14:val="tx1"/>
            </w14:solidFill>
          </w14:textFill>
        </w:rPr>
      </w:pPr>
      <w:r>
        <w:rPr>
          <w:color w:val="000000" w:themeColor="text1"/>
          <w14:textFill>
            <w14:solidFill>
              <w14:schemeClr w14:val="tx1"/>
            </w14:solidFill>
          </w14:textFill>
        </w:rPr>
        <w:t>8.2.2.2地下水监测管理</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为保证地下水监测有效、有序管理，须制定相关规定、明确职责，采取以下管理措施和技术措施。</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（1）管理措施</w:t>
      </w:r>
    </w:p>
    <w:p>
      <w:pPr>
        <w:ind w:firstLine="480"/>
        <w:rPr>
          <w:rFonts w:cs="Times New Roman"/>
          <w:color w:val="000000" w:themeColor="text1"/>
          <w:lang w:bidi="en-US"/>
          <w14:textFill>
            <w14:solidFill>
              <w14:schemeClr w14:val="tx1"/>
            </w14:solidFill>
          </w14:textFill>
        </w:rPr>
      </w:pPr>
      <w:r>
        <w:rPr>
          <w:rFonts w:hint="eastAsia" w:ascii="宋体" w:hAnsi="宋体" w:cs="宋体"/>
          <w:color w:val="000000" w:themeColor="text1"/>
          <w:lang w:bidi="en-US"/>
          <w14:textFill>
            <w14:solidFill>
              <w14:schemeClr w14:val="tx1"/>
            </w14:solidFill>
          </w14:textFill>
        </w:rPr>
        <w:t>①</w:t>
      </w:r>
      <w:r>
        <w:rPr>
          <w:rFonts w:cs="Times New Roman"/>
          <w:color w:val="000000" w:themeColor="text1"/>
          <w:lang w:bidi="en-US"/>
          <w14:textFill>
            <w14:solidFill>
              <w14:schemeClr w14:val="tx1"/>
            </w14:solidFill>
          </w14:textFill>
        </w:rPr>
        <w:t>防止地下水污染管理的职责属于环境保护管理部门的职责之一。环境保护管理部门指派专人负责防止地下水污染管理工作。</w:t>
      </w:r>
    </w:p>
    <w:p>
      <w:pPr>
        <w:ind w:firstLine="480"/>
        <w:rPr>
          <w:rFonts w:cs="Times New Roman"/>
          <w:color w:val="000000" w:themeColor="text1"/>
          <w:lang w:bidi="en-US"/>
          <w14:textFill>
            <w14:solidFill>
              <w14:schemeClr w14:val="tx1"/>
            </w14:solidFill>
          </w14:textFill>
        </w:rPr>
      </w:pPr>
      <w:r>
        <w:rPr>
          <w:rFonts w:hint="eastAsia" w:ascii="宋体" w:hAnsi="宋体" w:cs="宋体"/>
          <w:color w:val="000000" w:themeColor="text1"/>
          <w:lang w:bidi="en-US"/>
          <w14:textFill>
            <w14:solidFill>
              <w14:schemeClr w14:val="tx1"/>
            </w14:solidFill>
          </w14:textFill>
        </w:rPr>
        <w:t>②</w:t>
      </w:r>
      <w:r>
        <w:rPr>
          <w:rFonts w:cs="Times New Roman"/>
          <w:color w:val="000000" w:themeColor="text1"/>
          <w:lang w:bidi="en-US"/>
          <w14:textFill>
            <w14:solidFill>
              <w14:schemeClr w14:val="tx1"/>
            </w14:solidFill>
          </w14:textFill>
        </w:rPr>
        <w:t>环境保护管理部门应配备专业人员或委托具有监测资质的单位负责地下水监测工作，按要求及时分析整理原始资料、监测报告的编写工作。</w:t>
      </w:r>
    </w:p>
    <w:p>
      <w:pPr>
        <w:ind w:firstLine="480"/>
        <w:rPr>
          <w:rFonts w:cs="Times New Roman"/>
          <w:color w:val="000000" w:themeColor="text1"/>
          <w:lang w:bidi="en-US"/>
          <w14:textFill>
            <w14:solidFill>
              <w14:schemeClr w14:val="tx1"/>
            </w14:solidFill>
          </w14:textFill>
        </w:rPr>
      </w:pPr>
      <w:r>
        <w:rPr>
          <w:rFonts w:hint="eastAsia" w:ascii="宋体" w:hAnsi="宋体" w:cs="宋体"/>
          <w:color w:val="000000" w:themeColor="text1"/>
          <w:lang w:bidi="en-US"/>
          <w14:textFill>
            <w14:solidFill>
              <w14:schemeClr w14:val="tx1"/>
            </w14:solidFill>
          </w14:textFill>
        </w:rPr>
        <w:t>③</w:t>
      </w:r>
      <w:r>
        <w:rPr>
          <w:rFonts w:cs="Times New Roman"/>
          <w:color w:val="000000" w:themeColor="text1"/>
          <w:lang w:bidi="en-US"/>
          <w14:textFill>
            <w14:solidFill>
              <w14:schemeClr w14:val="tx1"/>
            </w14:solidFill>
          </w14:textFill>
        </w:rPr>
        <w:t>建立地下水监测数据信息管理系统，与环境管理系统相联系。</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（2）技术措施</w:t>
      </w:r>
    </w:p>
    <w:p>
      <w:pPr>
        <w:ind w:firstLine="480"/>
        <w:rPr>
          <w:rFonts w:cs="Times New Roman"/>
          <w:color w:val="000000" w:themeColor="text1"/>
          <w:lang w:bidi="en-US"/>
          <w14:textFill>
            <w14:solidFill>
              <w14:schemeClr w14:val="tx1"/>
            </w14:solidFill>
          </w14:textFill>
        </w:rPr>
      </w:pPr>
      <w:r>
        <w:rPr>
          <w:rFonts w:hint="eastAsia" w:ascii="宋体" w:hAnsi="宋体" w:cs="宋体"/>
          <w:color w:val="000000" w:themeColor="text1"/>
          <w:lang w:bidi="en-US"/>
          <w14:textFill>
            <w14:solidFill>
              <w14:schemeClr w14:val="tx1"/>
            </w14:solidFill>
          </w14:textFill>
        </w:rPr>
        <w:t>①</w:t>
      </w:r>
      <w:r>
        <w:rPr>
          <w:rFonts w:cs="Times New Roman"/>
          <w:color w:val="000000" w:themeColor="text1"/>
          <w:lang w:bidi="en-US"/>
          <w14:textFill>
            <w14:solidFill>
              <w14:schemeClr w14:val="tx1"/>
            </w14:solidFill>
          </w14:textFill>
        </w:rPr>
        <w:t>按照《地下水环境监测技术规范》（HJ/T164-2004）要求，及时上报监测数据和有关表格。</w:t>
      </w:r>
    </w:p>
    <w:p>
      <w:pPr>
        <w:ind w:firstLine="480"/>
        <w:rPr>
          <w:rFonts w:cs="Times New Roman"/>
          <w:color w:val="000000" w:themeColor="text1"/>
          <w:lang w:bidi="en-US"/>
          <w14:textFill>
            <w14:solidFill>
              <w14:schemeClr w14:val="tx1"/>
            </w14:solidFill>
          </w14:textFill>
        </w:rPr>
      </w:pPr>
      <w:r>
        <w:rPr>
          <w:rFonts w:hint="eastAsia" w:ascii="宋体" w:hAnsi="宋体" w:cs="宋体"/>
          <w:color w:val="000000" w:themeColor="text1"/>
          <w:lang w:bidi="en-US"/>
          <w14:textFill>
            <w14:solidFill>
              <w14:schemeClr w14:val="tx1"/>
            </w14:solidFill>
          </w14:textFill>
        </w:rPr>
        <w:t>②</w:t>
      </w:r>
      <w:r>
        <w:rPr>
          <w:rFonts w:cs="Times New Roman"/>
          <w:color w:val="000000" w:themeColor="text1"/>
          <w:lang w:bidi="en-US"/>
          <w14:textFill>
            <w14:solidFill>
              <w14:schemeClr w14:val="tx1"/>
            </w14:solidFill>
          </w14:textFill>
        </w:rPr>
        <w:t>在日常例行监测中，一旦发现地下水水质监测数据异常，应尽快核查数据，确保数据的正确性。并将核查过的监测数据通告安全环保部门，由专人负责对数据进行分析、核实，并密切关注生产设施的运行情况，为防止地下水污染采取措施提供正确的依据。</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应采取的措施为：了解全场区地下水是否出现异常情况；加大监测密度，如监测频率由每年一次临时加密为每天一次或更多，连续多天，分析变化动向。</w:t>
      </w:r>
    </w:p>
    <w:p>
      <w:pPr>
        <w:ind w:firstLine="480"/>
        <w:rPr>
          <w:rFonts w:cs="Times New Roman"/>
          <w:color w:val="000000" w:themeColor="text1"/>
          <w:lang w:bidi="en-US"/>
          <w14:textFill>
            <w14:solidFill>
              <w14:schemeClr w14:val="tx1"/>
            </w14:solidFill>
          </w14:textFill>
        </w:rPr>
      </w:pPr>
      <w:r>
        <w:rPr>
          <w:rFonts w:hint="eastAsia" w:ascii="宋体" w:hAnsi="宋体" w:cs="宋体"/>
          <w:color w:val="000000" w:themeColor="text1"/>
          <w:lang w:bidi="en-US"/>
          <w14:textFill>
            <w14:solidFill>
              <w14:schemeClr w14:val="tx1"/>
            </w14:solidFill>
          </w14:textFill>
        </w:rPr>
        <w:t>③</w:t>
      </w:r>
      <w:r>
        <w:rPr>
          <w:rFonts w:cs="Times New Roman"/>
          <w:color w:val="000000" w:themeColor="text1"/>
          <w:lang w:bidi="en-US"/>
          <w14:textFill>
            <w14:solidFill>
              <w14:schemeClr w14:val="tx1"/>
            </w14:solidFill>
          </w14:textFill>
        </w:rPr>
        <w:t>周期性地编写地下水动态监测报告。</w:t>
      </w:r>
    </w:p>
    <w:p>
      <w:pPr>
        <w:ind w:firstLine="480"/>
        <w:rPr>
          <w:rFonts w:cs="Times New Roman"/>
          <w:color w:val="000000" w:themeColor="text1"/>
          <w:lang w:bidi="en-US"/>
          <w14:textFill>
            <w14:solidFill>
              <w14:schemeClr w14:val="tx1"/>
            </w14:solidFill>
          </w14:textFill>
        </w:rPr>
      </w:pPr>
      <w:r>
        <w:rPr>
          <w:rFonts w:hint="eastAsia" w:ascii="宋体" w:hAnsi="宋体" w:cs="宋体"/>
          <w:color w:val="000000" w:themeColor="text1"/>
          <w:lang w:bidi="en-US"/>
          <w14:textFill>
            <w14:solidFill>
              <w14:schemeClr w14:val="tx1"/>
            </w14:solidFill>
          </w14:textFill>
        </w:rPr>
        <w:t>④</w:t>
      </w:r>
      <w:r>
        <w:rPr>
          <w:rFonts w:cs="Times New Roman"/>
          <w:color w:val="000000" w:themeColor="text1"/>
          <w:lang w:bidi="en-US"/>
          <w14:textFill>
            <w14:solidFill>
              <w14:schemeClr w14:val="tx1"/>
            </w14:solidFill>
          </w14:textFill>
        </w:rPr>
        <w:t>每天对场区各猪舍设施及黑膜沼气池粪便处理区、沼液储存池、医疗废物暂存间、病死猪无害化处理车间等处进行巡查，并定期进行安全检查。</w:t>
      </w:r>
    </w:p>
    <w:p>
      <w:pPr>
        <w:pStyle w:val="4"/>
        <w:rPr>
          <w:rFonts w:cs="Times New Roman"/>
          <w:color w:val="000000" w:themeColor="text1"/>
          <w14:textFill>
            <w14:solidFill>
              <w14:schemeClr w14:val="tx1"/>
            </w14:solidFill>
          </w14:textFill>
        </w:rPr>
      </w:pPr>
      <w:bookmarkStart w:id="764" w:name="_Toc58362889"/>
      <w:bookmarkStart w:id="765" w:name="_Toc47619263"/>
      <w:bookmarkStart w:id="766" w:name="_Toc47619925"/>
      <w:bookmarkStart w:id="767" w:name="_Toc47620111"/>
      <w:bookmarkStart w:id="768" w:name="_Toc52791979"/>
      <w:bookmarkStart w:id="769" w:name="_Toc91163999"/>
      <w:r>
        <w:rPr>
          <w:rFonts w:cs="Times New Roman"/>
          <w:color w:val="000000" w:themeColor="text1"/>
          <w14:textFill>
            <w14:solidFill>
              <w14:schemeClr w14:val="tx1"/>
            </w14:solidFill>
          </w14:textFill>
        </w:rPr>
        <w:t xml:space="preserve">8.2.3 </w:t>
      </w:r>
      <w:bookmarkEnd w:id="764"/>
      <w:bookmarkEnd w:id="765"/>
      <w:bookmarkEnd w:id="766"/>
      <w:bookmarkEnd w:id="767"/>
      <w:bookmarkEnd w:id="768"/>
      <w:r>
        <w:rPr>
          <w:rFonts w:cs="Times New Roman"/>
          <w:color w:val="000000" w:themeColor="text1"/>
          <w14:textFill>
            <w14:solidFill>
              <w14:schemeClr w14:val="tx1"/>
            </w14:solidFill>
          </w14:textFill>
        </w:rPr>
        <w:t>固体废物</w:t>
      </w:r>
      <w:bookmarkEnd w:id="769"/>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监督病死猪尸体及母猪胎盘的处理，医疗废物外运是否符合相关技术要求，及时检查，及时发现问题，及时纠正。</w:t>
      </w:r>
    </w:p>
    <w:p>
      <w:pPr>
        <w:pStyle w:val="4"/>
        <w:rPr>
          <w:rFonts w:cs="Times New Roman"/>
          <w:color w:val="000000" w:themeColor="text1"/>
          <w:kern w:val="0"/>
          <w:szCs w:val="24"/>
          <w14:textFill>
            <w14:solidFill>
              <w14:schemeClr w14:val="tx1"/>
            </w14:solidFill>
          </w14:textFill>
        </w:rPr>
      </w:pPr>
      <w:bookmarkStart w:id="770" w:name="_Toc47619264"/>
      <w:bookmarkStart w:id="771" w:name="_Toc47619926"/>
      <w:bookmarkStart w:id="772" w:name="_Toc47620112"/>
      <w:bookmarkStart w:id="773" w:name="_Toc52791980"/>
      <w:bookmarkStart w:id="774" w:name="_Toc58362890"/>
      <w:bookmarkStart w:id="775" w:name="_Toc91164000"/>
      <w:r>
        <w:rPr>
          <w:rFonts w:cs="Times New Roman"/>
          <w:color w:val="000000" w:themeColor="text1"/>
          <w14:textFill>
            <w14:solidFill>
              <w14:schemeClr w14:val="tx1"/>
            </w14:solidFill>
          </w14:textFill>
        </w:rPr>
        <w:t xml:space="preserve">8.2.4 </w:t>
      </w:r>
      <w:bookmarkEnd w:id="770"/>
      <w:bookmarkEnd w:id="771"/>
      <w:bookmarkEnd w:id="772"/>
      <w:bookmarkEnd w:id="773"/>
      <w:bookmarkEnd w:id="774"/>
      <w:r>
        <w:rPr>
          <w:rFonts w:cs="Times New Roman"/>
          <w:color w:val="000000" w:themeColor="text1"/>
          <w:kern w:val="0"/>
          <w:szCs w:val="24"/>
          <w14:textFill>
            <w14:solidFill>
              <w14:schemeClr w14:val="tx1"/>
            </w14:solidFill>
          </w14:textFill>
        </w:rPr>
        <w:t>环境监测项目及频次</w:t>
      </w:r>
      <w:bookmarkEnd w:id="77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本项目建设单位自行监测，按照制定的监测点位、监测项目、监测频次进行监测，并建立污染监测档案，为环境管理及污染源治理提供依据。</w:t>
      </w:r>
    </w:p>
    <w:p>
      <w:pPr>
        <w:ind w:firstLine="480"/>
        <w:rPr>
          <w:rFonts w:cs="Times New Roman"/>
          <w:color w:val="000000" w:themeColor="text1"/>
          <w14:textFill>
            <w14:solidFill>
              <w14:schemeClr w14:val="tx1"/>
            </w14:solidFill>
          </w14:textFill>
        </w:rPr>
        <w:sectPr>
          <w:pgSz w:w="11907" w:h="16840"/>
          <w:pgMar w:top="1531" w:right="1418" w:bottom="1531" w:left="1418" w:header="851" w:footer="992" w:gutter="0"/>
          <w:pgNumType w:fmt="numberInDash"/>
          <w:cols w:space="720" w:num="1"/>
          <w:docGrid w:linePitch="312" w:charSpace="0"/>
        </w:sectPr>
      </w:pPr>
      <w:r>
        <w:rPr>
          <w:rFonts w:cs="Times New Roman"/>
          <w:color w:val="000000" w:themeColor="text1"/>
          <w14:textFill>
            <w14:solidFill>
              <w14:schemeClr w14:val="tx1"/>
            </w14:solidFill>
          </w14:textFill>
        </w:rPr>
        <w:t>本项目污染源监测主要针对场内的有组织排放源和无组织排放源。根据《排污单位自行监测技术指南 总则》（HJ819-2017）、《排污许可证申请与核发技术规范 畜禽养殖行业》（HJ1029-2019）中有关规定和该项目的污染源及污染物排放特点，提出以下监测计划。本项目自行监测点位、监测项目、监测频次见表8.2-1。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表</w:t>
      </w:r>
      <w:r>
        <w:rPr>
          <w:rFonts w:cs="Times New Roman"/>
          <w:bCs/>
          <w:color w:val="000000" w:themeColor="text1"/>
          <w14:textFill>
            <w14:solidFill>
              <w14:schemeClr w14:val="tx1"/>
            </w14:solidFill>
          </w14:textFill>
        </w:rPr>
        <w:t xml:space="preserve">8.2-1 </w:t>
      </w:r>
      <w:r>
        <w:rPr>
          <w:rFonts w:cs="Times New Roman"/>
          <w:color w:val="000000" w:themeColor="text1"/>
          <w14:textFill>
            <w14:solidFill>
              <w14:schemeClr w14:val="tx1"/>
            </w14:solidFill>
          </w14:textFill>
        </w:rPr>
        <w:t>场区运营期自行监测计划一览表</w:t>
      </w:r>
    </w:p>
    <w:tbl>
      <w:tblPr>
        <w:tblStyle w:val="54"/>
        <w:tblW w:w="50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002"/>
        <w:gridCol w:w="934"/>
        <w:gridCol w:w="1747"/>
        <w:gridCol w:w="908"/>
        <w:gridCol w:w="679"/>
        <w:gridCol w:w="1562"/>
        <w:gridCol w:w="719"/>
        <w:gridCol w:w="2743"/>
        <w:gridCol w:w="2021"/>
        <w:gridCol w:w="12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30"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bookmarkStart w:id="776" w:name="_Hlk85735588"/>
            <w:r>
              <w:rPr>
                <w:color w:val="000000" w:themeColor="text1"/>
                <w14:textFill>
                  <w14:solidFill>
                    <w14:schemeClr w14:val="tx1"/>
                  </w14:solidFill>
                </w14:textFill>
              </w:rPr>
              <w:t>监测项目</w:t>
            </w:r>
          </w:p>
        </w:tc>
        <w:tc>
          <w:tcPr>
            <w:tcW w:w="351"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监测</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点位</w:t>
            </w:r>
          </w:p>
        </w:tc>
        <w:tc>
          <w:tcPr>
            <w:tcW w:w="32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排放口性质</w:t>
            </w:r>
          </w:p>
        </w:tc>
        <w:tc>
          <w:tcPr>
            <w:tcW w:w="612"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监测内容</w:t>
            </w:r>
          </w:p>
        </w:tc>
        <w:tc>
          <w:tcPr>
            <w:tcW w:w="318"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污染物名称</w:t>
            </w:r>
          </w:p>
        </w:tc>
        <w:tc>
          <w:tcPr>
            <w:tcW w:w="238"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监测设施</w:t>
            </w:r>
          </w:p>
        </w:tc>
        <w:tc>
          <w:tcPr>
            <w:tcW w:w="547"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采样方法</w:t>
            </w:r>
          </w:p>
        </w:tc>
        <w:tc>
          <w:tcPr>
            <w:tcW w:w="252"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监测</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频次</w:t>
            </w:r>
          </w:p>
        </w:tc>
        <w:tc>
          <w:tcPr>
            <w:tcW w:w="961"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手工测定方法</w:t>
            </w:r>
          </w:p>
        </w:tc>
        <w:tc>
          <w:tcPr>
            <w:tcW w:w="708"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执行标准</w:t>
            </w:r>
          </w:p>
        </w:tc>
        <w:tc>
          <w:tcPr>
            <w:tcW w:w="455" w:type="pct"/>
            <w:tcBorders>
              <w:top w:val="single" w:color="auto" w:sz="12" w:space="0"/>
              <w:bottom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排放限</w:t>
            </w:r>
          </w:p>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30"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351"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无害化车间排气筒</w:t>
            </w:r>
          </w:p>
        </w:tc>
        <w:tc>
          <w:tcPr>
            <w:tcW w:w="327" w:type="pct"/>
            <w:vMerge w:val="restar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一般排放口</w:t>
            </w:r>
          </w:p>
        </w:tc>
        <w:tc>
          <w:tcPr>
            <w:tcW w:w="612" w:type="pct"/>
            <w:vMerge w:val="restart"/>
            <w:tcBorders>
              <w:top w:val="single" w:color="auto" w:sz="12" w:space="0"/>
            </w:tcBorders>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S排放浓度、排放速率、处理效率及废气量，排气筒实际高度</w:t>
            </w:r>
          </w:p>
        </w:tc>
        <w:tc>
          <w:tcPr>
            <w:tcW w:w="318" w:type="pct"/>
            <w:tcBorders>
              <w:top w:val="single" w:color="auto" w:sz="12" w:space="0"/>
              <w:bottom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238"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手动</w:t>
            </w:r>
          </w:p>
        </w:tc>
        <w:tc>
          <w:tcPr>
            <w:tcW w:w="547" w:type="pct"/>
            <w:vMerge w:val="restart"/>
            <w:tcBorders>
              <w:top w:val="single" w:color="auto" w:sz="12" w:space="0"/>
            </w:tcBorders>
            <w:vAlign w:val="center"/>
          </w:tcPr>
          <w:p>
            <w:pPr>
              <w:autoSpaceDE w:val="0"/>
              <w:autoSpaceDN w:val="0"/>
              <w:adjustRightInd w:val="0"/>
              <w:spacing w:line="240" w:lineRule="auto"/>
              <w:ind w:firstLine="0" w:firstLineChars="0"/>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《固定污染源排气中颗粒物测定与气态污染物采样方法》GB/T16157-1996、《固定源废气监测技术规范》HJ/T397-2007和《固定污染源排气中烟气黑度的测定 林格曼烟气黑度图法》HJ/T398-2007；非连续采样，至少3个</w:t>
            </w:r>
          </w:p>
        </w:tc>
        <w:tc>
          <w:tcPr>
            <w:tcW w:w="252" w:type="pct"/>
            <w:vMerge w:val="restart"/>
            <w:tcBorders>
              <w:top w:val="single" w:color="auto" w:sz="12" w:space="0"/>
            </w:tcBorders>
            <w:vAlign w:val="center"/>
          </w:tcPr>
          <w:p>
            <w:pPr>
              <w:pStyle w:val="332"/>
              <w:widowControl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次/年</w:t>
            </w:r>
          </w:p>
        </w:tc>
        <w:tc>
          <w:tcPr>
            <w:tcW w:w="961" w:type="pct"/>
            <w:tcBorders>
              <w:top w:val="single" w:color="auto" w:sz="12" w:space="0"/>
            </w:tcBorders>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《环境空气和废气 氨的测定 纳氏试剂分光光度法》（HJ 533-2009）</w:t>
            </w:r>
          </w:p>
        </w:tc>
        <w:tc>
          <w:tcPr>
            <w:tcW w:w="708" w:type="pct"/>
            <w:vMerge w:val="restart"/>
            <w:tcBorders>
              <w:top w:val="single" w:color="auto" w:sz="12" w:space="0"/>
            </w:tcBorders>
            <w:vAlign w:val="center"/>
          </w:tcPr>
          <w:p>
            <w:pPr>
              <w:autoSpaceDE w:val="0"/>
              <w:autoSpaceDN w:val="0"/>
              <w:adjustRightInd w:val="0"/>
              <w:spacing w:line="240" w:lineRule="auto"/>
              <w:ind w:firstLine="0" w:firstLineChars="0"/>
              <w:jc w:val="center"/>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《恶臭污染物排放标准》（GB14554-93）</w:t>
            </w:r>
          </w:p>
        </w:tc>
        <w:tc>
          <w:tcPr>
            <w:tcW w:w="455" w:type="pct"/>
            <w:tcBorders>
              <w:top w:val="single" w:color="auto" w:sz="12" w:space="0"/>
            </w:tcBorders>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4.90kg/h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230" w:type="pct"/>
            <w:vMerge w:val="continue"/>
            <w:vAlign w:val="center"/>
          </w:tcPr>
          <w:p>
            <w:pPr>
              <w:pStyle w:val="332"/>
              <w:widowControl w:val="0"/>
              <w:rPr>
                <w:color w:val="000000" w:themeColor="text1"/>
                <w14:textFill>
                  <w14:solidFill>
                    <w14:schemeClr w14:val="tx1"/>
                  </w14:solidFill>
                </w14:textFill>
              </w:rPr>
            </w:pPr>
          </w:p>
        </w:tc>
        <w:tc>
          <w:tcPr>
            <w:tcW w:w="351" w:type="pct"/>
            <w:vMerge w:val="continue"/>
            <w:vAlign w:val="center"/>
          </w:tcPr>
          <w:p>
            <w:pPr>
              <w:pStyle w:val="332"/>
              <w:widowControl w:val="0"/>
              <w:rPr>
                <w:color w:val="000000" w:themeColor="text1"/>
                <w14:textFill>
                  <w14:solidFill>
                    <w14:schemeClr w14:val="tx1"/>
                  </w14:solidFill>
                </w14:textFill>
              </w:rPr>
            </w:pPr>
          </w:p>
        </w:tc>
        <w:tc>
          <w:tcPr>
            <w:tcW w:w="327" w:type="pct"/>
            <w:vMerge w:val="continue"/>
            <w:vAlign w:val="center"/>
          </w:tcPr>
          <w:p>
            <w:pPr>
              <w:pStyle w:val="332"/>
              <w:widowControl w:val="0"/>
              <w:rPr>
                <w:color w:val="000000" w:themeColor="text1"/>
                <w14:textFill>
                  <w14:solidFill>
                    <w14:schemeClr w14:val="tx1"/>
                  </w14:solidFill>
                </w14:textFill>
              </w:rPr>
            </w:pPr>
          </w:p>
        </w:tc>
        <w:tc>
          <w:tcPr>
            <w:tcW w:w="612" w:type="pct"/>
            <w:vMerge w:val="continue"/>
            <w:vAlign w:val="center"/>
          </w:tcPr>
          <w:p>
            <w:pPr>
              <w:pStyle w:val="332"/>
              <w:widowControl w:val="0"/>
              <w:rPr>
                <w:color w:val="000000" w:themeColor="text1"/>
                <w14:textFill>
                  <w14:solidFill>
                    <w14:schemeClr w14:val="tx1"/>
                  </w14:solidFill>
                </w14:textFill>
              </w:rPr>
            </w:pPr>
          </w:p>
        </w:tc>
        <w:tc>
          <w:tcPr>
            <w:tcW w:w="318" w:type="pct"/>
            <w:tcBorders>
              <w:top w:val="single" w:color="auto" w:sz="4" w:space="0"/>
            </w:tcBorders>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23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手动</w:t>
            </w:r>
          </w:p>
        </w:tc>
        <w:tc>
          <w:tcPr>
            <w:tcW w:w="547" w:type="pct"/>
            <w:vMerge w:val="continue"/>
            <w:vAlign w:val="center"/>
          </w:tcPr>
          <w:p>
            <w:pPr>
              <w:pStyle w:val="332"/>
              <w:widowControl w:val="0"/>
              <w:rPr>
                <w:color w:val="000000" w:themeColor="text1"/>
                <w14:textFill>
                  <w14:solidFill>
                    <w14:schemeClr w14:val="tx1"/>
                  </w14:solidFill>
                </w14:textFill>
              </w:rPr>
            </w:pPr>
          </w:p>
        </w:tc>
        <w:tc>
          <w:tcPr>
            <w:tcW w:w="252" w:type="pct"/>
            <w:vMerge w:val="continue"/>
            <w:vAlign w:val="center"/>
          </w:tcPr>
          <w:p>
            <w:pPr>
              <w:pStyle w:val="332"/>
              <w:widowControl w:val="0"/>
              <w:rPr>
                <w:color w:val="000000" w:themeColor="text1"/>
                <w14:textFill>
                  <w14:solidFill>
                    <w14:schemeClr w14:val="tx1"/>
                  </w14:solidFill>
                </w14:textFill>
              </w:rPr>
            </w:pPr>
          </w:p>
        </w:tc>
        <w:tc>
          <w:tcPr>
            <w:tcW w:w="961" w:type="pct"/>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《硫化氢-亚甲基蓝分光光度法》（第四版增补版）</w:t>
            </w:r>
          </w:p>
        </w:tc>
        <w:tc>
          <w:tcPr>
            <w:tcW w:w="708" w:type="pct"/>
            <w:vMerge w:val="continue"/>
            <w:vAlign w:val="center"/>
          </w:tcPr>
          <w:p>
            <w:pPr>
              <w:pStyle w:val="332"/>
              <w:widowControl w:val="0"/>
              <w:rPr>
                <w:color w:val="000000" w:themeColor="text1"/>
                <w14:textFill>
                  <w14:solidFill>
                    <w14:schemeClr w14:val="tx1"/>
                  </w14:solidFill>
                </w14:textFill>
              </w:rPr>
            </w:pPr>
          </w:p>
        </w:tc>
        <w:tc>
          <w:tcPr>
            <w:tcW w:w="455" w:type="pct"/>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0.33kg/h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Merge w:val="continue"/>
            <w:vAlign w:val="center"/>
          </w:tcPr>
          <w:p>
            <w:pPr>
              <w:pStyle w:val="332"/>
              <w:widowControl w:val="0"/>
              <w:rPr>
                <w:color w:val="000000" w:themeColor="text1"/>
                <w14:textFill>
                  <w14:solidFill>
                    <w14:schemeClr w14:val="tx1"/>
                  </w14:solidFill>
                </w14:textFill>
              </w:rPr>
            </w:pPr>
          </w:p>
        </w:tc>
        <w:tc>
          <w:tcPr>
            <w:tcW w:w="351" w:type="pct"/>
            <w:vMerge w:val="restart"/>
            <w:vAlign w:val="center"/>
          </w:tcPr>
          <w:p>
            <w:pPr>
              <w:autoSpaceDE w:val="0"/>
              <w:autoSpaceDN w:val="0"/>
              <w:adjustRightInd w:val="0"/>
              <w:spacing w:line="240" w:lineRule="auto"/>
              <w:ind w:firstLine="0" w:firstLineChars="0"/>
              <w:jc w:val="center"/>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沼气发电机</w:t>
            </w:r>
          </w:p>
        </w:tc>
        <w:tc>
          <w:tcPr>
            <w:tcW w:w="327"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一般排放口</w:t>
            </w:r>
          </w:p>
        </w:tc>
        <w:tc>
          <w:tcPr>
            <w:tcW w:w="612" w:type="pct"/>
            <w:vMerge w:val="restart"/>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烟尘、SO</w:t>
            </w:r>
            <w:r>
              <w:rPr>
                <w:rFonts w:cs="Times New Roman"/>
                <w:color w:val="000000" w:themeColor="text1"/>
                <w:kern w:val="0"/>
                <w:sz w:val="14"/>
                <w:szCs w:val="14"/>
                <w14:textFill>
                  <w14:solidFill>
                    <w14:schemeClr w14:val="tx1"/>
                  </w14:solidFill>
                </w14:textFill>
              </w:rPr>
              <w:t>2</w:t>
            </w:r>
            <w:r>
              <w:rPr>
                <w:rFonts w:cs="Times New Roman"/>
                <w:color w:val="000000" w:themeColor="text1"/>
                <w:kern w:val="0"/>
                <w:sz w:val="21"/>
                <w:szCs w:val="21"/>
                <w14:textFill>
                  <w14:solidFill>
                    <w14:schemeClr w14:val="tx1"/>
                  </w14:solidFill>
                </w14:textFill>
              </w:rPr>
              <w:t>、NO</w:t>
            </w:r>
            <w:r>
              <w:rPr>
                <w:rFonts w:cs="Times New Roman"/>
                <w:color w:val="000000" w:themeColor="text1"/>
                <w:kern w:val="0"/>
                <w:sz w:val="14"/>
                <w:szCs w:val="14"/>
                <w14:textFill>
                  <w14:solidFill>
                    <w14:schemeClr w14:val="tx1"/>
                  </w14:solidFill>
                </w14:textFill>
              </w:rPr>
              <w:t xml:space="preserve">x </w:t>
            </w:r>
            <w:r>
              <w:rPr>
                <w:rFonts w:cs="Times New Roman"/>
                <w:color w:val="000000" w:themeColor="text1"/>
                <w:kern w:val="0"/>
                <w:sz w:val="21"/>
                <w:szCs w:val="21"/>
                <w14:textFill>
                  <w14:solidFill>
                    <w14:schemeClr w14:val="tx1"/>
                  </w14:solidFill>
                </w14:textFill>
              </w:rPr>
              <w:t>排放浓度、排放速率及废气量，排气筒实际高度</w:t>
            </w:r>
          </w:p>
        </w:tc>
        <w:tc>
          <w:tcPr>
            <w:tcW w:w="31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烟尘</w:t>
            </w:r>
          </w:p>
        </w:tc>
        <w:tc>
          <w:tcPr>
            <w:tcW w:w="23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手动</w:t>
            </w:r>
          </w:p>
        </w:tc>
        <w:tc>
          <w:tcPr>
            <w:tcW w:w="547" w:type="pct"/>
            <w:vMerge w:val="continue"/>
            <w:vAlign w:val="center"/>
          </w:tcPr>
          <w:p>
            <w:pPr>
              <w:pStyle w:val="332"/>
              <w:widowControl w:val="0"/>
              <w:rPr>
                <w:color w:val="000000" w:themeColor="text1"/>
                <w14:textFill>
                  <w14:solidFill>
                    <w14:schemeClr w14:val="tx1"/>
                  </w14:solidFill>
                </w14:textFill>
              </w:rPr>
            </w:pPr>
          </w:p>
        </w:tc>
        <w:tc>
          <w:tcPr>
            <w:tcW w:w="252" w:type="pct"/>
            <w:vMerge w:val="restart"/>
            <w:vAlign w:val="center"/>
          </w:tcPr>
          <w:p>
            <w:pPr>
              <w:pStyle w:val="332"/>
              <w:widowControl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次/年</w:t>
            </w:r>
          </w:p>
        </w:tc>
        <w:tc>
          <w:tcPr>
            <w:tcW w:w="961" w:type="pct"/>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《固定污染源排气中颗粒物测定与气态污染物采样方法》（GB/T16157-1996）</w:t>
            </w:r>
          </w:p>
        </w:tc>
        <w:tc>
          <w:tcPr>
            <w:tcW w:w="708" w:type="pct"/>
            <w:vMerge w:val="restart"/>
            <w:vAlign w:val="center"/>
          </w:tcPr>
          <w:p>
            <w:pPr>
              <w:autoSpaceDE w:val="0"/>
              <w:autoSpaceDN w:val="0"/>
              <w:adjustRightInd w:val="0"/>
              <w:spacing w:line="240" w:lineRule="auto"/>
              <w:ind w:firstLine="0" w:firstLineChars="0"/>
              <w:jc w:val="center"/>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《大气污染物综合排放标准》（GB16297-1996）</w:t>
            </w:r>
          </w:p>
        </w:tc>
        <w:tc>
          <w:tcPr>
            <w:tcW w:w="45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120mg/m</w:t>
            </w:r>
            <w:r>
              <w:rPr>
                <w:color w:val="000000" w:themeColor="text1"/>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Merge w:val="continue"/>
            <w:vAlign w:val="center"/>
          </w:tcPr>
          <w:p>
            <w:pPr>
              <w:pStyle w:val="332"/>
              <w:widowControl w:val="0"/>
              <w:rPr>
                <w:color w:val="000000" w:themeColor="text1"/>
                <w14:textFill>
                  <w14:solidFill>
                    <w14:schemeClr w14:val="tx1"/>
                  </w14:solidFill>
                </w14:textFill>
              </w:rPr>
            </w:pPr>
          </w:p>
        </w:tc>
        <w:tc>
          <w:tcPr>
            <w:tcW w:w="351" w:type="pct"/>
            <w:vMerge w:val="continue"/>
            <w:vAlign w:val="center"/>
          </w:tcPr>
          <w:p>
            <w:pPr>
              <w:pStyle w:val="332"/>
              <w:widowControl w:val="0"/>
              <w:rPr>
                <w:color w:val="000000" w:themeColor="text1"/>
                <w14:textFill>
                  <w14:solidFill>
                    <w14:schemeClr w14:val="tx1"/>
                  </w14:solidFill>
                </w14:textFill>
              </w:rPr>
            </w:pPr>
          </w:p>
        </w:tc>
        <w:tc>
          <w:tcPr>
            <w:tcW w:w="327" w:type="pct"/>
            <w:vMerge w:val="continue"/>
            <w:vAlign w:val="center"/>
          </w:tcPr>
          <w:p>
            <w:pPr>
              <w:pStyle w:val="332"/>
              <w:widowControl w:val="0"/>
              <w:rPr>
                <w:color w:val="000000" w:themeColor="text1"/>
                <w14:textFill>
                  <w14:solidFill>
                    <w14:schemeClr w14:val="tx1"/>
                  </w14:solidFill>
                </w14:textFill>
              </w:rPr>
            </w:pPr>
          </w:p>
        </w:tc>
        <w:tc>
          <w:tcPr>
            <w:tcW w:w="612" w:type="pct"/>
            <w:vMerge w:val="continue"/>
            <w:vAlign w:val="center"/>
          </w:tcPr>
          <w:p>
            <w:pPr>
              <w:pStyle w:val="332"/>
              <w:widowControl w:val="0"/>
              <w:rPr>
                <w:color w:val="000000" w:themeColor="text1"/>
                <w14:textFill>
                  <w14:solidFill>
                    <w14:schemeClr w14:val="tx1"/>
                  </w14:solidFill>
                </w14:textFill>
              </w:rPr>
            </w:pPr>
          </w:p>
        </w:tc>
        <w:tc>
          <w:tcPr>
            <w:tcW w:w="318" w:type="pct"/>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SO</w:t>
            </w:r>
            <w:r>
              <w:rPr>
                <w:color w:val="000000" w:themeColor="text1"/>
                <w:kern w:val="0"/>
                <w:sz w:val="14"/>
                <w:szCs w:val="14"/>
                <w14:textFill>
                  <w14:solidFill>
                    <w14:schemeClr w14:val="tx1"/>
                  </w14:solidFill>
                </w14:textFill>
              </w:rPr>
              <w:t>2</w:t>
            </w:r>
          </w:p>
        </w:tc>
        <w:tc>
          <w:tcPr>
            <w:tcW w:w="23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手动</w:t>
            </w:r>
          </w:p>
        </w:tc>
        <w:tc>
          <w:tcPr>
            <w:tcW w:w="547" w:type="pct"/>
            <w:vMerge w:val="continue"/>
            <w:vAlign w:val="center"/>
          </w:tcPr>
          <w:p>
            <w:pPr>
              <w:pStyle w:val="332"/>
              <w:widowControl w:val="0"/>
              <w:rPr>
                <w:color w:val="000000" w:themeColor="text1"/>
                <w14:textFill>
                  <w14:solidFill>
                    <w14:schemeClr w14:val="tx1"/>
                  </w14:solidFill>
                </w14:textFill>
              </w:rPr>
            </w:pPr>
          </w:p>
        </w:tc>
        <w:tc>
          <w:tcPr>
            <w:tcW w:w="252" w:type="pct"/>
            <w:vMerge w:val="continue"/>
            <w:vAlign w:val="center"/>
          </w:tcPr>
          <w:p>
            <w:pPr>
              <w:pStyle w:val="332"/>
              <w:widowControl w:val="0"/>
              <w:rPr>
                <w:color w:val="000000" w:themeColor="text1"/>
                <w14:textFill>
                  <w14:solidFill>
                    <w14:schemeClr w14:val="tx1"/>
                  </w14:solidFill>
                </w14:textFill>
              </w:rPr>
            </w:pPr>
          </w:p>
        </w:tc>
        <w:tc>
          <w:tcPr>
            <w:tcW w:w="961" w:type="pct"/>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《固定污染源废气二氧化硫的测定 非分散红外吸收法》（HJ629-2011）</w:t>
            </w:r>
          </w:p>
        </w:tc>
        <w:tc>
          <w:tcPr>
            <w:tcW w:w="708" w:type="pct"/>
            <w:vMerge w:val="continue"/>
            <w:vAlign w:val="center"/>
          </w:tcPr>
          <w:p>
            <w:pPr>
              <w:pStyle w:val="332"/>
              <w:widowControl w:val="0"/>
              <w:rPr>
                <w:color w:val="000000" w:themeColor="text1"/>
                <w14:textFill>
                  <w14:solidFill>
                    <w14:schemeClr w14:val="tx1"/>
                  </w14:solidFill>
                </w14:textFill>
              </w:rPr>
            </w:pPr>
          </w:p>
        </w:tc>
        <w:tc>
          <w:tcPr>
            <w:tcW w:w="45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550mg/m</w:t>
            </w:r>
            <w:r>
              <w:rPr>
                <w:color w:val="000000" w:themeColor="text1"/>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Merge w:val="continue"/>
            <w:vAlign w:val="center"/>
          </w:tcPr>
          <w:p>
            <w:pPr>
              <w:pStyle w:val="332"/>
              <w:widowControl w:val="0"/>
              <w:rPr>
                <w:color w:val="000000" w:themeColor="text1"/>
                <w14:textFill>
                  <w14:solidFill>
                    <w14:schemeClr w14:val="tx1"/>
                  </w14:solidFill>
                </w14:textFill>
              </w:rPr>
            </w:pPr>
          </w:p>
        </w:tc>
        <w:tc>
          <w:tcPr>
            <w:tcW w:w="351" w:type="pct"/>
            <w:vMerge w:val="continue"/>
            <w:vAlign w:val="center"/>
          </w:tcPr>
          <w:p>
            <w:pPr>
              <w:pStyle w:val="332"/>
              <w:widowControl w:val="0"/>
              <w:rPr>
                <w:color w:val="000000" w:themeColor="text1"/>
                <w14:textFill>
                  <w14:solidFill>
                    <w14:schemeClr w14:val="tx1"/>
                  </w14:solidFill>
                </w14:textFill>
              </w:rPr>
            </w:pPr>
          </w:p>
        </w:tc>
        <w:tc>
          <w:tcPr>
            <w:tcW w:w="327" w:type="pct"/>
            <w:vMerge w:val="continue"/>
            <w:vAlign w:val="center"/>
          </w:tcPr>
          <w:p>
            <w:pPr>
              <w:pStyle w:val="332"/>
              <w:widowControl w:val="0"/>
              <w:rPr>
                <w:color w:val="000000" w:themeColor="text1"/>
                <w14:textFill>
                  <w14:solidFill>
                    <w14:schemeClr w14:val="tx1"/>
                  </w14:solidFill>
                </w14:textFill>
              </w:rPr>
            </w:pPr>
          </w:p>
        </w:tc>
        <w:tc>
          <w:tcPr>
            <w:tcW w:w="612" w:type="pct"/>
            <w:vMerge w:val="continue"/>
            <w:vAlign w:val="center"/>
          </w:tcPr>
          <w:p>
            <w:pPr>
              <w:pStyle w:val="332"/>
              <w:widowControl w:val="0"/>
              <w:rPr>
                <w:color w:val="000000" w:themeColor="text1"/>
                <w14:textFill>
                  <w14:solidFill>
                    <w14:schemeClr w14:val="tx1"/>
                  </w14:solidFill>
                </w14:textFill>
              </w:rPr>
            </w:pPr>
          </w:p>
        </w:tc>
        <w:tc>
          <w:tcPr>
            <w:tcW w:w="318" w:type="pct"/>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NO</w:t>
            </w:r>
            <w:r>
              <w:rPr>
                <w:color w:val="000000" w:themeColor="text1"/>
                <w:kern w:val="0"/>
                <w:sz w:val="14"/>
                <w:szCs w:val="14"/>
                <w14:textFill>
                  <w14:solidFill>
                    <w14:schemeClr w14:val="tx1"/>
                  </w14:solidFill>
                </w14:textFill>
              </w:rPr>
              <w:t>x</w:t>
            </w:r>
          </w:p>
        </w:tc>
        <w:tc>
          <w:tcPr>
            <w:tcW w:w="23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手动</w:t>
            </w:r>
          </w:p>
        </w:tc>
        <w:tc>
          <w:tcPr>
            <w:tcW w:w="547" w:type="pct"/>
            <w:vMerge w:val="continue"/>
            <w:vAlign w:val="center"/>
          </w:tcPr>
          <w:p>
            <w:pPr>
              <w:pStyle w:val="332"/>
              <w:widowControl w:val="0"/>
              <w:rPr>
                <w:color w:val="000000" w:themeColor="text1"/>
                <w14:textFill>
                  <w14:solidFill>
                    <w14:schemeClr w14:val="tx1"/>
                  </w14:solidFill>
                </w14:textFill>
              </w:rPr>
            </w:pPr>
          </w:p>
        </w:tc>
        <w:tc>
          <w:tcPr>
            <w:tcW w:w="252" w:type="pct"/>
            <w:vMerge w:val="continue"/>
            <w:vAlign w:val="center"/>
          </w:tcPr>
          <w:p>
            <w:pPr>
              <w:pStyle w:val="332"/>
              <w:widowControl w:val="0"/>
              <w:rPr>
                <w:color w:val="000000" w:themeColor="text1"/>
                <w14:textFill>
                  <w14:solidFill>
                    <w14:schemeClr w14:val="tx1"/>
                  </w14:solidFill>
                </w14:textFill>
              </w:rPr>
            </w:pPr>
          </w:p>
        </w:tc>
        <w:tc>
          <w:tcPr>
            <w:tcW w:w="961" w:type="pct"/>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《固定污染源废气 氮氧化物的测定 非分散红外吸收法》（HJ692-2014）</w:t>
            </w:r>
          </w:p>
        </w:tc>
        <w:tc>
          <w:tcPr>
            <w:tcW w:w="708" w:type="pct"/>
            <w:vAlign w:val="center"/>
          </w:tcPr>
          <w:p>
            <w:pPr>
              <w:pStyle w:val="332"/>
              <w:widowControl w:val="0"/>
              <w:rPr>
                <w:color w:val="000000" w:themeColor="text1"/>
                <w14:textFill>
                  <w14:solidFill>
                    <w14:schemeClr w14:val="tx1"/>
                  </w14:solidFill>
                </w14:textFill>
              </w:rPr>
            </w:pPr>
            <w:r>
              <w:rPr>
                <w:bCs/>
                <w:color w:val="000000" w:themeColor="text1"/>
                <w14:textFill>
                  <w14:solidFill>
                    <w14:schemeClr w14:val="tx1"/>
                  </w14:solidFill>
                </w14:textFill>
              </w:rPr>
              <w:t>《车用压燃式、气体燃料点燃式发动机与汽车排气污染物排放限值及测量方法》（中国Ⅲ、Ⅳ、Ⅴ阶段）GB17691-2005</w:t>
            </w:r>
          </w:p>
        </w:tc>
        <w:tc>
          <w:tcPr>
            <w:tcW w:w="45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2.0 g/kwh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Merge w:val="continue"/>
            <w:vAlign w:val="center"/>
          </w:tcPr>
          <w:p>
            <w:pPr>
              <w:pStyle w:val="332"/>
              <w:widowControl w:val="0"/>
              <w:rPr>
                <w:color w:val="000000" w:themeColor="text1"/>
                <w14:textFill>
                  <w14:solidFill>
                    <w14:schemeClr w14:val="tx1"/>
                  </w14:solidFill>
                </w14:textFill>
              </w:rPr>
            </w:pPr>
          </w:p>
        </w:tc>
        <w:tc>
          <w:tcPr>
            <w:tcW w:w="351"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场界</w:t>
            </w:r>
          </w:p>
        </w:tc>
        <w:tc>
          <w:tcPr>
            <w:tcW w:w="327" w:type="pct"/>
            <w:vMerge w:val="restar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612" w:type="pct"/>
            <w:vMerge w:val="restart"/>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NH</w:t>
            </w:r>
            <w:r>
              <w:rPr>
                <w:color w:val="000000" w:themeColor="text1"/>
                <w:kern w:val="0"/>
                <w:sz w:val="14"/>
                <w:szCs w:val="14"/>
                <w14:textFill>
                  <w14:solidFill>
                    <w14:schemeClr w14:val="tx1"/>
                  </w14:solidFill>
                </w14:textFill>
              </w:rPr>
              <w:t>3</w:t>
            </w:r>
            <w:r>
              <w:rPr>
                <w:color w:val="000000" w:themeColor="text1"/>
                <w:kern w:val="0"/>
                <w:szCs w:val="21"/>
                <w14:textFill>
                  <w14:solidFill>
                    <w14:schemeClr w14:val="tx1"/>
                  </w14:solidFill>
                </w14:textFill>
              </w:rPr>
              <w:t>、H</w:t>
            </w:r>
            <w:r>
              <w:rPr>
                <w:color w:val="000000" w:themeColor="text1"/>
                <w:kern w:val="0"/>
                <w:sz w:val="14"/>
                <w:szCs w:val="14"/>
                <w14:textFill>
                  <w14:solidFill>
                    <w14:schemeClr w14:val="tx1"/>
                  </w14:solidFill>
                </w14:textFill>
              </w:rPr>
              <w:t>2</w:t>
            </w:r>
            <w:r>
              <w:rPr>
                <w:color w:val="000000" w:themeColor="text1"/>
                <w:kern w:val="0"/>
                <w:szCs w:val="21"/>
                <w14:textFill>
                  <w14:solidFill>
                    <w14:schemeClr w14:val="tx1"/>
                  </w14:solidFill>
                </w14:textFill>
              </w:rPr>
              <w:t>S浓度</w:t>
            </w:r>
          </w:p>
        </w:tc>
        <w:tc>
          <w:tcPr>
            <w:tcW w:w="31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p>
        </w:tc>
        <w:tc>
          <w:tcPr>
            <w:tcW w:w="23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手动</w:t>
            </w:r>
          </w:p>
        </w:tc>
        <w:tc>
          <w:tcPr>
            <w:tcW w:w="547" w:type="pct"/>
            <w:vMerge w:val="continue"/>
            <w:vAlign w:val="center"/>
          </w:tcPr>
          <w:p>
            <w:pPr>
              <w:pStyle w:val="332"/>
              <w:widowControl w:val="0"/>
              <w:rPr>
                <w:color w:val="000000" w:themeColor="text1"/>
                <w14:textFill>
                  <w14:solidFill>
                    <w14:schemeClr w14:val="tx1"/>
                  </w14:solidFill>
                </w14:textFill>
              </w:rPr>
            </w:pPr>
          </w:p>
        </w:tc>
        <w:tc>
          <w:tcPr>
            <w:tcW w:w="252" w:type="pct"/>
            <w:vMerge w:val="restart"/>
            <w:vAlign w:val="center"/>
          </w:tcPr>
          <w:p>
            <w:pPr>
              <w:pStyle w:val="332"/>
              <w:widowControl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次/年</w:t>
            </w:r>
          </w:p>
        </w:tc>
        <w:tc>
          <w:tcPr>
            <w:tcW w:w="961" w:type="pct"/>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《空气质量 氨的测定次氯酸钠-水杨酸分光光度法》（GB/T14679）</w:t>
            </w:r>
          </w:p>
        </w:tc>
        <w:tc>
          <w:tcPr>
            <w:tcW w:w="708" w:type="pct"/>
            <w:vMerge w:val="restart"/>
            <w:vAlign w:val="center"/>
          </w:tcPr>
          <w:p>
            <w:pPr>
              <w:autoSpaceDE w:val="0"/>
              <w:autoSpaceDN w:val="0"/>
              <w:adjustRightInd w:val="0"/>
              <w:spacing w:line="240" w:lineRule="auto"/>
              <w:ind w:firstLine="0" w:firstLineChars="0"/>
              <w:jc w:val="center"/>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《恶臭污染物排放标准》（GB14554-93）</w:t>
            </w:r>
          </w:p>
        </w:tc>
        <w:tc>
          <w:tcPr>
            <w:tcW w:w="455" w:type="pct"/>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0.06</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Merge w:val="continue"/>
            <w:vAlign w:val="center"/>
          </w:tcPr>
          <w:p>
            <w:pPr>
              <w:pStyle w:val="332"/>
              <w:widowControl w:val="0"/>
              <w:rPr>
                <w:color w:val="000000" w:themeColor="text1"/>
                <w14:textFill>
                  <w14:solidFill>
                    <w14:schemeClr w14:val="tx1"/>
                  </w14:solidFill>
                </w14:textFill>
              </w:rPr>
            </w:pPr>
          </w:p>
        </w:tc>
        <w:tc>
          <w:tcPr>
            <w:tcW w:w="351" w:type="pct"/>
            <w:vMerge w:val="continue"/>
            <w:vAlign w:val="center"/>
          </w:tcPr>
          <w:p>
            <w:pPr>
              <w:pStyle w:val="332"/>
              <w:widowControl w:val="0"/>
              <w:rPr>
                <w:color w:val="000000" w:themeColor="text1"/>
                <w14:textFill>
                  <w14:solidFill>
                    <w14:schemeClr w14:val="tx1"/>
                  </w14:solidFill>
                </w14:textFill>
              </w:rPr>
            </w:pPr>
          </w:p>
        </w:tc>
        <w:tc>
          <w:tcPr>
            <w:tcW w:w="327" w:type="pct"/>
            <w:vMerge w:val="continue"/>
            <w:vAlign w:val="center"/>
          </w:tcPr>
          <w:p>
            <w:pPr>
              <w:pStyle w:val="332"/>
              <w:widowControl w:val="0"/>
              <w:rPr>
                <w:color w:val="000000" w:themeColor="text1"/>
                <w14:textFill>
                  <w14:solidFill>
                    <w14:schemeClr w14:val="tx1"/>
                  </w14:solidFill>
                </w14:textFill>
              </w:rPr>
            </w:pPr>
          </w:p>
        </w:tc>
        <w:tc>
          <w:tcPr>
            <w:tcW w:w="612" w:type="pct"/>
            <w:vMerge w:val="continue"/>
            <w:vAlign w:val="center"/>
          </w:tcPr>
          <w:p>
            <w:pPr>
              <w:pStyle w:val="332"/>
              <w:widowControl w:val="0"/>
              <w:rPr>
                <w:color w:val="000000" w:themeColor="text1"/>
                <w14:textFill>
                  <w14:solidFill>
                    <w14:schemeClr w14:val="tx1"/>
                  </w14:solidFill>
                </w14:textFill>
              </w:rPr>
            </w:pPr>
          </w:p>
        </w:tc>
        <w:tc>
          <w:tcPr>
            <w:tcW w:w="31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p>
        </w:tc>
        <w:tc>
          <w:tcPr>
            <w:tcW w:w="23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手动</w:t>
            </w:r>
          </w:p>
        </w:tc>
        <w:tc>
          <w:tcPr>
            <w:tcW w:w="547" w:type="pct"/>
            <w:vMerge w:val="continue"/>
            <w:vAlign w:val="center"/>
          </w:tcPr>
          <w:p>
            <w:pPr>
              <w:pStyle w:val="332"/>
              <w:widowControl w:val="0"/>
              <w:rPr>
                <w:color w:val="000000" w:themeColor="text1"/>
                <w14:textFill>
                  <w14:solidFill>
                    <w14:schemeClr w14:val="tx1"/>
                  </w14:solidFill>
                </w14:textFill>
              </w:rPr>
            </w:pPr>
          </w:p>
        </w:tc>
        <w:tc>
          <w:tcPr>
            <w:tcW w:w="252" w:type="pct"/>
            <w:vMerge w:val="continue"/>
            <w:vAlign w:val="center"/>
          </w:tcPr>
          <w:p>
            <w:pPr>
              <w:pStyle w:val="332"/>
              <w:widowControl w:val="0"/>
              <w:rPr>
                <w:color w:val="000000" w:themeColor="text1"/>
                <w14:textFill>
                  <w14:solidFill>
                    <w14:schemeClr w14:val="tx1"/>
                  </w14:solidFill>
                </w14:textFill>
              </w:rPr>
            </w:pPr>
          </w:p>
        </w:tc>
        <w:tc>
          <w:tcPr>
            <w:tcW w:w="961" w:type="pct"/>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《硫化氢、甲硫醇、甲硫醚和二甲二硫的测定 气相色谱法》（GB/T14678）</w:t>
            </w:r>
          </w:p>
        </w:tc>
        <w:tc>
          <w:tcPr>
            <w:tcW w:w="708" w:type="pct"/>
            <w:vMerge w:val="continue"/>
            <w:vAlign w:val="center"/>
          </w:tcPr>
          <w:p>
            <w:pPr>
              <w:pStyle w:val="332"/>
              <w:widowControl w:val="0"/>
              <w:rPr>
                <w:color w:val="000000" w:themeColor="text1"/>
                <w14:textFill>
                  <w14:solidFill>
                    <w14:schemeClr w14:val="tx1"/>
                  </w14:solidFill>
                </w14:textFill>
              </w:rPr>
            </w:pPr>
          </w:p>
        </w:tc>
        <w:tc>
          <w:tcPr>
            <w:tcW w:w="45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1.5mg/m</w:t>
            </w:r>
            <w:r>
              <w:rPr>
                <w:color w:val="000000" w:themeColor="text1"/>
                <w:vertAlign w:val="superscript"/>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地下水</w:t>
            </w:r>
          </w:p>
        </w:tc>
        <w:tc>
          <w:tcPr>
            <w:tcW w:w="35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杜村水井</w:t>
            </w:r>
          </w:p>
        </w:tc>
        <w:tc>
          <w:tcPr>
            <w:tcW w:w="32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930" w:type="pct"/>
            <w:gridSpan w:val="2"/>
            <w:vAlign w:val="center"/>
          </w:tcPr>
          <w:p>
            <w:pPr>
              <w:pStyle w:val="332"/>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pH、总硬度、氟化物、氨氮、砷、耗氧量、六价铬、硝酸盐氮、亚硝酸盐氮、硫酸盐、溶解性总固体、挥发酚、汞、铁、锰、铅、氰化物、氯化物、镉、菌落总数、总大肠菌群</w:t>
            </w:r>
          </w:p>
        </w:tc>
        <w:tc>
          <w:tcPr>
            <w:tcW w:w="238" w:type="pct"/>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手动</w:t>
            </w:r>
          </w:p>
        </w:tc>
        <w:tc>
          <w:tcPr>
            <w:tcW w:w="547" w:type="pct"/>
            <w:vAlign w:val="center"/>
          </w:tcPr>
          <w:p>
            <w:pPr>
              <w:autoSpaceDE w:val="0"/>
              <w:autoSpaceDN w:val="0"/>
              <w:adjustRightInd w:val="0"/>
              <w:spacing w:line="240" w:lineRule="auto"/>
              <w:ind w:firstLine="0" w:firstLineChars="0"/>
              <w:jc w:val="center"/>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《地下水环境监测技术规范》（HJ/T164-2004）</w:t>
            </w:r>
          </w:p>
        </w:tc>
        <w:tc>
          <w:tcPr>
            <w:tcW w:w="252" w:type="pct"/>
            <w:vAlign w:val="center"/>
          </w:tcPr>
          <w:p>
            <w:pPr>
              <w:pStyle w:val="332"/>
              <w:widowControl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次/年</w:t>
            </w:r>
          </w:p>
        </w:tc>
        <w:tc>
          <w:tcPr>
            <w:tcW w:w="961"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708"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455"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 w:type="pct"/>
            <w:vAlign w:val="center"/>
          </w:tcPr>
          <w:p>
            <w:pPr>
              <w:autoSpaceDE w:val="0"/>
              <w:autoSpaceDN w:val="0"/>
              <w:adjustRightInd w:val="0"/>
              <w:spacing w:line="240" w:lineRule="auto"/>
              <w:ind w:firstLine="0" w:firstLineChars="0"/>
              <w:jc w:val="left"/>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噪声</w:t>
            </w:r>
          </w:p>
        </w:tc>
        <w:tc>
          <w:tcPr>
            <w:tcW w:w="351" w:type="pct"/>
            <w:vAlign w:val="center"/>
          </w:tcPr>
          <w:p>
            <w:pPr>
              <w:autoSpaceDE w:val="0"/>
              <w:autoSpaceDN w:val="0"/>
              <w:adjustRightInd w:val="0"/>
              <w:spacing w:line="240" w:lineRule="auto"/>
              <w:ind w:firstLine="0" w:firstLineChars="0"/>
              <w:jc w:val="center"/>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厂界四周各1个点</w:t>
            </w:r>
          </w:p>
        </w:tc>
        <w:tc>
          <w:tcPr>
            <w:tcW w:w="327" w:type="pct"/>
            <w:vAlign w:val="center"/>
          </w:tcPr>
          <w:p>
            <w:pPr>
              <w:pStyle w:val="332"/>
              <w:widowContro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930" w:type="pct"/>
            <w:gridSpan w:val="2"/>
            <w:vAlign w:val="center"/>
          </w:tcPr>
          <w:p>
            <w:pPr>
              <w:pStyle w:val="332"/>
              <w:widowControl w:val="0"/>
              <w:rPr>
                <w:color w:val="000000" w:themeColor="text1"/>
                <w14:textFill>
                  <w14:solidFill>
                    <w14:schemeClr w14:val="tx1"/>
                  </w14:solidFill>
                </w14:textFill>
              </w:rPr>
            </w:pPr>
            <w:r>
              <w:rPr>
                <w:color w:val="000000" w:themeColor="text1"/>
                <w:kern w:val="0"/>
                <w:szCs w:val="21"/>
                <w14:textFill>
                  <w14:solidFill>
                    <w14:schemeClr w14:val="tx1"/>
                  </w14:solidFill>
                </w14:textFill>
              </w:rPr>
              <w:t>厂界环境A计权等效连续噪声</w:t>
            </w:r>
          </w:p>
        </w:tc>
        <w:tc>
          <w:tcPr>
            <w:tcW w:w="238" w:type="pct"/>
            <w:vAlign w:val="center"/>
          </w:tcPr>
          <w:p>
            <w:pPr>
              <w:pStyle w:val="332"/>
              <w:widowControl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手动</w:t>
            </w:r>
          </w:p>
        </w:tc>
        <w:tc>
          <w:tcPr>
            <w:tcW w:w="547" w:type="pct"/>
            <w:vAlign w:val="center"/>
          </w:tcPr>
          <w:p>
            <w:pPr>
              <w:autoSpaceDE w:val="0"/>
              <w:autoSpaceDN w:val="0"/>
              <w:adjustRightInd w:val="0"/>
              <w:spacing w:line="240" w:lineRule="auto"/>
              <w:ind w:firstLine="0" w:firstLineChars="0"/>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《工业企业厂界环境噪声排放标准》（GB12348-2008）</w:t>
            </w:r>
          </w:p>
        </w:tc>
        <w:tc>
          <w:tcPr>
            <w:tcW w:w="252" w:type="pct"/>
            <w:vAlign w:val="center"/>
          </w:tcPr>
          <w:p>
            <w:pPr>
              <w:pStyle w:val="332"/>
              <w:widowControl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p>
            <w:pPr>
              <w:pStyle w:val="332"/>
              <w:widowControl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次/季</w:t>
            </w:r>
          </w:p>
        </w:tc>
        <w:tc>
          <w:tcPr>
            <w:tcW w:w="961" w:type="pct"/>
            <w:vAlign w:val="center"/>
          </w:tcPr>
          <w:p>
            <w:pPr>
              <w:autoSpaceDE w:val="0"/>
              <w:autoSpaceDN w:val="0"/>
              <w:adjustRightInd w:val="0"/>
              <w:spacing w:line="240" w:lineRule="auto"/>
              <w:ind w:firstLine="0" w:firstLineChars="0"/>
              <w:jc w:val="center"/>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厂界环境A计权等效连续噪声</w:t>
            </w:r>
          </w:p>
        </w:tc>
        <w:tc>
          <w:tcPr>
            <w:tcW w:w="708" w:type="pct"/>
            <w:vAlign w:val="center"/>
          </w:tcPr>
          <w:p>
            <w:pPr>
              <w:autoSpaceDE w:val="0"/>
              <w:autoSpaceDN w:val="0"/>
              <w:adjustRightInd w:val="0"/>
              <w:spacing w:line="240" w:lineRule="auto"/>
              <w:ind w:firstLine="0" w:firstLineChars="0"/>
              <w:jc w:val="center"/>
              <w:rPr>
                <w:rFonts w:cs="Times New Roman"/>
                <w:color w:val="000000" w:themeColor="text1"/>
                <w14:textFill>
                  <w14:solidFill>
                    <w14:schemeClr w14:val="tx1"/>
                  </w14:solidFill>
                </w14:textFill>
              </w:rPr>
            </w:pPr>
            <w:r>
              <w:rPr>
                <w:rFonts w:cs="Times New Roman"/>
                <w:color w:val="000000" w:themeColor="text1"/>
                <w:kern w:val="0"/>
                <w:sz w:val="21"/>
                <w:szCs w:val="21"/>
                <w14:textFill>
                  <w14:solidFill>
                    <w14:schemeClr w14:val="tx1"/>
                  </w14:solidFill>
                </w14:textFill>
              </w:rPr>
              <w:t>《工业企业厂界环境噪声排放标准》（GB12348-2008）</w:t>
            </w:r>
          </w:p>
        </w:tc>
        <w:tc>
          <w:tcPr>
            <w:tcW w:w="455" w:type="pct"/>
            <w:vAlign w:val="center"/>
          </w:tcPr>
          <w:p>
            <w:pPr>
              <w:autoSpaceDE w:val="0"/>
              <w:autoSpaceDN w:val="0"/>
              <w:adjustRightInd w:val="0"/>
              <w:spacing w:line="240" w:lineRule="auto"/>
              <w:ind w:firstLine="0" w:firstLineChars="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昼:55dB(A)</w:t>
            </w:r>
          </w:p>
          <w:p>
            <w:pPr>
              <w:pStyle w:val="332"/>
              <w:widowControl w:val="0"/>
              <w:jc w:val="both"/>
              <w:rPr>
                <w:color w:val="000000" w:themeColor="text1"/>
                <w14:textFill>
                  <w14:solidFill>
                    <w14:schemeClr w14:val="tx1"/>
                  </w14:solidFill>
                </w14:textFill>
              </w:rPr>
            </w:pPr>
            <w:r>
              <w:rPr>
                <w:color w:val="000000" w:themeColor="text1"/>
                <w:kern w:val="0"/>
                <w:szCs w:val="21"/>
                <w14:textFill>
                  <w14:solidFill>
                    <w14:schemeClr w14:val="tx1"/>
                  </w14:solidFill>
                </w14:textFill>
              </w:rPr>
              <w:t>夜:45dB(A)</w:t>
            </w:r>
          </w:p>
        </w:tc>
      </w:tr>
      <w:bookmarkEnd w:id="776"/>
    </w:tbl>
    <w:p>
      <w:pPr>
        <w:pStyle w:val="333"/>
        <w:spacing w:before="120"/>
        <w:rPr>
          <w:rFonts w:cs="Times New Roman"/>
          <w:color w:val="000000" w:themeColor="text1"/>
          <w14:textFill>
            <w14:solidFill>
              <w14:schemeClr w14:val="tx1"/>
            </w14:solidFill>
          </w14:textFill>
        </w:rPr>
      </w:pPr>
    </w:p>
    <w:p>
      <w:pPr>
        <w:ind w:firstLine="480"/>
        <w:rPr>
          <w:rFonts w:cs="Times New Roman"/>
          <w:color w:val="000000" w:themeColor="text1"/>
          <w14:textFill>
            <w14:solidFill>
              <w14:schemeClr w14:val="tx1"/>
            </w14:solidFill>
          </w14:textFill>
        </w:rPr>
        <w:sectPr>
          <w:pgSz w:w="16840" w:h="11907" w:orient="landscape"/>
          <w:pgMar w:top="1418" w:right="1531" w:bottom="1418" w:left="1531" w:header="851" w:footer="992" w:gutter="0"/>
          <w:pgNumType w:fmt="numberInDash"/>
          <w:cols w:space="720" w:num="1"/>
          <w:docGrid w:linePitch="326" w:charSpace="0"/>
        </w:sectPr>
      </w:pPr>
    </w:p>
    <w:p>
      <w:pPr>
        <w:pStyle w:val="2"/>
        <w:spacing w:before="240" w:after="120"/>
        <w:rPr>
          <w:rFonts w:cs="Times New Roman"/>
          <w:color w:val="000000" w:themeColor="text1"/>
          <w14:textFill>
            <w14:solidFill>
              <w14:schemeClr w14:val="tx1"/>
            </w14:solidFill>
          </w14:textFill>
        </w:rPr>
      </w:pPr>
      <w:bookmarkStart w:id="777" w:name="_Toc58362896"/>
      <w:bookmarkStart w:id="778" w:name="_Toc91164001"/>
      <w:bookmarkStart w:id="779" w:name="_Toc52791986"/>
      <w:bookmarkStart w:id="780" w:name="_Toc47619932"/>
      <w:bookmarkStart w:id="781" w:name="_Toc47620118"/>
      <w:bookmarkStart w:id="782" w:name="_Toc47619490"/>
      <w:bookmarkStart w:id="783" w:name="_Toc47619270"/>
      <w:bookmarkStart w:id="784" w:name="_Toc47619384"/>
      <w:r>
        <w:rPr>
          <w:rFonts w:cs="Times New Roman"/>
          <w:color w:val="000000" w:themeColor="text1"/>
          <w14:textFill>
            <w14:solidFill>
              <w14:schemeClr w14:val="tx1"/>
            </w14:solidFill>
          </w14:textFill>
        </w:rPr>
        <w:t>第九章 结论与建议</w:t>
      </w:r>
      <w:bookmarkEnd w:id="777"/>
      <w:bookmarkEnd w:id="778"/>
      <w:bookmarkEnd w:id="779"/>
      <w:bookmarkEnd w:id="780"/>
      <w:bookmarkEnd w:id="781"/>
      <w:bookmarkEnd w:id="782"/>
      <w:bookmarkEnd w:id="783"/>
      <w:bookmarkEnd w:id="784"/>
    </w:p>
    <w:p>
      <w:pPr>
        <w:pStyle w:val="3"/>
        <w:spacing w:before="120" w:after="120"/>
        <w:rPr>
          <w:rFonts w:cs="Times New Roman"/>
          <w:color w:val="000000" w:themeColor="text1"/>
          <w14:textFill>
            <w14:solidFill>
              <w14:schemeClr w14:val="tx1"/>
            </w14:solidFill>
          </w14:textFill>
        </w:rPr>
      </w:pPr>
      <w:bookmarkStart w:id="785" w:name="_Toc91164002"/>
      <w:bookmarkStart w:id="786" w:name="_Toc52791987"/>
      <w:bookmarkStart w:id="787" w:name="_Toc58362897"/>
      <w:bookmarkStart w:id="788" w:name="_Toc47619933"/>
      <w:bookmarkStart w:id="789" w:name="_Toc47620119"/>
      <w:bookmarkStart w:id="790" w:name="_Toc47619491"/>
      <w:bookmarkStart w:id="791" w:name="_Toc47619385"/>
      <w:bookmarkStart w:id="792" w:name="_Toc271875210"/>
      <w:bookmarkStart w:id="793" w:name="_Toc47619271"/>
      <w:bookmarkStart w:id="794" w:name="_Toc272584929"/>
      <w:r>
        <w:rPr>
          <w:rFonts w:cs="Times New Roman"/>
          <w:color w:val="000000" w:themeColor="text1"/>
          <w14:textFill>
            <w14:solidFill>
              <w14:schemeClr w14:val="tx1"/>
            </w14:solidFill>
          </w14:textFill>
        </w:rPr>
        <w:t>9.1  建设项目概况</w:t>
      </w:r>
      <w:bookmarkEnd w:id="785"/>
      <w:bookmarkEnd w:id="786"/>
      <w:bookmarkEnd w:id="787"/>
      <w:bookmarkEnd w:id="788"/>
      <w:bookmarkEnd w:id="789"/>
      <w:bookmarkEnd w:id="790"/>
      <w:bookmarkEnd w:id="791"/>
      <w:bookmarkEnd w:id="792"/>
      <w:bookmarkEnd w:id="793"/>
      <w:bookmarkEnd w:id="794"/>
    </w:p>
    <w:p>
      <w:pPr>
        <w:ind w:firstLine="480"/>
        <w:rPr>
          <w:rFonts w:cs="Times New Roman"/>
          <w:color w:val="000000" w:themeColor="text1"/>
          <w14:textFill>
            <w14:solidFill>
              <w14:schemeClr w14:val="tx1"/>
            </w14:solidFill>
          </w14:textFill>
        </w:rPr>
      </w:pPr>
      <w:bookmarkStart w:id="795" w:name="_Toc58362900"/>
      <w:bookmarkStart w:id="796" w:name="_Toc52791990"/>
      <w:bookmarkStart w:id="797" w:name="_Toc47619936"/>
      <w:bookmarkStart w:id="798" w:name="_Toc47620122"/>
      <w:bookmarkStart w:id="799" w:name="_Toc47619492"/>
      <w:bookmarkStart w:id="800" w:name="_Toc47619386"/>
      <w:bookmarkStart w:id="801" w:name="_Toc47619274"/>
      <w:r>
        <w:rPr>
          <w:rFonts w:cs="Times New Roman"/>
          <w:color w:val="000000" w:themeColor="text1"/>
          <w14:textFill>
            <w14:solidFill>
              <w14:schemeClr w14:val="tx1"/>
            </w14:solidFill>
          </w14:textFill>
        </w:rPr>
        <w:t>山西鑫达农牧有限公司1.5万头生猪产业化项目概况见表9.1-1。</w:t>
      </w:r>
    </w:p>
    <w:p>
      <w:pPr>
        <w:pStyle w:val="333"/>
        <w:spacing w:before="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表9.1-1 </w:t>
      </w:r>
      <w:r>
        <w:rPr>
          <w:rFonts w:cs="Times New Roman"/>
          <w:color w:val="000000" w:themeColor="text1"/>
          <w:kern w:val="0"/>
          <w:szCs w:val="21"/>
          <w14:textFill>
            <w14:solidFill>
              <w14:schemeClr w14:val="tx1"/>
            </w14:solidFill>
          </w14:textFill>
        </w:rPr>
        <w:t>工程概况一览表</w:t>
      </w:r>
    </w:p>
    <w:p>
      <w:pPr>
        <w:kinsoku w:val="0"/>
        <w:overflowPunct w:val="0"/>
        <w:autoSpaceDE w:val="0"/>
        <w:autoSpaceDN w:val="0"/>
        <w:adjustRightInd w:val="0"/>
        <w:spacing w:before="1" w:line="240" w:lineRule="auto"/>
        <w:ind w:firstLine="0" w:firstLineChars="0"/>
        <w:jc w:val="left"/>
        <w:rPr>
          <w:rFonts w:cs="Times New Roman"/>
          <w:color w:val="000000" w:themeColor="text1"/>
          <w:kern w:val="0"/>
          <w:sz w:val="6"/>
          <w:szCs w:val="6"/>
          <w14:textFill>
            <w14:solidFill>
              <w14:schemeClr w14:val="tx1"/>
            </w14:solidFill>
          </w14:textFill>
        </w:rPr>
      </w:pPr>
      <w:bookmarkStart w:id="802" w:name="9.2评价区环境质量现状评价"/>
      <w:bookmarkEnd w:id="802"/>
      <w:bookmarkStart w:id="803" w:name="9.2.1环境空气质量现状评价"/>
      <w:bookmarkEnd w:id="803"/>
      <w:bookmarkStart w:id="804" w:name="bookmark2"/>
      <w:bookmarkEnd w:id="804"/>
      <w:bookmarkStart w:id="805" w:name="9.2.2地下水水环境质量现状"/>
      <w:bookmarkEnd w:id="805"/>
    </w:p>
    <w:tbl>
      <w:tblPr>
        <w:tblStyle w:val="53"/>
        <w:tblW w:w="5000" w:type="pct"/>
        <w:tblInd w:w="0" w:type="dxa"/>
        <w:tblLayout w:type="autofit"/>
        <w:tblCellMar>
          <w:top w:w="0" w:type="dxa"/>
          <w:left w:w="0" w:type="dxa"/>
          <w:bottom w:w="0" w:type="dxa"/>
          <w:right w:w="0" w:type="dxa"/>
        </w:tblCellMar>
      </w:tblPr>
      <w:tblGrid>
        <w:gridCol w:w="823"/>
        <w:gridCol w:w="1753"/>
        <w:gridCol w:w="6525"/>
      </w:tblGrid>
      <w:tr>
        <w:tblPrEx>
          <w:tblCellMar>
            <w:top w:w="0" w:type="dxa"/>
            <w:left w:w="0" w:type="dxa"/>
            <w:bottom w:w="0" w:type="dxa"/>
            <w:right w:w="0" w:type="dxa"/>
          </w:tblCellMar>
        </w:tblPrEx>
        <w:trPr>
          <w:trHeight w:val="397" w:hRule="atLeast"/>
        </w:trPr>
        <w:tc>
          <w:tcPr>
            <w:tcW w:w="452" w:type="pct"/>
            <w:tcBorders>
              <w:top w:val="single" w:color="auto" w:sz="12" w:space="0"/>
              <w:left w:val="single" w:color="auto"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bookmarkStart w:id="806" w:name="9.1建设项目基本情况"/>
            <w:bookmarkEnd w:id="806"/>
            <w:bookmarkStart w:id="807" w:name="9环境影响评价结论"/>
            <w:bookmarkEnd w:id="807"/>
            <w:r>
              <w:rPr>
                <w:color w:val="000000" w:themeColor="text1"/>
                <w14:textFill>
                  <w14:solidFill>
                    <w14:schemeClr w14:val="tx1"/>
                  </w14:solidFill>
                </w14:textFill>
              </w:rPr>
              <w:t>序号</w:t>
            </w:r>
          </w:p>
        </w:tc>
        <w:tc>
          <w:tcPr>
            <w:tcW w:w="963" w:type="pct"/>
            <w:tcBorders>
              <w:top w:val="single" w:color="auto" w:sz="12"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3585" w:type="pct"/>
            <w:tcBorders>
              <w:top w:val="single" w:color="auto" w:sz="12" w:space="0"/>
              <w:left w:val="single" w:color="000000" w:sz="6"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主要内容</w:t>
            </w:r>
          </w:p>
        </w:tc>
      </w:tr>
      <w:tr>
        <w:tblPrEx>
          <w:tblCellMar>
            <w:top w:w="0" w:type="dxa"/>
            <w:left w:w="0" w:type="dxa"/>
            <w:bottom w:w="0" w:type="dxa"/>
            <w:right w:w="0" w:type="dxa"/>
          </w:tblCellMar>
        </w:tblPrEx>
        <w:trPr>
          <w:trHeight w:val="397" w:hRule="atLeast"/>
        </w:trPr>
        <w:tc>
          <w:tcPr>
            <w:tcW w:w="452" w:type="pct"/>
            <w:tcBorders>
              <w:top w:val="single" w:color="auto" w:sz="12"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1</w:t>
            </w:r>
          </w:p>
        </w:tc>
        <w:tc>
          <w:tcPr>
            <w:tcW w:w="963" w:type="pct"/>
            <w:tcBorders>
              <w:top w:val="single" w:color="auto" w:sz="12"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项目名称</w:t>
            </w:r>
          </w:p>
        </w:tc>
        <w:tc>
          <w:tcPr>
            <w:tcW w:w="3585" w:type="pct"/>
            <w:tcBorders>
              <w:top w:val="single" w:color="auto" w:sz="12"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山西鑫达农牧有限公司1.5万头生猪产业化项目</w:t>
            </w:r>
          </w:p>
        </w:tc>
      </w:tr>
      <w:tr>
        <w:tblPrEx>
          <w:tblCellMar>
            <w:top w:w="0" w:type="dxa"/>
            <w:left w:w="0" w:type="dxa"/>
            <w:bottom w:w="0" w:type="dxa"/>
            <w:right w:w="0" w:type="dxa"/>
          </w:tblCellMar>
        </w:tblPrEx>
        <w:trPr>
          <w:trHeight w:val="397" w:hRule="atLeast"/>
        </w:trPr>
        <w:tc>
          <w:tcPr>
            <w:tcW w:w="452" w:type="pct"/>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2</w:t>
            </w:r>
          </w:p>
        </w:tc>
        <w:tc>
          <w:tcPr>
            <w:tcW w:w="96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建设地点</w:t>
            </w:r>
          </w:p>
        </w:tc>
        <w:tc>
          <w:tcPr>
            <w:tcW w:w="3585"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bCs/>
                <w:color w:val="000000" w:themeColor="text1"/>
                <w:kern w:val="24"/>
                <w:szCs w:val="20"/>
                <w14:textFill>
                  <w14:solidFill>
                    <w14:schemeClr w14:val="tx1"/>
                  </w14:solidFill>
                </w14:textFill>
              </w:rPr>
              <w:t>长治市屯留区丰宜镇杜村村北约630 m处</w:t>
            </w:r>
          </w:p>
        </w:tc>
      </w:tr>
      <w:tr>
        <w:tblPrEx>
          <w:tblCellMar>
            <w:top w:w="0" w:type="dxa"/>
            <w:left w:w="0" w:type="dxa"/>
            <w:bottom w:w="0" w:type="dxa"/>
            <w:right w:w="0" w:type="dxa"/>
          </w:tblCellMar>
        </w:tblPrEx>
        <w:trPr>
          <w:trHeight w:val="397" w:hRule="atLeast"/>
        </w:trPr>
        <w:tc>
          <w:tcPr>
            <w:tcW w:w="452" w:type="pct"/>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3</w:t>
            </w:r>
          </w:p>
        </w:tc>
        <w:tc>
          <w:tcPr>
            <w:tcW w:w="96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占地情况</w:t>
            </w:r>
          </w:p>
        </w:tc>
        <w:tc>
          <w:tcPr>
            <w:tcW w:w="3585" w:type="pct"/>
            <w:tcBorders>
              <w:top w:val="single" w:color="000000" w:sz="4" w:space="0"/>
              <w:left w:val="single" w:color="000000" w:sz="6" w:space="0"/>
              <w:bottom w:val="single" w:color="000000" w:sz="4" w:space="0"/>
              <w:right w:val="single" w:color="auto" w:sz="12" w:space="0"/>
            </w:tcBorders>
            <w:vAlign w:val="center"/>
          </w:tcPr>
          <w:p>
            <w:pPr>
              <w:pStyle w:val="332"/>
              <w:jc w:val="both"/>
              <w:rPr>
                <w:color w:val="000000" w:themeColor="text1"/>
                <w14:textFill>
                  <w14:solidFill>
                    <w14:schemeClr w14:val="tx1"/>
                  </w14:solidFill>
                </w14:textFill>
              </w:rPr>
            </w:pPr>
            <w:r>
              <w:rPr>
                <w:bCs/>
                <w:color w:val="000000" w:themeColor="text1"/>
                <w:kern w:val="24"/>
                <w:szCs w:val="20"/>
                <w14:textFill>
                  <w14:solidFill>
                    <w14:schemeClr w14:val="tx1"/>
                  </w14:solidFill>
                </w14:textFill>
              </w:rPr>
              <w:t>占地面积53019.51m</w:t>
            </w:r>
            <w:r>
              <w:rPr>
                <w:bCs/>
                <w:color w:val="000000" w:themeColor="text1"/>
                <w:kern w:val="24"/>
                <w:szCs w:val="20"/>
                <w:vertAlign w:val="superscript"/>
                <w14:textFill>
                  <w14:solidFill>
                    <w14:schemeClr w14:val="tx1"/>
                  </w14:solidFill>
                </w14:textFill>
              </w:rPr>
              <w:t>2</w:t>
            </w:r>
            <w:r>
              <w:rPr>
                <w:bCs/>
                <w:color w:val="000000" w:themeColor="text1"/>
                <w:kern w:val="24"/>
                <w:szCs w:val="20"/>
                <w14:textFill>
                  <w14:solidFill>
                    <w14:schemeClr w14:val="tx1"/>
                  </w14:solidFill>
                </w14:textFill>
              </w:rPr>
              <w:t>，约79.53亩，</w:t>
            </w:r>
            <w:r>
              <w:rPr>
                <w:color w:val="000000" w:themeColor="text1"/>
                <w14:textFill>
                  <w14:solidFill>
                    <w14:schemeClr w14:val="tx1"/>
                  </w14:solidFill>
                </w14:textFill>
              </w:rPr>
              <w:t>现状为一般农田，属经营权流转土地；不占用基本农田</w:t>
            </w:r>
          </w:p>
        </w:tc>
      </w:tr>
      <w:tr>
        <w:tblPrEx>
          <w:tblCellMar>
            <w:top w:w="0" w:type="dxa"/>
            <w:left w:w="0" w:type="dxa"/>
            <w:bottom w:w="0" w:type="dxa"/>
            <w:right w:w="0" w:type="dxa"/>
          </w:tblCellMar>
        </w:tblPrEx>
        <w:trPr>
          <w:trHeight w:val="397" w:hRule="atLeast"/>
        </w:trPr>
        <w:tc>
          <w:tcPr>
            <w:tcW w:w="452" w:type="pct"/>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4</w:t>
            </w:r>
          </w:p>
        </w:tc>
        <w:tc>
          <w:tcPr>
            <w:tcW w:w="96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建设单位</w:t>
            </w:r>
          </w:p>
        </w:tc>
        <w:tc>
          <w:tcPr>
            <w:tcW w:w="3585"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山西鑫达农牧有限公司</w:t>
            </w:r>
          </w:p>
        </w:tc>
      </w:tr>
      <w:tr>
        <w:tblPrEx>
          <w:tblCellMar>
            <w:top w:w="0" w:type="dxa"/>
            <w:left w:w="0" w:type="dxa"/>
            <w:bottom w:w="0" w:type="dxa"/>
            <w:right w:w="0" w:type="dxa"/>
          </w:tblCellMar>
        </w:tblPrEx>
        <w:trPr>
          <w:trHeight w:val="397" w:hRule="atLeast"/>
        </w:trPr>
        <w:tc>
          <w:tcPr>
            <w:tcW w:w="452" w:type="pct"/>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5</w:t>
            </w:r>
          </w:p>
        </w:tc>
        <w:tc>
          <w:tcPr>
            <w:tcW w:w="96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建设规模</w:t>
            </w:r>
          </w:p>
        </w:tc>
        <w:tc>
          <w:tcPr>
            <w:tcW w:w="3585"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年存栏母猪600头，年出栏生猪1.5万头</w:t>
            </w:r>
          </w:p>
        </w:tc>
      </w:tr>
      <w:tr>
        <w:tblPrEx>
          <w:tblCellMar>
            <w:top w:w="0" w:type="dxa"/>
            <w:left w:w="0" w:type="dxa"/>
            <w:bottom w:w="0" w:type="dxa"/>
            <w:right w:w="0" w:type="dxa"/>
          </w:tblCellMar>
        </w:tblPrEx>
        <w:trPr>
          <w:trHeight w:val="397" w:hRule="atLeast"/>
        </w:trPr>
        <w:tc>
          <w:tcPr>
            <w:tcW w:w="452" w:type="pct"/>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6</w:t>
            </w:r>
          </w:p>
        </w:tc>
        <w:tc>
          <w:tcPr>
            <w:tcW w:w="96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工程投资</w:t>
            </w:r>
          </w:p>
        </w:tc>
        <w:tc>
          <w:tcPr>
            <w:tcW w:w="3585"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本项目总投资2400.28万元，全部企业自筹</w:t>
            </w:r>
          </w:p>
        </w:tc>
      </w:tr>
      <w:tr>
        <w:tblPrEx>
          <w:tblCellMar>
            <w:top w:w="0" w:type="dxa"/>
            <w:left w:w="0" w:type="dxa"/>
            <w:bottom w:w="0" w:type="dxa"/>
            <w:right w:w="0" w:type="dxa"/>
          </w:tblCellMar>
        </w:tblPrEx>
        <w:trPr>
          <w:trHeight w:val="397" w:hRule="atLeast"/>
        </w:trPr>
        <w:tc>
          <w:tcPr>
            <w:tcW w:w="452" w:type="pct"/>
            <w:tcBorders>
              <w:top w:val="single" w:color="000000" w:sz="4" w:space="0"/>
              <w:left w:val="single" w:color="auto" w:sz="12"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7</w:t>
            </w:r>
          </w:p>
        </w:tc>
        <w:tc>
          <w:tcPr>
            <w:tcW w:w="963" w:type="pct"/>
            <w:tcBorders>
              <w:top w:val="single" w:color="000000" w:sz="4" w:space="0"/>
              <w:left w:val="single" w:color="000000" w:sz="6" w:space="0"/>
              <w:bottom w:val="single" w:color="000000" w:sz="4"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职工人数</w:t>
            </w:r>
          </w:p>
        </w:tc>
        <w:tc>
          <w:tcPr>
            <w:tcW w:w="3585" w:type="pct"/>
            <w:tcBorders>
              <w:top w:val="single" w:color="000000" w:sz="4" w:space="0"/>
              <w:left w:val="single" w:color="000000" w:sz="6" w:space="0"/>
              <w:bottom w:val="single" w:color="000000" w:sz="4"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劳动定员</w:t>
            </w:r>
            <w:r>
              <w:rPr>
                <w:color w:val="000000" w:themeColor="text1"/>
                <w:spacing w:val="-51"/>
                <w14:textFill>
                  <w14:solidFill>
                    <w14:schemeClr w14:val="tx1"/>
                  </w14:solidFill>
                </w14:textFill>
              </w:rPr>
              <w:t xml:space="preserve"> </w:t>
            </w:r>
            <w:r>
              <w:rPr>
                <w:color w:val="000000" w:themeColor="text1"/>
                <w14:textFill>
                  <w14:solidFill>
                    <w14:schemeClr w14:val="tx1"/>
                  </w14:solidFill>
                </w14:textFill>
              </w:rPr>
              <w:t>30人</w:t>
            </w:r>
          </w:p>
        </w:tc>
      </w:tr>
      <w:tr>
        <w:tblPrEx>
          <w:tblCellMar>
            <w:top w:w="0" w:type="dxa"/>
            <w:left w:w="0" w:type="dxa"/>
            <w:bottom w:w="0" w:type="dxa"/>
            <w:right w:w="0" w:type="dxa"/>
          </w:tblCellMar>
        </w:tblPrEx>
        <w:trPr>
          <w:trHeight w:val="397" w:hRule="atLeast"/>
        </w:trPr>
        <w:tc>
          <w:tcPr>
            <w:tcW w:w="452" w:type="pct"/>
            <w:tcBorders>
              <w:top w:val="single" w:color="000000" w:sz="4" w:space="0"/>
              <w:left w:val="single" w:color="auto" w:sz="12"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w w:val="99"/>
                <w14:textFill>
                  <w14:solidFill>
                    <w14:schemeClr w14:val="tx1"/>
                  </w14:solidFill>
                </w14:textFill>
              </w:rPr>
              <w:t>8</w:t>
            </w:r>
          </w:p>
        </w:tc>
        <w:tc>
          <w:tcPr>
            <w:tcW w:w="963" w:type="pct"/>
            <w:tcBorders>
              <w:top w:val="single" w:color="000000" w:sz="4" w:space="0"/>
              <w:left w:val="single" w:color="000000" w:sz="6" w:space="0"/>
              <w:bottom w:val="single" w:color="auto" w:sz="12" w:space="0"/>
              <w:right w:val="single" w:color="000000" w:sz="6"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工作制度</w:t>
            </w:r>
          </w:p>
        </w:tc>
        <w:tc>
          <w:tcPr>
            <w:tcW w:w="3585" w:type="pct"/>
            <w:tcBorders>
              <w:top w:val="single" w:color="000000" w:sz="4" w:space="0"/>
              <w:left w:val="single" w:color="000000" w:sz="6" w:space="0"/>
              <w:bottom w:val="single" w:color="auto" w:sz="12" w:space="0"/>
              <w:right w:val="single" w:color="auto" w:sz="12" w:space="0"/>
            </w:tcBorders>
            <w:vAlign w:val="center"/>
          </w:tcPr>
          <w:p>
            <w:pPr>
              <w:pStyle w:val="332"/>
              <w:rPr>
                <w:color w:val="000000" w:themeColor="text1"/>
                <w14:textFill>
                  <w14:solidFill>
                    <w14:schemeClr w14:val="tx1"/>
                  </w14:solidFill>
                </w14:textFill>
              </w:rPr>
            </w:pPr>
            <w:r>
              <w:rPr>
                <w:color w:val="000000" w:themeColor="text1"/>
                <w14:textFill>
                  <w14:solidFill>
                    <w14:schemeClr w14:val="tx1"/>
                  </w14:solidFill>
                </w14:textFill>
              </w:rPr>
              <w:t>365 d/a，猪舍每天2班，每班8小时</w:t>
            </w:r>
          </w:p>
        </w:tc>
      </w:tr>
    </w:tbl>
    <w:p>
      <w:pPr>
        <w:pStyle w:val="3"/>
        <w:spacing w:before="120" w:after="120"/>
        <w:rPr>
          <w:rFonts w:cs="Times New Roman"/>
          <w:color w:val="000000" w:themeColor="text1"/>
          <w14:textFill>
            <w14:solidFill>
              <w14:schemeClr w14:val="tx1"/>
            </w14:solidFill>
          </w14:textFill>
        </w:rPr>
      </w:pPr>
      <w:bookmarkStart w:id="808" w:name="_Toc91164003"/>
      <w:r>
        <w:rPr>
          <w:rFonts w:cs="Times New Roman"/>
          <w:color w:val="000000" w:themeColor="text1"/>
          <w14:textFill>
            <w14:solidFill>
              <w14:schemeClr w14:val="tx1"/>
            </w14:solidFill>
          </w14:textFill>
        </w:rPr>
        <w:t>9.2  环境质量现状</w:t>
      </w:r>
      <w:bookmarkEnd w:id="795"/>
      <w:bookmarkEnd w:id="796"/>
      <w:bookmarkEnd w:id="797"/>
      <w:bookmarkEnd w:id="798"/>
      <w:bookmarkEnd w:id="799"/>
      <w:bookmarkEnd w:id="800"/>
      <w:bookmarkEnd w:id="801"/>
      <w:bookmarkEnd w:id="808"/>
    </w:p>
    <w:p>
      <w:pPr>
        <w:pStyle w:val="4"/>
        <w:rPr>
          <w:rFonts w:cs="Times New Roman"/>
          <w:color w:val="000000" w:themeColor="text1"/>
          <w14:textFill>
            <w14:solidFill>
              <w14:schemeClr w14:val="tx1"/>
            </w14:solidFill>
          </w14:textFill>
        </w:rPr>
      </w:pPr>
      <w:bookmarkStart w:id="809" w:name="_Toc91164004"/>
      <w:r>
        <w:rPr>
          <w:rFonts w:cs="Times New Roman"/>
          <w:color w:val="000000" w:themeColor="text1"/>
          <w14:textFill>
            <w14:solidFill>
              <w14:schemeClr w14:val="tx1"/>
            </w14:solidFill>
          </w14:textFill>
        </w:rPr>
        <w:t>9.2.1 环境空气</w:t>
      </w:r>
      <w:bookmarkEnd w:id="809"/>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根据山西省发布的2020年度屯留区环境空气质量数据可知，屯留区2020年PM</w:t>
      </w:r>
      <w:r>
        <w:rPr>
          <w:rFonts w:cs="Times New Roman"/>
          <w:bCs/>
          <w:color w:val="000000" w:themeColor="text1"/>
          <w:vertAlign w:val="subscript"/>
          <w14:textFill>
            <w14:solidFill>
              <w14:schemeClr w14:val="tx1"/>
            </w14:solidFill>
          </w14:textFill>
        </w:rPr>
        <w:t>2.5</w:t>
      </w:r>
      <w:r>
        <w:rPr>
          <w:rFonts w:cs="Times New Roman"/>
          <w:bCs/>
          <w:color w:val="000000" w:themeColor="text1"/>
          <w14:textFill>
            <w14:solidFill>
              <w14:schemeClr w14:val="tx1"/>
            </w14:solidFill>
          </w14:textFill>
        </w:rPr>
        <w:t>、PM</w:t>
      </w:r>
      <w:r>
        <w:rPr>
          <w:rFonts w:cs="Times New Roman"/>
          <w:bCs/>
          <w:color w:val="000000" w:themeColor="text1"/>
          <w:vertAlign w:val="subscript"/>
          <w14:textFill>
            <w14:solidFill>
              <w14:schemeClr w14:val="tx1"/>
            </w14:solidFill>
          </w14:textFill>
        </w:rPr>
        <w:t>10</w:t>
      </w:r>
      <w:r>
        <w:rPr>
          <w:rFonts w:cs="Times New Roman"/>
          <w:bCs/>
          <w:color w:val="000000" w:themeColor="text1"/>
          <w14:textFill>
            <w14:solidFill>
              <w14:schemeClr w14:val="tx1"/>
            </w14:solidFill>
          </w14:textFill>
        </w:rPr>
        <w:t>、SO</w:t>
      </w:r>
      <w:r>
        <w:rPr>
          <w:rFonts w:cs="Times New Roman"/>
          <w:bCs/>
          <w:color w:val="000000" w:themeColor="text1"/>
          <w:vertAlign w:val="subscript"/>
          <w14:textFill>
            <w14:solidFill>
              <w14:schemeClr w14:val="tx1"/>
            </w14:solidFill>
          </w14:textFill>
        </w:rPr>
        <w:t>2</w:t>
      </w:r>
      <w:r>
        <w:rPr>
          <w:rFonts w:cs="Times New Roman"/>
          <w:bCs/>
          <w:color w:val="000000" w:themeColor="text1"/>
          <w14:textFill>
            <w14:solidFill>
              <w14:schemeClr w14:val="tx1"/>
            </w14:solidFill>
          </w14:textFill>
        </w:rPr>
        <w:t>、NO</w:t>
      </w:r>
      <w:r>
        <w:rPr>
          <w:rFonts w:cs="Times New Roman"/>
          <w:bCs/>
          <w:color w:val="000000" w:themeColor="text1"/>
          <w:vertAlign w:val="subscript"/>
          <w14:textFill>
            <w14:solidFill>
              <w14:schemeClr w14:val="tx1"/>
            </w14:solidFill>
          </w14:textFill>
        </w:rPr>
        <w:t>2</w:t>
      </w:r>
      <w:r>
        <w:rPr>
          <w:rFonts w:cs="Times New Roman"/>
          <w:bCs/>
          <w:color w:val="000000" w:themeColor="text1"/>
          <w14:textFill>
            <w14:solidFill>
              <w14:schemeClr w14:val="tx1"/>
            </w14:solidFill>
          </w14:textFill>
        </w:rPr>
        <w:t>的年均值、CO百分位数符合《环境空气质量标准》（GB3095-2012）及修改单中的二级标准，O</w:t>
      </w:r>
      <w:r>
        <w:rPr>
          <w:rFonts w:cs="Times New Roman"/>
          <w:bCs/>
          <w:color w:val="000000" w:themeColor="text1"/>
          <w:vertAlign w:val="subscript"/>
          <w14:textFill>
            <w14:solidFill>
              <w14:schemeClr w14:val="tx1"/>
            </w14:solidFill>
          </w14:textFill>
        </w:rPr>
        <w:t>3</w:t>
      </w:r>
      <w:r>
        <w:rPr>
          <w:rFonts w:cs="Times New Roman"/>
          <w:bCs/>
          <w:color w:val="000000" w:themeColor="text1"/>
          <w14:textFill>
            <w14:solidFill>
              <w14:schemeClr w14:val="tx1"/>
            </w14:solidFill>
          </w14:textFill>
        </w:rPr>
        <w:t xml:space="preserve"> 8h百分位数超标。屯留区为环境空气质量不达标区。</w:t>
      </w:r>
    </w:p>
    <w:p>
      <w:pPr>
        <w:ind w:firstLine="480"/>
        <w:rPr>
          <w:rFonts w:cs="Times New Roman"/>
          <w:bCs/>
          <w:color w:val="000000" w:themeColor="text1"/>
          <w14:textFill>
            <w14:solidFill>
              <w14:schemeClr w14:val="tx1"/>
            </w14:solidFill>
          </w14:textFill>
        </w:rPr>
      </w:pPr>
      <w:r>
        <w:rPr>
          <w:rFonts w:cs="Times New Roman"/>
          <w:bCs/>
          <w:color w:val="000000" w:themeColor="text1"/>
          <w14:textFill>
            <w14:solidFill>
              <w14:schemeClr w14:val="tx1"/>
            </w14:solidFill>
          </w14:textFill>
        </w:rPr>
        <w:t>为进一步了解评价区域大气环境质量现状，本次评价委托</w:t>
      </w:r>
      <w:r>
        <w:rPr>
          <w:rFonts w:cs="Times New Roman"/>
          <w:color w:val="000000" w:themeColor="text1"/>
          <w14:textFill>
            <w14:solidFill>
              <w14:schemeClr w14:val="tx1"/>
            </w14:solidFill>
          </w14:textFill>
        </w:rPr>
        <w:t>山西京诚检测技术有限公司</w:t>
      </w:r>
      <w:r>
        <w:rPr>
          <w:rFonts w:cs="Times New Roman"/>
          <w:bCs/>
          <w:color w:val="000000" w:themeColor="text1"/>
          <w14:textFill>
            <w14:solidFill>
              <w14:schemeClr w14:val="tx1"/>
            </w14:solidFill>
          </w14:textFill>
        </w:rPr>
        <w:t>于</w:t>
      </w:r>
      <w:r>
        <w:rPr>
          <w:rFonts w:cs="Times New Roman"/>
          <w:color w:val="000000" w:themeColor="text1"/>
          <w14:textFill>
            <w14:solidFill>
              <w14:schemeClr w14:val="tx1"/>
            </w14:solidFill>
          </w14:textFill>
        </w:rPr>
        <w:t>2021年8月9日至15日</w:t>
      </w:r>
      <w:r>
        <w:rPr>
          <w:rFonts w:cs="Times New Roman"/>
          <w:bCs/>
          <w:color w:val="000000" w:themeColor="text1"/>
          <w14:textFill>
            <w14:solidFill>
              <w14:schemeClr w14:val="tx1"/>
            </w14:solidFill>
          </w14:textFill>
        </w:rPr>
        <w:t>连续7天对场区的大气环境现状进行了监测，监测因子为</w:t>
      </w:r>
      <w:r>
        <w:rPr>
          <w:rFonts w:cs="Times New Roman"/>
          <w:color w:val="000000" w:themeColor="text1"/>
          <w14:textFill>
            <w14:solidFill>
              <w14:schemeClr w14:val="tx1"/>
            </w14:solidFill>
          </w14:textFill>
        </w:rPr>
        <w:t>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w:t>
      </w:r>
      <w:r>
        <w:rPr>
          <w:rFonts w:cs="Times New Roman"/>
          <w:bCs/>
          <w:color w:val="000000" w:themeColor="text1"/>
          <w14:textFill>
            <w14:solidFill>
              <w14:schemeClr w14:val="tx1"/>
            </w14:solidFill>
          </w14:textFill>
        </w:rPr>
        <w:t>，由监测结果可知，评价区各监测项目均能达到《环境空气质量标准》（GB3095-2012）及修改单中二级标准，评价区环境空气质量现状一般。</w:t>
      </w:r>
    </w:p>
    <w:p>
      <w:pPr>
        <w:pStyle w:val="4"/>
        <w:rPr>
          <w:rFonts w:cs="Times New Roman"/>
          <w:color w:val="000000" w:themeColor="text1"/>
          <w14:textFill>
            <w14:solidFill>
              <w14:schemeClr w14:val="tx1"/>
            </w14:solidFill>
          </w14:textFill>
        </w:rPr>
      </w:pPr>
      <w:bookmarkStart w:id="810" w:name="_Toc91164005"/>
      <w:r>
        <w:rPr>
          <w:rFonts w:cs="Times New Roman"/>
          <w:color w:val="000000" w:themeColor="text1"/>
          <w14:textFill>
            <w14:solidFill>
              <w14:schemeClr w14:val="tx1"/>
            </w14:solidFill>
          </w14:textFill>
        </w:rPr>
        <w:t>9.2.2 地下水</w:t>
      </w:r>
      <w:bookmarkEnd w:id="810"/>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山西京诚检测技术有限公司于2021年8月9日对项目地下水环境质量现状进行了监测，水质监测点位为苗岭村、牛角川村、东庄村等水井。由监测结果可知，地下水监测因子质量均达到《地下水质量标准》（GB14848-2017）中Ⅲ类标准。区域尚有一定的环境容量，在采取相应的地下水防治措施后，项目运营期不会周围地下水环境造成不良影响。</w:t>
      </w:r>
    </w:p>
    <w:p>
      <w:pPr>
        <w:pStyle w:val="4"/>
        <w:rPr>
          <w:rFonts w:cs="Times New Roman"/>
          <w:color w:val="000000" w:themeColor="text1"/>
          <w14:textFill>
            <w14:solidFill>
              <w14:schemeClr w14:val="tx1"/>
            </w14:solidFill>
          </w14:textFill>
        </w:rPr>
      </w:pPr>
      <w:bookmarkStart w:id="811" w:name="_Toc91164006"/>
      <w:r>
        <w:rPr>
          <w:rFonts w:cs="Times New Roman"/>
          <w:color w:val="000000" w:themeColor="text1"/>
          <w14:textFill>
            <w14:solidFill>
              <w14:schemeClr w14:val="tx1"/>
            </w14:solidFill>
          </w14:textFill>
        </w:rPr>
        <w:t>9.2.3 环境噪声</w:t>
      </w:r>
      <w:bookmarkEnd w:id="811"/>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山西京诚检测技术有限公司于2021年8月10日对项目场界四周昼间与夜间噪声现状监测进行监测，结果表明评价区域噪声现状满足《声环境质量标准》（GB3096-2008）1类标准值的要求。</w:t>
      </w:r>
    </w:p>
    <w:p>
      <w:pPr>
        <w:pStyle w:val="4"/>
        <w:rPr>
          <w:rFonts w:cs="Times New Roman"/>
          <w:color w:val="000000" w:themeColor="text1"/>
          <w14:textFill>
            <w14:solidFill>
              <w14:schemeClr w14:val="tx1"/>
            </w14:solidFill>
          </w14:textFill>
        </w:rPr>
      </w:pPr>
      <w:bookmarkStart w:id="812" w:name="_Toc91164007"/>
      <w:r>
        <w:rPr>
          <w:rFonts w:cs="Times New Roman"/>
          <w:color w:val="000000" w:themeColor="text1"/>
          <w14:textFill>
            <w14:solidFill>
              <w14:schemeClr w14:val="tx1"/>
            </w14:solidFill>
          </w14:textFill>
        </w:rPr>
        <w:t>9.2.4 土壤环境质量</w:t>
      </w:r>
      <w:bookmarkEnd w:id="812"/>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根据土壤环境质量现状监测结果可知，各监测因子质量均达到《土壤环境质量农用地土壤污染风险管控标准（试行）》（GB/T15618-2018）标准限值要求。</w:t>
      </w:r>
    </w:p>
    <w:p>
      <w:pPr>
        <w:pStyle w:val="3"/>
        <w:spacing w:before="120" w:after="120"/>
        <w:rPr>
          <w:rFonts w:cs="Times New Roman"/>
          <w:color w:val="000000" w:themeColor="text1"/>
          <w14:textFill>
            <w14:solidFill>
              <w14:schemeClr w14:val="tx1"/>
            </w14:solidFill>
          </w14:textFill>
        </w:rPr>
      </w:pPr>
      <w:bookmarkStart w:id="813" w:name="_Toc91164008"/>
      <w:bookmarkStart w:id="814" w:name="_Toc4992"/>
      <w:bookmarkStart w:id="815" w:name="_Toc23655"/>
      <w:bookmarkStart w:id="816" w:name="_Toc13649"/>
      <w:bookmarkStart w:id="817" w:name="_Toc20376"/>
      <w:bookmarkStart w:id="818" w:name="_Toc14301"/>
      <w:bookmarkStart w:id="819" w:name="_Toc47619275"/>
      <w:bookmarkStart w:id="820" w:name="_Toc47619387"/>
      <w:bookmarkStart w:id="821" w:name="_Toc47619493"/>
      <w:bookmarkStart w:id="822" w:name="_Toc47619937"/>
      <w:bookmarkStart w:id="823" w:name="_Toc47620123"/>
      <w:bookmarkStart w:id="824" w:name="_Toc52791991"/>
      <w:bookmarkStart w:id="825" w:name="_Toc58362901"/>
      <w:r>
        <w:rPr>
          <w:rFonts w:cs="Times New Roman"/>
          <w:color w:val="000000" w:themeColor="text1"/>
          <w14:textFill>
            <w14:solidFill>
              <w14:schemeClr w14:val="tx1"/>
            </w14:solidFill>
          </w14:textFill>
        </w:rPr>
        <w:t>9.3  主要环境影响</w:t>
      </w:r>
      <w:bookmarkEnd w:id="813"/>
    </w:p>
    <w:p>
      <w:pPr>
        <w:pStyle w:val="4"/>
        <w:rPr>
          <w:rFonts w:cs="Times New Roman"/>
          <w:color w:val="000000" w:themeColor="text1"/>
          <w:kern w:val="0"/>
          <w:szCs w:val="24"/>
          <w14:textFill>
            <w14:solidFill>
              <w14:schemeClr w14:val="tx1"/>
            </w14:solidFill>
          </w14:textFill>
        </w:rPr>
      </w:pPr>
      <w:bookmarkStart w:id="826" w:name="_Toc58362902"/>
      <w:bookmarkStart w:id="827" w:name="_Toc91164009"/>
      <w:r>
        <w:rPr>
          <w:rFonts w:cs="Times New Roman"/>
          <w:color w:val="000000" w:themeColor="text1"/>
          <w14:textFill>
            <w14:solidFill>
              <w14:schemeClr w14:val="tx1"/>
            </w14:solidFill>
          </w14:textFill>
        </w:rPr>
        <w:t xml:space="preserve">9.3.1 </w:t>
      </w:r>
      <w:bookmarkEnd w:id="826"/>
      <w:r>
        <w:rPr>
          <w:rFonts w:cs="Times New Roman"/>
          <w:color w:val="000000" w:themeColor="text1"/>
          <w:kern w:val="0"/>
          <w:szCs w:val="24"/>
          <w14:textFill>
            <w14:solidFill>
              <w14:schemeClr w14:val="tx1"/>
            </w14:solidFill>
          </w14:textFill>
        </w:rPr>
        <w:t>环境空气影响分析</w:t>
      </w:r>
      <w:bookmarkEnd w:id="82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通过在饲料中加入EM添加剂，减少粪便中氨氮的排放；猪舍加强通风，猪粪日产日清，加强通风，排风口加喷淋除臭挡网装置等措施；同时对猪舍、污粪处理池等喷洒除臭剂；加强绿化措施，办公生活区与场区之间设隔离带和挡风墙。本工程投产后，各关心点的各污染物最大落地浓度均达标，无组织废气污染物无超标点，无需设置大气环境防护距离。因此，本工程通过采取各项大气污染防治措施，工程各大气污染源对周围环境空气的影响较小。</w:t>
      </w:r>
    </w:p>
    <w:p>
      <w:pPr>
        <w:pStyle w:val="4"/>
        <w:rPr>
          <w:rFonts w:cs="Times New Roman"/>
          <w:color w:val="000000" w:themeColor="text1"/>
          <w14:textFill>
            <w14:solidFill>
              <w14:schemeClr w14:val="tx1"/>
            </w14:solidFill>
          </w14:textFill>
        </w:rPr>
      </w:pPr>
      <w:bookmarkStart w:id="828" w:name="_Toc91164010"/>
      <w:r>
        <w:rPr>
          <w:rFonts w:cs="Times New Roman"/>
          <w:color w:val="000000" w:themeColor="text1"/>
          <w14:textFill>
            <w14:solidFill>
              <w14:schemeClr w14:val="tx1"/>
            </w14:solidFill>
          </w14:textFill>
        </w:rPr>
        <w:t>9.3.2 地表水环境影响分析</w:t>
      </w:r>
      <w:bookmarkEnd w:id="828"/>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建设项目产生的废水主要为生活污水、猪舍冲洗水等。猪舍冲洗废水和生活污水经发酵处理后沼液用于周边农田施肥。工程无废水外排，不会对区域地表水造成影响。</w:t>
      </w:r>
    </w:p>
    <w:p>
      <w:pPr>
        <w:pStyle w:val="4"/>
        <w:rPr>
          <w:rFonts w:cs="Times New Roman"/>
          <w:color w:val="000000" w:themeColor="text1"/>
          <w14:textFill>
            <w14:solidFill>
              <w14:schemeClr w14:val="tx1"/>
            </w14:solidFill>
          </w14:textFill>
        </w:rPr>
      </w:pPr>
      <w:bookmarkStart w:id="829" w:name="_Toc91164011"/>
      <w:r>
        <w:rPr>
          <w:rFonts w:cs="Times New Roman"/>
          <w:color w:val="000000" w:themeColor="text1"/>
          <w14:textFill>
            <w14:solidFill>
              <w14:schemeClr w14:val="tx1"/>
            </w14:solidFill>
          </w14:textFill>
        </w:rPr>
        <w:t>9.3.3 地下水环境影响分析</w:t>
      </w:r>
      <w:bookmarkEnd w:id="829"/>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本工程产生废水经发酵处理后，用作周边农田浇灌，不外排。由于当地地下水埋藏较深，同时经黏土层的阻隔和过滤作用，不会对地下水产生影响。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此外，工程对设计用水及排水环节均加强了防渗措施的处理，对猪舍、粪污处理区的构筑物、医疗废物暂存间等均采取了防渗处理，可在较大程度上避免由于废水下渗等引起的地下水污染影响；</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综合上述情况可以看出，在工程严格按照评价要求实施的情况下，项目对地下水环境影响很小。</w:t>
      </w:r>
    </w:p>
    <w:p>
      <w:pPr>
        <w:pStyle w:val="4"/>
        <w:rPr>
          <w:rFonts w:cs="Times New Roman"/>
          <w:color w:val="000000" w:themeColor="text1"/>
          <w14:textFill>
            <w14:solidFill>
              <w14:schemeClr w14:val="tx1"/>
            </w14:solidFill>
          </w14:textFill>
        </w:rPr>
      </w:pPr>
      <w:bookmarkStart w:id="830" w:name="_Toc91164012"/>
      <w:r>
        <w:rPr>
          <w:rFonts w:cs="Times New Roman"/>
          <w:color w:val="000000" w:themeColor="text1"/>
          <w14:textFill>
            <w14:solidFill>
              <w14:schemeClr w14:val="tx1"/>
            </w14:solidFill>
          </w14:textFill>
        </w:rPr>
        <w:t>9.3.4 固体废物影响分析</w:t>
      </w:r>
      <w:bookmarkEnd w:id="830"/>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产生的固体废物主要为生活垃圾、猪粪、沼渣、病死猪、母猪胎盘、医疗废弃物等。生活垃圾集中收集，送往环卫部门指定地点处理；粪便、沼渣收集后运至有机肥粪棚堆肥；医疗废弃物由有资质的单位处置；病死猪无害化降解处理后作有机肥料，满足相关要求。在严格按照环境评价规定排放、堆存的情况下，工程固体废物排放不会产生对区域环境的明显影响。</w:t>
      </w:r>
    </w:p>
    <w:p>
      <w:pPr>
        <w:pStyle w:val="4"/>
        <w:rPr>
          <w:rFonts w:cs="Times New Roman"/>
          <w:color w:val="000000" w:themeColor="text1"/>
          <w14:textFill>
            <w14:solidFill>
              <w14:schemeClr w14:val="tx1"/>
            </w14:solidFill>
          </w14:textFill>
        </w:rPr>
      </w:pPr>
      <w:bookmarkStart w:id="831" w:name="_Toc91164013"/>
      <w:r>
        <w:rPr>
          <w:rFonts w:cs="Times New Roman"/>
          <w:color w:val="000000" w:themeColor="text1"/>
          <w14:textFill>
            <w14:solidFill>
              <w14:schemeClr w14:val="tx1"/>
            </w14:solidFill>
          </w14:textFill>
        </w:rPr>
        <w:t>9.3.5 声环境影响分析</w:t>
      </w:r>
      <w:bookmarkEnd w:id="831"/>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工程运营后，厂界噪声预测贡献值均达标，且增加幅度不大。主要是由于工程本身产噪设备较少，而且评价要求各噪声设备在室内布置，并进行防振减噪等措施，在厂界处设置绿化隔声带，采取以上措施后，经预测项目噪声值满足《工业企业厂界环境噪声排放标准》（GB12348-2008）1类标准。</w:t>
      </w:r>
    </w:p>
    <w:p>
      <w:pPr>
        <w:pStyle w:val="4"/>
        <w:rPr>
          <w:rFonts w:cs="Times New Roman"/>
          <w:color w:val="000000" w:themeColor="text1"/>
          <w14:textFill>
            <w14:solidFill>
              <w14:schemeClr w14:val="tx1"/>
            </w14:solidFill>
          </w14:textFill>
        </w:rPr>
      </w:pPr>
      <w:bookmarkStart w:id="832" w:name="_Toc91164014"/>
      <w:r>
        <w:rPr>
          <w:rFonts w:cs="Times New Roman"/>
          <w:color w:val="000000" w:themeColor="text1"/>
          <w14:textFill>
            <w14:solidFill>
              <w14:schemeClr w14:val="tx1"/>
            </w14:solidFill>
          </w14:textFill>
        </w:rPr>
        <w:t>9.3.6 土壤环境影响分析</w:t>
      </w:r>
      <w:bookmarkEnd w:id="832"/>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根据现状监测，监测点土壤中各因子含量均低于《土壤环境质量 农用地土壤污染风险管控标准（试行）》（GB15618-2018）相关标准。项目通过采取先进环保措施工艺（减少污染物排放量）、加强厂区硬化防渗（切断垂直入渗途径）、加强场区绿化等措施后，项目污染物对土壤环境影响较小。</w:t>
      </w:r>
    </w:p>
    <w:p>
      <w:pPr>
        <w:pStyle w:val="4"/>
        <w:rPr>
          <w:rFonts w:cs="Times New Roman"/>
          <w:color w:val="000000" w:themeColor="text1"/>
          <w14:textFill>
            <w14:solidFill>
              <w14:schemeClr w14:val="tx1"/>
            </w14:solidFill>
          </w14:textFill>
        </w:rPr>
      </w:pPr>
      <w:bookmarkStart w:id="833" w:name="_Toc91164015"/>
      <w:r>
        <w:rPr>
          <w:rFonts w:cs="Times New Roman"/>
          <w:color w:val="000000" w:themeColor="text1"/>
          <w14:textFill>
            <w14:solidFill>
              <w14:schemeClr w14:val="tx1"/>
            </w14:solidFill>
          </w14:textFill>
        </w:rPr>
        <w:t>9.3.7 生态环境影响分析</w:t>
      </w:r>
      <w:bookmarkEnd w:id="833"/>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对生态环境影响主要表现为施工期对当地植被、农作物的影响，运营期废气对周围农作物、植被生长、人群健康的影响方面；本项目产生的猪尿液、粪便对周围土壤、农作物具有有益影响。运营期评价区生态系统受到本项目影响相对较小，在严格采取环评规定的生态保护措施情况下，其生态特征不会从根本上发生改变，体系仍然维持原有的稳定性和生态承载能力。</w:t>
      </w:r>
    </w:p>
    <w:p>
      <w:pPr>
        <w:pStyle w:val="4"/>
        <w:rPr>
          <w:rFonts w:cs="Times New Roman"/>
          <w:color w:val="000000" w:themeColor="text1"/>
          <w:kern w:val="0"/>
          <w:szCs w:val="24"/>
          <w14:textFill>
            <w14:solidFill>
              <w14:schemeClr w14:val="tx1"/>
            </w14:solidFill>
          </w14:textFill>
        </w:rPr>
      </w:pPr>
      <w:bookmarkStart w:id="834" w:name="_Toc91164016"/>
      <w:r>
        <w:rPr>
          <w:rFonts w:cs="Times New Roman"/>
          <w:color w:val="000000" w:themeColor="text1"/>
          <w14:textFill>
            <w14:solidFill>
              <w14:schemeClr w14:val="tx1"/>
            </w14:solidFill>
          </w14:textFill>
        </w:rPr>
        <w:t xml:space="preserve">9.3.8 </w:t>
      </w:r>
      <w:r>
        <w:rPr>
          <w:rFonts w:cs="Times New Roman"/>
          <w:color w:val="000000" w:themeColor="text1"/>
          <w:kern w:val="0"/>
          <w:szCs w:val="24"/>
          <w14:textFill>
            <w14:solidFill>
              <w14:schemeClr w14:val="tx1"/>
            </w14:solidFill>
          </w14:textFill>
        </w:rPr>
        <w:t>环境风险分析</w:t>
      </w:r>
      <w:bookmarkEnd w:id="834"/>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企业通过采取严格的风险防范措施，可将风险隐患降至最低，达到可以接受的水平。在采取完善的事故风险措施、建立科学完整的应急计划、落实有效的应急救援措施后，本项目的环境风险可以得到有效控制。本项目风险防范措施及应急预案可靠且可行，因此项目从环境风险角度分析是可行的。</w:t>
      </w:r>
    </w:p>
    <w:p>
      <w:pPr>
        <w:pStyle w:val="3"/>
        <w:spacing w:before="120" w:after="120"/>
        <w:rPr>
          <w:rFonts w:cs="Times New Roman"/>
          <w:color w:val="000000" w:themeColor="text1"/>
          <w14:textFill>
            <w14:solidFill>
              <w14:schemeClr w14:val="tx1"/>
            </w14:solidFill>
          </w14:textFill>
        </w:rPr>
      </w:pPr>
      <w:bookmarkStart w:id="835" w:name="_Toc91164017"/>
      <w:r>
        <w:rPr>
          <w:rFonts w:cs="Times New Roman"/>
          <w:color w:val="000000" w:themeColor="text1"/>
          <w14:textFill>
            <w14:solidFill>
              <w14:schemeClr w14:val="tx1"/>
            </w14:solidFill>
          </w14:textFill>
        </w:rPr>
        <w:t xml:space="preserve">9.4  </w:t>
      </w:r>
      <w:bookmarkEnd w:id="814"/>
      <w:bookmarkEnd w:id="815"/>
      <w:bookmarkEnd w:id="816"/>
      <w:bookmarkEnd w:id="817"/>
      <w:bookmarkEnd w:id="818"/>
      <w:r>
        <w:rPr>
          <w:rFonts w:cs="Times New Roman"/>
          <w:color w:val="000000" w:themeColor="text1"/>
          <w14:textFill>
            <w14:solidFill>
              <w14:schemeClr w14:val="tx1"/>
            </w14:solidFill>
          </w14:textFill>
        </w:rPr>
        <w:t>污染物排放情况</w:t>
      </w:r>
      <w:bookmarkEnd w:id="835"/>
    </w:p>
    <w:p>
      <w:pPr>
        <w:pStyle w:val="4"/>
        <w:rPr>
          <w:rFonts w:cs="Times New Roman"/>
          <w:color w:val="000000" w:themeColor="text1"/>
          <w14:textFill>
            <w14:solidFill>
              <w14:schemeClr w14:val="tx1"/>
            </w14:solidFill>
          </w14:textFill>
        </w:rPr>
      </w:pPr>
      <w:bookmarkStart w:id="836" w:name="_Toc91164018"/>
      <w:r>
        <w:rPr>
          <w:rFonts w:cs="Times New Roman"/>
          <w:color w:val="000000" w:themeColor="text1"/>
          <w14:textFill>
            <w14:solidFill>
              <w14:schemeClr w14:val="tx1"/>
            </w14:solidFill>
          </w14:textFill>
        </w:rPr>
        <w:t>9.4.1 达标排放</w:t>
      </w:r>
      <w:bookmarkEnd w:id="836"/>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1、大气污染物达标排放分析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本项目产生废气主要为病死猪无害化处理尾气、沼气发电机废气，猪舍、粪污处理过程（沼液塘）、有机肥粪棚等产生的恶臭气体。</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无害化处理设备废气经自带喷淋设备处理后，H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S和NH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的排放浓度、排放速率符合《恶臭污染物排放标准》（GB14554-93）表1中新改扩二级标准；沼气发电机燃烧脱水、脱硫的沼气，尾气中颗粒物、二氧化硫符合《大气污染物综合排放标准》（GB16297-1996）表2的要求</w:t>
      </w:r>
      <w:r>
        <w:rPr>
          <w:rFonts w:hint="eastAsia" w:cs="Times New Roman"/>
          <w:color w:val="000000" w:themeColor="text1"/>
          <w14:textFill>
            <w14:solidFill>
              <w14:schemeClr w14:val="tx1"/>
            </w14:solidFill>
          </w14:textFill>
        </w:rPr>
        <w:t>；</w:t>
      </w:r>
      <w:r>
        <w:rPr>
          <w:rFonts w:cs="Times New Roman"/>
          <w:bCs/>
          <w:color w:val="000000" w:themeColor="text1"/>
          <w:szCs w:val="24"/>
          <w14:textFill>
            <w14:solidFill>
              <w14:schemeClr w14:val="tx1"/>
            </w14:solidFill>
          </w14:textFill>
        </w:rPr>
        <w:t>氮氧化物</w:t>
      </w:r>
      <w:r>
        <w:rPr>
          <w:rFonts w:hint="eastAsia" w:cs="Times New Roman"/>
          <w:bCs/>
          <w:color w:val="000000" w:themeColor="text1"/>
          <w:szCs w:val="24"/>
          <w14:textFill>
            <w14:solidFill>
              <w14:schemeClr w14:val="tx1"/>
            </w14:solidFill>
          </w14:textFill>
        </w:rPr>
        <w:t>符合</w:t>
      </w:r>
      <w:r>
        <w:rPr>
          <w:rFonts w:cs="Times New Roman"/>
          <w:bCs/>
          <w:color w:val="000000" w:themeColor="text1"/>
          <w:szCs w:val="24"/>
          <w14:textFill>
            <w14:solidFill>
              <w14:schemeClr w14:val="tx1"/>
            </w14:solidFill>
          </w14:textFill>
        </w:rPr>
        <w:t>《车用压燃式、气体燃料点燃式发动机与汽车排气污染物排放限值及测量方法》（中国Ⅲ、Ⅳ、Ⅴ阶段）（GB17691—2005）中Ⅴ阶段标准。</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猪舍定期冲洗、喷洒除臭剂，饲料添加除臭剂，加强通风，排风口加喷淋除臭挡网装置等措施；粪污处理系统、堆肥发酵过程喷洒除臭剂：臭气产生单元周围加强绿化工作。通过各项防护措施后，经估算模式计算场界H</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S和NH</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的最大落地浓度均低于《恶臭污染物排放标准》（GB14554-93）表1-恶臭污染物厂界标准值。</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2、水污染物不外排可靠性分析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本项目产生的食堂废水经隔油处理后与生活污水、养殖区废水进入粪污处理区处理，废水处理采用“预处理+厌氧处理+沼液暂存+沼液返田”工艺，处理后的沼液用于周围农田旱作施肥，沼渣运至有机肥粪棚堆肥。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3、厂界噪声达标分析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根据预测结果，本项目场界噪声昼间、夜间预测值为32.1~41.9 dB(A)，均未超过《工业企业厂界环境噪声排放标准》（GB22337-2008）1类标准，即昼间55 dB(A)、夜间45 dB(A)。</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4、固废处置合理性分析</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猪粪、沼渣在场区内堆肥；病死猪经无害化降解处理后作有机肥料；医疗垃圾暂存于医疗废物暂存间内，由有资质的单位处置；生活垃圾采用垃圾桶临时收集，运至当地环卫部门指定地点。各固废均能合理处置。</w:t>
      </w:r>
    </w:p>
    <w:p>
      <w:pPr>
        <w:pStyle w:val="4"/>
        <w:rPr>
          <w:rFonts w:cs="Times New Roman"/>
          <w:color w:val="000000" w:themeColor="text1"/>
          <w14:textFill>
            <w14:solidFill>
              <w14:schemeClr w14:val="tx1"/>
            </w14:solidFill>
          </w14:textFill>
        </w:rPr>
      </w:pPr>
      <w:bookmarkStart w:id="837" w:name="_Toc91164019"/>
      <w:r>
        <w:rPr>
          <w:rFonts w:cs="Times New Roman"/>
          <w:color w:val="000000" w:themeColor="text1"/>
          <w14:textFill>
            <w14:solidFill>
              <w14:schemeClr w14:val="tx1"/>
            </w14:solidFill>
          </w14:textFill>
        </w:rPr>
        <w:t>9.4.2 总量控制</w:t>
      </w:r>
      <w:bookmarkEnd w:id="837"/>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根据山西省环境保护厅晋环发〔2015〕25号《山西省环境保护厅建设项目主要污染物排放总量核定办法》，本项目为养殖类项目，不属于环境统计重点工业源调查行业范围内（《国民经济行业分类》（GB/T4754）中采矿业、制造业，电力、燃气及水的生产和供应业，3个门类39个行业）的建设项目，暂不纳入总量核定范围。</w:t>
      </w:r>
    </w:p>
    <w:p>
      <w:pPr>
        <w:ind w:firstLine="480"/>
        <w:rPr>
          <w:rFonts w:cs="Times New Roman"/>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同时中华人民共和国生态环境部办公厅《关于进一步做好当前生猪规模养殖环评管理相关工作的通知》（环办环评函【2019】872号）中明确规定：“统筹做好生猪养殖项目环评服务和指导中明确做好环评与排污许可、主要污染物排放总量管理的衔接，对于不设置污水排放口的规模以上生猪养殖项目，不要求申领排污证和取得总量指标”。</w:t>
      </w:r>
    </w:p>
    <w:p>
      <w:pPr>
        <w:ind w:firstLine="480"/>
        <w:rPr>
          <w:rFonts w:cs="Times New Roman"/>
          <w:bCs/>
          <w:color w:val="000000" w:themeColor="text1"/>
          <w:lang w:bidi="en-US"/>
          <w14:textFill>
            <w14:solidFill>
              <w14:schemeClr w14:val="tx1"/>
            </w14:solidFill>
          </w14:textFill>
        </w:rPr>
      </w:pPr>
      <w:r>
        <w:rPr>
          <w:rFonts w:cs="Times New Roman"/>
          <w:color w:val="000000" w:themeColor="text1"/>
          <w:lang w:bidi="en-US"/>
          <w14:textFill>
            <w14:solidFill>
              <w14:schemeClr w14:val="tx1"/>
            </w14:solidFill>
          </w14:textFill>
        </w:rPr>
        <w:t>因此本项目不需要申请总量控制指标。项目实施过程中，应严格执行环评中提出的环保措施，减少污染物的排放。</w:t>
      </w:r>
    </w:p>
    <w:bookmarkEnd w:id="819"/>
    <w:bookmarkEnd w:id="820"/>
    <w:bookmarkEnd w:id="821"/>
    <w:bookmarkEnd w:id="822"/>
    <w:bookmarkEnd w:id="823"/>
    <w:bookmarkEnd w:id="824"/>
    <w:bookmarkEnd w:id="825"/>
    <w:p>
      <w:pPr>
        <w:pStyle w:val="3"/>
        <w:spacing w:before="120" w:after="120"/>
        <w:rPr>
          <w:rFonts w:cs="Times New Roman"/>
          <w:color w:val="000000" w:themeColor="text1"/>
          <w14:textFill>
            <w14:solidFill>
              <w14:schemeClr w14:val="tx1"/>
            </w14:solidFill>
          </w14:textFill>
        </w:rPr>
      </w:pPr>
      <w:bookmarkStart w:id="838" w:name="_Toc47619276"/>
      <w:bookmarkStart w:id="839" w:name="_Toc47619494"/>
      <w:bookmarkStart w:id="840" w:name="_Toc47619388"/>
      <w:bookmarkStart w:id="841" w:name="_Toc47619938"/>
      <w:bookmarkStart w:id="842" w:name="_Toc47620124"/>
      <w:bookmarkStart w:id="843" w:name="_Toc52791992"/>
      <w:bookmarkStart w:id="844" w:name="_Toc58362907"/>
      <w:bookmarkStart w:id="845" w:name="_Toc91164020"/>
      <w:r>
        <w:rPr>
          <w:rFonts w:cs="Times New Roman"/>
          <w:color w:val="000000" w:themeColor="text1"/>
          <w14:textFill>
            <w14:solidFill>
              <w14:schemeClr w14:val="tx1"/>
            </w14:solidFill>
          </w14:textFill>
        </w:rPr>
        <w:t>9.5  环境保护措施</w:t>
      </w:r>
      <w:bookmarkEnd w:id="838"/>
      <w:bookmarkEnd w:id="839"/>
      <w:bookmarkEnd w:id="840"/>
      <w:bookmarkEnd w:id="841"/>
      <w:bookmarkEnd w:id="842"/>
      <w:bookmarkEnd w:id="843"/>
      <w:bookmarkEnd w:id="844"/>
      <w:bookmarkEnd w:id="84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病死猪无害化处理废气：冷凝收集后经自带喷淋除臭装置处理后经15 m高的排气筒排出。</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沼气发电机废气：燃料为脱水、脱硫后的沼气，废气经15 m高的排气筒达标排放。</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猪舍恶臭：饲料添加EM，加强通风，每栋猪舍出风口处设置过滤吸附除臭装置，喷淋含除臭剂的水对臭气进行吸附处理；控制饲养密度、全漏缝地板并及时清粪，喷洒除臭剂等。</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黑膜沼气池、沼液储存池恶臭：黑膜沼气池密闭，</w:t>
      </w:r>
      <w:r>
        <w:rPr>
          <w:rFonts w:cs="Times New Roman"/>
          <w:color w:val="000000" w:themeColor="text1"/>
          <w:lang w:bidi="en-US"/>
          <w14:textFill>
            <w14:solidFill>
              <w14:schemeClr w14:val="tx1"/>
            </w14:solidFill>
          </w14:textFill>
        </w:rPr>
        <w:t>沼液储存池顶部覆盖HDPE膜，</w:t>
      </w:r>
      <w:r>
        <w:rPr>
          <w:rFonts w:cs="Times New Roman"/>
          <w:color w:val="000000" w:themeColor="text1"/>
          <w14:textFill>
            <w14:solidFill>
              <w14:schemeClr w14:val="tx1"/>
            </w14:solidFill>
          </w14:textFill>
        </w:rPr>
        <w:t>四周绿化；定期</w:t>
      </w:r>
      <w:r>
        <w:rPr>
          <w:rFonts w:cs="Times New Roman"/>
          <w:color w:val="000000" w:themeColor="text1"/>
          <w:lang w:bidi="en-US"/>
          <w14:textFill>
            <w14:solidFill>
              <w14:schemeClr w14:val="tx1"/>
            </w14:solidFill>
          </w14:textFill>
        </w:rPr>
        <w:t>喷洒除臭剂</w:t>
      </w:r>
      <w:r>
        <w:rPr>
          <w:rFonts w:cs="Times New Roman"/>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固粪处理区（有机肥粪棚）恶臭：</w:t>
      </w:r>
      <w:r>
        <w:rPr>
          <w:rFonts w:cs="Times New Roman"/>
          <w:color w:val="000000" w:themeColor="text1"/>
          <w:lang w:bidi="en-US"/>
          <w14:textFill>
            <w14:solidFill>
              <w14:schemeClr w14:val="tx1"/>
            </w14:solidFill>
          </w14:textFill>
        </w:rPr>
        <w:t>为封闭阳光房，</w:t>
      </w:r>
      <w:r>
        <w:rPr>
          <w:rFonts w:cs="Times New Roman"/>
          <w:color w:val="000000" w:themeColor="text1"/>
          <w14:textFill>
            <w14:solidFill>
              <w14:schemeClr w14:val="tx1"/>
            </w14:solidFill>
          </w14:textFill>
        </w:rPr>
        <w:t>加强通风，</w:t>
      </w:r>
      <w:r>
        <w:rPr>
          <w:rFonts w:cs="Times New Roman"/>
          <w:color w:val="000000" w:themeColor="text1"/>
          <w:lang w:bidi="en-US"/>
          <w14:textFill>
            <w14:solidFill>
              <w14:schemeClr w14:val="tx1"/>
            </w14:solidFill>
          </w14:textFill>
        </w:rPr>
        <w:t>出风口</w:t>
      </w:r>
      <w:r>
        <w:rPr>
          <w:rFonts w:cs="Times New Roman"/>
          <w:color w:val="000000" w:themeColor="text1"/>
          <w14:textFill>
            <w14:solidFill>
              <w14:schemeClr w14:val="tx1"/>
            </w14:solidFill>
          </w14:textFill>
        </w:rPr>
        <w:t>处设置喷淋除臭网，</w:t>
      </w:r>
      <w:r>
        <w:rPr>
          <w:rFonts w:cs="Times New Roman"/>
          <w:color w:val="000000" w:themeColor="text1"/>
          <w:lang w:bidi="en-US"/>
          <w14:textFill>
            <w14:solidFill>
              <w14:schemeClr w14:val="tx1"/>
            </w14:solidFill>
          </w14:textFill>
        </w:rPr>
        <w:t>喷洒除臭剂</w:t>
      </w:r>
      <w:r>
        <w:rPr>
          <w:rFonts w:cs="Times New Roman"/>
          <w:color w:val="000000" w:themeColor="text1"/>
          <w14:textFill>
            <w14:solidFill>
              <w14:schemeClr w14:val="tx1"/>
            </w14:solidFill>
          </w14:textFill>
        </w:rPr>
        <w:t>。</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废水：食堂废水经隔油处理后与其他废水一起进入污水处理系统，处理工艺为“预处理+厌氧处理+沼液暂存+沼液返田”工艺，处理后的沼液用于农肥，沼渣在场区堆肥。</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体废物：猪粪和沼渣在场区内堆肥，设1座有机肥粪棚，进行“三防”措施；病死猪经无害化降解后用作有机肥料；场区设医疗废物暂存间，暂存间地面防渗，委托有资质的单位处置；废脱硫剂由厂家定期回收；生活垃圾收集后由环卫部门统一处置。</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噪声：选用低噪声设备，设备安装减振垫、消声，并加强场区绿化。</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本项目在严格落实上述各项环保措施后不会恶化当地环境空气、土壤环境、地下水、地表水环境、声环境和生态环境质量，固废可得到妥善处置。本项目总投资为2400.28万元，其中环保投资为489万元，占总投资的20.37%。</w:t>
      </w:r>
    </w:p>
    <w:p>
      <w:pPr>
        <w:pStyle w:val="3"/>
        <w:spacing w:before="120" w:after="120"/>
        <w:rPr>
          <w:rFonts w:cs="Times New Roman"/>
          <w:color w:val="000000" w:themeColor="text1"/>
          <w14:textFill>
            <w14:solidFill>
              <w14:schemeClr w14:val="tx1"/>
            </w14:solidFill>
          </w14:textFill>
        </w:rPr>
      </w:pPr>
      <w:bookmarkStart w:id="846" w:name="_Toc91164021"/>
      <w:bookmarkStart w:id="847" w:name="_Toc47619277"/>
      <w:bookmarkStart w:id="848" w:name="_Toc47619389"/>
      <w:bookmarkStart w:id="849" w:name="_Toc47619495"/>
      <w:bookmarkStart w:id="850" w:name="_Toc47619939"/>
      <w:bookmarkStart w:id="851" w:name="_Toc47620125"/>
      <w:bookmarkStart w:id="852" w:name="_Toc52791993"/>
      <w:bookmarkStart w:id="853" w:name="_Toc58362908"/>
      <w:r>
        <w:rPr>
          <w:rFonts w:cs="Times New Roman"/>
          <w:color w:val="000000" w:themeColor="text1"/>
          <w14:textFill>
            <w14:solidFill>
              <w14:schemeClr w14:val="tx1"/>
            </w14:solidFill>
          </w14:textFill>
        </w:rPr>
        <w:t>9.6  选址可行性分析</w:t>
      </w:r>
      <w:bookmarkEnd w:id="846"/>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项目所选厂址的评价区范围内无生态保护区、自然保护区、风景旅游区、文化遗产保护区等敏感目标，地质等相关条件无明显制约。本项目选址可行。</w:t>
      </w:r>
    </w:p>
    <w:p>
      <w:pPr>
        <w:pStyle w:val="3"/>
        <w:spacing w:before="120" w:after="120"/>
        <w:rPr>
          <w:rFonts w:cs="Times New Roman"/>
          <w:color w:val="000000" w:themeColor="text1"/>
          <w14:textFill>
            <w14:solidFill>
              <w14:schemeClr w14:val="tx1"/>
            </w14:solidFill>
          </w14:textFill>
        </w:rPr>
      </w:pPr>
      <w:bookmarkStart w:id="854" w:name="_Toc91164022"/>
      <w:r>
        <w:rPr>
          <w:rFonts w:cs="Times New Roman"/>
          <w:color w:val="000000" w:themeColor="text1"/>
          <w14:textFill>
            <w14:solidFill>
              <w14:schemeClr w14:val="tx1"/>
            </w14:solidFill>
          </w14:textFill>
        </w:rPr>
        <w:t>9.7  环境经济损益分析</w:t>
      </w:r>
      <w:bookmarkEnd w:id="847"/>
      <w:bookmarkEnd w:id="848"/>
      <w:bookmarkEnd w:id="849"/>
      <w:bookmarkEnd w:id="850"/>
      <w:bookmarkEnd w:id="851"/>
      <w:bookmarkEnd w:id="852"/>
      <w:bookmarkEnd w:id="853"/>
      <w:bookmarkEnd w:id="854"/>
    </w:p>
    <w:p>
      <w:pPr>
        <w:ind w:firstLine="480"/>
        <w:rPr>
          <w:rFonts w:cs="Times New Roman"/>
          <w:color w:val="000000" w:themeColor="text1"/>
          <w14:textFill>
            <w14:solidFill>
              <w14:schemeClr w14:val="tx1"/>
            </w14:solidFill>
          </w14:textFill>
        </w:rPr>
      </w:pPr>
      <w:bookmarkStart w:id="855" w:name="_Toc24156"/>
      <w:bookmarkStart w:id="856" w:name="_Toc31934"/>
      <w:bookmarkStart w:id="857" w:name="_Toc21856"/>
      <w:bookmarkStart w:id="858" w:name="_Toc24143"/>
      <w:bookmarkStart w:id="859" w:name="_Toc7717"/>
      <w:bookmarkStart w:id="860" w:name="_Toc47619278"/>
      <w:bookmarkStart w:id="861" w:name="_Toc47619390"/>
      <w:bookmarkStart w:id="862" w:name="_Toc47619496"/>
      <w:bookmarkStart w:id="863" w:name="_Toc47619940"/>
      <w:bookmarkStart w:id="864" w:name="_Toc47620126"/>
      <w:bookmarkStart w:id="865" w:name="_Toc52791994"/>
      <w:bookmarkStart w:id="866" w:name="_Toc58362909"/>
      <w:r>
        <w:rPr>
          <w:rFonts w:cs="Times New Roman"/>
          <w:color w:val="000000" w:themeColor="text1"/>
          <w14:textFill>
            <w14:solidFill>
              <w14:schemeClr w14:val="tx1"/>
            </w14:solidFill>
          </w14:textFill>
        </w:rPr>
        <w:t>项目采取污染治理措施后，各污染源均可实现达标排放，当地环境质量可维持现状水平，项目的环保投资环境效益是显著的。只要企业切实落实设计和环评提出的各项污染防治措施，使各类污染物均做到达标排放，则该项目的建设和营运对周围环境的影响是可以承受的，能够做到社会效益、环境效益和经济效益三者的统一。</w:t>
      </w:r>
    </w:p>
    <w:p>
      <w:pPr>
        <w:pStyle w:val="3"/>
        <w:spacing w:before="120" w:after="120"/>
        <w:rPr>
          <w:rFonts w:cs="Times New Roman"/>
          <w:color w:val="000000" w:themeColor="text1"/>
          <w14:textFill>
            <w14:solidFill>
              <w14:schemeClr w14:val="tx1"/>
            </w14:solidFill>
          </w14:textFill>
        </w:rPr>
      </w:pPr>
      <w:bookmarkStart w:id="867" w:name="_Toc91164023"/>
      <w:r>
        <w:rPr>
          <w:rFonts w:cs="Times New Roman"/>
          <w:color w:val="000000" w:themeColor="text1"/>
          <w14:textFill>
            <w14:solidFill>
              <w14:schemeClr w14:val="tx1"/>
            </w14:solidFill>
          </w14:textFill>
        </w:rPr>
        <w:t>9.8  环境管理与监测计划</w:t>
      </w:r>
      <w:bookmarkEnd w:id="855"/>
      <w:bookmarkEnd w:id="856"/>
      <w:bookmarkEnd w:id="857"/>
      <w:bookmarkEnd w:id="858"/>
      <w:bookmarkEnd w:id="859"/>
      <w:bookmarkEnd w:id="860"/>
      <w:bookmarkEnd w:id="861"/>
      <w:bookmarkEnd w:id="862"/>
      <w:bookmarkEnd w:id="863"/>
      <w:bookmarkEnd w:id="864"/>
      <w:bookmarkEnd w:id="865"/>
      <w:bookmarkEnd w:id="866"/>
      <w:bookmarkEnd w:id="867"/>
    </w:p>
    <w:p>
      <w:pPr>
        <w:ind w:firstLine="480"/>
        <w:rPr>
          <w:rFonts w:cs="Times New Roman"/>
          <w:color w:val="000000" w:themeColor="text1"/>
          <w14:textFill>
            <w14:solidFill>
              <w14:schemeClr w14:val="tx1"/>
            </w14:solidFill>
          </w14:textFill>
        </w:rPr>
      </w:pPr>
      <w:bookmarkStart w:id="868" w:name="_Toc58362910"/>
      <w:bookmarkStart w:id="869" w:name="_Toc47619497"/>
      <w:bookmarkStart w:id="870" w:name="_Toc47619279"/>
      <w:bookmarkStart w:id="871" w:name="_Toc47619391"/>
      <w:bookmarkStart w:id="872" w:name="_Toc47619941"/>
      <w:bookmarkStart w:id="873" w:name="_Toc47620127"/>
      <w:bookmarkStart w:id="874" w:name="_Toc52791995"/>
      <w:r>
        <w:rPr>
          <w:rFonts w:cs="Times New Roman"/>
          <w:color w:val="000000" w:themeColor="text1"/>
          <w:kern w:val="0"/>
          <w:szCs w:val="24"/>
          <w14:textFill>
            <w14:solidFill>
              <w14:schemeClr w14:val="tx1"/>
            </w14:solidFill>
          </w14:textFill>
        </w:rPr>
        <w:t>山西鑫达农牧有限公司拟建立环境管理部门来负责环境管理和监测</w:t>
      </w:r>
      <w:r>
        <w:rPr>
          <w:rFonts w:cs="Times New Roman"/>
          <w:color w:val="000000" w:themeColor="text1"/>
          <w14:textFill>
            <w14:solidFill>
              <w14:schemeClr w14:val="tx1"/>
            </w14:solidFill>
          </w14:textFill>
        </w:rPr>
        <w:t>工作，环评规定了环境管理制度和相应的监测计划，按要求定期开展监测工作。</w:t>
      </w:r>
    </w:p>
    <w:bookmarkEnd w:id="868"/>
    <w:p>
      <w:pPr>
        <w:pStyle w:val="3"/>
        <w:spacing w:before="120" w:after="120"/>
        <w:rPr>
          <w:rFonts w:cs="Times New Roman"/>
          <w:color w:val="000000" w:themeColor="text1"/>
          <w14:textFill>
            <w14:solidFill>
              <w14:schemeClr w14:val="tx1"/>
            </w14:solidFill>
          </w14:textFill>
        </w:rPr>
      </w:pPr>
      <w:bookmarkStart w:id="875" w:name="_Toc91164024"/>
      <w:bookmarkStart w:id="876" w:name="_Toc58362911"/>
      <w:r>
        <w:rPr>
          <w:rFonts w:cs="Times New Roman"/>
          <w:color w:val="000000" w:themeColor="text1"/>
          <w14:textFill>
            <w14:solidFill>
              <w14:schemeClr w14:val="tx1"/>
            </w14:solidFill>
          </w14:textFill>
        </w:rPr>
        <w:t>9.9  公众参与</w:t>
      </w:r>
      <w:bookmarkEnd w:id="875"/>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第一次公示：建设单位于</w:t>
      </w:r>
      <w:r>
        <w:rPr>
          <w:rFonts w:cs="Times New Roman"/>
          <w:color w:val="000000" w:themeColor="text1"/>
          <w:kern w:val="0"/>
          <w14:textFill>
            <w14:solidFill>
              <w14:schemeClr w14:val="tx1"/>
            </w14:solidFill>
          </w14:textFill>
        </w:rPr>
        <w:t>2021年6月28日</w:t>
      </w:r>
      <w:r>
        <w:rPr>
          <w:rFonts w:cs="Times New Roman"/>
          <w:color w:val="000000" w:themeColor="text1"/>
          <w14:textFill>
            <w14:solidFill>
              <w14:schemeClr w14:val="tx1"/>
            </w14:solidFill>
          </w14:textFill>
        </w:rPr>
        <w:t>，在</w:t>
      </w:r>
      <w:r>
        <w:rPr>
          <w:rFonts w:cs="Times New Roman"/>
          <w:color w:val="000000" w:themeColor="text1"/>
          <w:kern w:val="0"/>
          <w14:textFill>
            <w14:solidFill>
              <w14:schemeClr w14:val="tx1"/>
            </w14:solidFill>
          </w14:textFill>
        </w:rPr>
        <w:t>长治市屯留区人民政府网站（http://www.tunliu.gov.cn/）政务公开-生态环境专栏</w:t>
      </w:r>
      <w:r>
        <w:rPr>
          <w:rFonts w:cs="Times New Roman"/>
          <w:color w:val="000000" w:themeColor="text1"/>
          <w14:textFill>
            <w14:solidFill>
              <w14:schemeClr w14:val="tx1"/>
            </w14:solidFill>
          </w14:textFill>
        </w:rPr>
        <w:t>进行公示，公示期间，未收到反馈意见。</w:t>
      </w:r>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第二次公示：环境影响报告书征求意见稿完成后，</w:t>
      </w:r>
      <w:r>
        <w:rPr>
          <w:rFonts w:cs="Times New Roman"/>
          <w:color w:val="000000" w:themeColor="text1"/>
          <w:kern w:val="0"/>
          <w14:textFill>
            <w14:solidFill>
              <w14:schemeClr w14:val="tx1"/>
            </w14:solidFill>
          </w14:textFill>
        </w:rPr>
        <w:t>2021年9月1日</w:t>
      </w:r>
      <w:r>
        <w:rPr>
          <w:rFonts w:cs="Times New Roman"/>
          <w:color w:val="000000" w:themeColor="text1"/>
          <w14:textFill>
            <w14:solidFill>
              <w14:schemeClr w14:val="tx1"/>
            </w14:solidFill>
          </w14:textFill>
        </w:rPr>
        <w:t>，建设单位在</w:t>
      </w:r>
      <w:r>
        <w:rPr>
          <w:rFonts w:cs="Times New Roman"/>
          <w:color w:val="000000" w:themeColor="text1"/>
          <w:kern w:val="0"/>
          <w14:textFill>
            <w14:solidFill>
              <w14:schemeClr w14:val="tx1"/>
            </w14:solidFill>
          </w14:textFill>
        </w:rPr>
        <w:t>长治市屯留区人民政府网站（http://www.tunliu.gov.cn/）政务公开-生态环境专栏</w:t>
      </w:r>
      <w:r>
        <w:rPr>
          <w:rFonts w:cs="Times New Roman"/>
          <w:color w:val="000000" w:themeColor="text1"/>
          <w14:textFill>
            <w14:solidFill>
              <w14:schemeClr w14:val="tx1"/>
            </w14:solidFill>
          </w14:textFill>
        </w:rPr>
        <w:t>和山西晚报对环境影响报告书征求意见稿进行了公示，同时在项目所在地周边对环境影响报告书征求意见稿进行了张贴公示。公示期间均未受到反馈意见。</w:t>
      </w:r>
    </w:p>
    <w:p>
      <w:pPr>
        <w:pStyle w:val="3"/>
        <w:spacing w:before="120" w:after="120"/>
        <w:rPr>
          <w:rFonts w:cs="Times New Roman"/>
          <w:color w:val="000000" w:themeColor="text1"/>
          <w14:textFill>
            <w14:solidFill>
              <w14:schemeClr w14:val="tx1"/>
            </w14:solidFill>
          </w14:textFill>
        </w:rPr>
      </w:pPr>
      <w:bookmarkStart w:id="877" w:name="_Toc91164025"/>
      <w:r>
        <w:rPr>
          <w:rFonts w:cs="Times New Roman"/>
          <w:color w:val="000000" w:themeColor="text1"/>
          <w14:textFill>
            <w14:solidFill>
              <w14:schemeClr w14:val="tx1"/>
            </w14:solidFill>
          </w14:textFill>
        </w:rPr>
        <w:t>9.10 评价结论</w:t>
      </w:r>
      <w:bookmarkEnd w:id="869"/>
      <w:bookmarkEnd w:id="870"/>
      <w:bookmarkEnd w:id="871"/>
      <w:bookmarkEnd w:id="872"/>
      <w:bookmarkEnd w:id="873"/>
      <w:bookmarkEnd w:id="874"/>
      <w:bookmarkEnd w:id="876"/>
      <w:bookmarkEnd w:id="877"/>
    </w:p>
    <w:p>
      <w:pPr>
        <w:ind w:firstLine="48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上所述，本项目在严格按照本环评报告书规定的环境保护对策措施，在设计中贯彻落实、施工过程中加强环境监理、运行过程中加强管理，可有效控制项目实施对周围环境的影响，项目实施后评价区环境质量基本可维持现状。项目各项建设内容符合相关政策、法规和标准要求，评价认为项目建设从环境保护角度分析  是可行的。</w:t>
      </w:r>
    </w:p>
    <w:p>
      <w:pPr>
        <w:ind w:firstLine="480"/>
        <w:rPr>
          <w:rFonts w:cs="Times New Roman"/>
          <w:color w:val="000000" w:themeColor="text1"/>
          <w14:textFill>
            <w14:solidFill>
              <w14:schemeClr w14:val="tx1"/>
            </w14:solidFill>
          </w14:textFill>
        </w:rPr>
      </w:pPr>
    </w:p>
    <w:sectPr>
      <w:pgSz w:w="11907" w:h="16840"/>
      <w:pgMar w:top="1531" w:right="1418" w:bottom="1531" w:left="1418" w:header="851" w:footer="992" w:gutter="0"/>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0000000000000000000"/>
    <w:charset w:val="86"/>
    <w:family w:val="modern"/>
    <w:pitch w:val="default"/>
    <w:sig w:usb0="00000000" w:usb1="00000000" w:usb2="00000016" w:usb3="00000000" w:csb0="00040001" w:csb1="00000000"/>
  </w:font>
  <w:font w:name="Arial">
    <w:altName w:val="Times New Roman"/>
    <w:panose1 w:val="020B0604020202020204"/>
    <w:charset w:val="00"/>
    <w:family w:val="swiss"/>
    <w:pitch w:val="default"/>
    <w:sig w:usb0="00000000" w:usb1="00000000" w:usb2="00000009" w:usb3="00000000" w:csb0="000001FF" w:csb1="00000000"/>
  </w:font>
  <w:font w:name="仿宋">
    <w:altName w:val="方正仿宋_GBK"/>
    <w:panose1 w:val="02010609060101010101"/>
    <w:charset w:val="86"/>
    <w:family w:val="modern"/>
    <w:pitch w:val="default"/>
    <w:sig w:usb0="00000000" w:usb1="00000000" w:usb2="00000016" w:usb3="00000000" w:csb0="00040001" w:csb1="00000000"/>
  </w:font>
  <w:font w:name="Courier New">
    <w:altName w:val="DejaVu Sans"/>
    <w:panose1 w:val="02070309020205020404"/>
    <w:charset w:val="00"/>
    <w:family w:val="modern"/>
    <w:pitch w:val="default"/>
    <w:sig w:usb0="00000000" w:usb1="00000000" w:usb2="00000009" w:usb3="00000000" w:csb0="000001FF" w:csb1="00000000"/>
  </w:font>
  <w:font w:name="等线">
    <w:altName w:val="汉仪中宋简"/>
    <w:panose1 w:val="02010600030101010101"/>
    <w:charset w:val="86"/>
    <w:family w:val="auto"/>
    <w:pitch w:val="default"/>
    <w:sig w:usb0="00000000" w:usb1="00000000" w:usb2="00000016" w:usb3="00000000" w:csb0="0004000F" w:csb1="00000000"/>
  </w:font>
  <w:font w:name="隶书">
    <w:altName w:val="方正隶书_GBK"/>
    <w:panose1 w:val="02010509060101010101"/>
    <w:charset w:val="86"/>
    <w:family w:val="modern"/>
    <w:pitch w:val="default"/>
    <w:sig w:usb0="00000000" w:usb1="00000000" w:usb2="00000010" w:usb3="00000000" w:csb0="00040000" w:csb1="00000000"/>
  </w:font>
  <w:font w:name="ˎ̥">
    <w:altName w:val="Times New Roman"/>
    <w:panose1 w:val="00000000000000000000"/>
    <w:charset w:val="01"/>
    <w:family w:val="auto"/>
    <w:pitch w:val="default"/>
    <w:sig w:usb0="00000000" w:usb1="00000000" w:usb2="00000000" w:usb3="00000000" w:csb0="00040001" w:csb1="00000000"/>
  </w:font>
  <w:font w:name="Arial Unicode MS">
    <w:altName w:val="Times New Roman"/>
    <w:panose1 w:val="020B0604020202020204"/>
    <w:charset w:val="86"/>
    <w:family w:val="swiss"/>
    <w:pitch w:val="default"/>
    <w:sig w:usb0="00000000" w:usb1="00000000" w:usb2="0000003F" w:usb3="00000000" w:csb0="003F01FF" w:csb1="00000000"/>
  </w:font>
  <w:font w:name="楷体">
    <w:altName w:val="方正楷体_GBK"/>
    <w:panose1 w:val="02010609060101010101"/>
    <w:charset w:val="86"/>
    <w:family w:val="modern"/>
    <w:pitch w:val="default"/>
    <w:sig w:usb0="00000000" w:usb1="00000000" w:usb2="00000016" w:usb3="00000000" w:csb0="00040001" w:csb1="00000000"/>
  </w:font>
  <w:font w:name="Garamond">
    <w:altName w:val="NanumMyeongjo"/>
    <w:panose1 w:val="02020404030301010803"/>
    <w:charset w:val="00"/>
    <w:family w:val="roman"/>
    <w:pitch w:val="default"/>
    <w:sig w:usb0="00000000" w:usb1="00000000" w:usb2="00000000" w:usb3="00000000" w:csb0="0000009F" w:csb1="00000000"/>
  </w:font>
  <w:font w:name="楷体_GB2312">
    <w:altName w:val="方正楷体_GBK"/>
    <w:panose1 w:val="00000000000000000000"/>
    <w:charset w:val="00"/>
    <w:family w:val="auto"/>
    <w:pitch w:val="default"/>
    <w:sig w:usb0="00000000" w:usb1="00000000" w:usb2="00000000" w:usb3="00000000" w:csb0="00040001" w:csb1="00000000"/>
  </w:font>
  <w:font w:name="Cambria">
    <w:altName w:val="Noto Sans Syriac Eastern"/>
    <w:panose1 w:val="02040503050406030204"/>
    <w:charset w:val="00"/>
    <w:family w:val="roman"/>
    <w:pitch w:val="default"/>
    <w:sig w:usb0="00000000" w:usb1="00000000" w:usb2="02000000" w:usb3="00000000" w:csb0="0000019F" w:csb1="00000000"/>
  </w:font>
  <w:font w:name="微软雅黑">
    <w:altName w:val="方正黑体_GBK"/>
    <w:panose1 w:val="020B0503020204020204"/>
    <w:charset w:val="86"/>
    <w:family w:val="swiss"/>
    <w:pitch w:val="default"/>
    <w:sig w:usb0="00000000" w:usb1="00000000" w:usb2="00000016" w:usb3="00000000" w:csb0="0004001F" w:csb1="00000000"/>
  </w:font>
  <w:font w:name="新宋体">
    <w:altName w:val="方正书宋_GBK"/>
    <w:panose1 w:val="02010609030101010101"/>
    <w:charset w:val="86"/>
    <w:family w:val="modern"/>
    <w:pitch w:val="default"/>
    <w:sig w:usb0="00000000" w:usb1="00000000" w:usb2="00000016" w:usb3="00000000" w:csb0="00040001" w:csb1="00000000"/>
  </w:font>
  <w:font w:name="Cambria Math">
    <w:altName w:val="DejaVu Math TeX Gyre"/>
    <w:panose1 w:val="02040503050406030204"/>
    <w:charset w:val="00"/>
    <w:family w:val="roman"/>
    <w:pitch w:val="default"/>
    <w:sig w:usb0="00000000" w:usb1="00000000" w:usb2="02000000" w:usb3="00000000" w:csb0="0000019F" w:csb1="00000000"/>
  </w:font>
  <w:font w:name="Segoe UI Emoji">
    <w:altName w:val="Noto Sans"/>
    <w:panose1 w:val="020B0502040204020203"/>
    <w:charset w:val="00"/>
    <w:family w:val="swiss"/>
    <w:pitch w:val="default"/>
    <w:sig w:usb0="00000000" w:usb1="00000000" w:usb2="00000000" w:usb3="00000000" w:csb0="00000001" w:csb1="00000000"/>
  </w:font>
  <w:font w:name="TimesNewRomanPSMT">
    <w:altName w:val="Times New Roman"/>
    <w:panose1 w:val="00000000000000000000"/>
    <w:charset w:val="86"/>
    <w:family w:val="auto"/>
    <w:pitch w:val="default"/>
    <w:sig w:usb0="00000000" w:usb1="00000000" w:usb2="00000010" w:usb3="00000000" w:csb0="00060000" w:csb1="00000000"/>
  </w:font>
  <w:font w:name="TimesNewRomanPS-BoldMT">
    <w:altName w:val="DejaVu Sans"/>
    <w:panose1 w:val="00000000000000000000"/>
    <w:charset w:val="80"/>
    <w:family w:val="auto"/>
    <w:pitch w:val="default"/>
    <w:sig w:usb0="00000000" w:usb1="00000000" w:usb2="00000010" w:usb3="00000000" w:csb0="00060000" w:csb1="00000000"/>
  </w:font>
  <w:font w:name="Wingdings 2">
    <w:panose1 w:val="05020102010507070707"/>
    <w:charset w:val="02"/>
    <w:family w:val="roman"/>
    <w:pitch w:val="default"/>
    <w:sig w:usb0="00000000" w:usb1="00000000" w:usb2="00000000" w:usb3="00000000" w:csb0="80000000" w:csb1="00000000"/>
  </w:font>
  <w:font w:name="方正黑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Noto Sans">
    <w:panose1 w:val="020B0502040504020204"/>
    <w:charset w:val="00"/>
    <w:family w:val="auto"/>
    <w:pitch w:val="default"/>
    <w:sig w:usb0="E00002FF" w:usb1="4000201F" w:usb2="08000029" w:usb3="00100000" w:csb0="0000019F" w:csb1="00000000"/>
  </w:font>
  <w:font w:name="DejaVu Sans">
    <w:panose1 w:val="020B0603030804020204"/>
    <w:charset w:val="00"/>
    <w:family w:val="auto"/>
    <w:pitch w:val="default"/>
    <w:sig w:usb0="E7006EFF" w:usb1="D200FDFF" w:usb2="0A246029" w:usb3="0400200C" w:csb0="600001FF" w:csb1="DFFF0000"/>
  </w:font>
  <w:font w:name="文泉驿微米黑">
    <w:panose1 w:val="020B0606030804020204"/>
    <w:charset w:val="86"/>
    <w:family w:val="auto"/>
    <w:pitch w:val="default"/>
    <w:sig w:usb0="E10002EF" w:usb1="6BDFFCFB" w:usb2="00800036" w:usb3="00000000" w:csb0="603E019F" w:csb1="DFD70000"/>
  </w:font>
  <w:font w:name="Noto Sans Syriac Eastern">
    <w:panose1 w:val="02040503050306020203"/>
    <w:charset w:val="86"/>
    <w:family w:val="auto"/>
    <w:pitch w:val="default"/>
    <w:sig w:usb0="00000000" w:usb1="00000000" w:usb2="00000080" w:usb3="00000000" w:csb0="203E0161" w:csb1="D7FF0000"/>
  </w:font>
  <w:font w:name="汉仪中宋简">
    <w:panose1 w:val="02010600000101010101"/>
    <w:charset w:val="86"/>
    <w:family w:val="auto"/>
    <w:pitch w:val="default"/>
    <w:sig w:usb0="00000001" w:usb1="080E0800" w:usb2="00000002" w:usb3="00000000" w:csb0="00040000" w:csb1="00000000"/>
  </w:font>
  <w:font w:name="方正隶书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NanumMyeongjo">
    <w:panose1 w:val="02020603020101020101"/>
    <w:charset w:val="81"/>
    <w:family w:val="auto"/>
    <w:pitch w:val="default"/>
    <w:sig w:usb0="800002A7" w:usb1="01D7FCFB" w:usb2="00000010" w:usb3="00000000" w:csb0="00080001" w:csb1="00000000"/>
  </w:font>
  <w:font w:name="等线">
    <w:altName w:val="文泉驿微米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top w:val="thickThinSmallGap" w:color="auto" w:sz="24" w:space="1"/>
      </w:pBdr>
      <w:ind w:firstLine="360"/>
    </w:pPr>
    <w:r>
      <w:ptab w:relativeTo="margin" w:alignment="center" w:leader="none"/>
    </w:r>
    <w:r>
      <w:fldChar w:fldCharType="begin"/>
    </w:r>
    <w:r>
      <w:instrText xml:space="preserve">PAGE   \* MERGEFORMAT</w:instrText>
    </w:r>
    <w:r>
      <w:fldChar w:fldCharType="separate"/>
    </w:r>
    <w:r>
      <w:rPr>
        <w:lang w:val="zh-CN"/>
      </w:rPr>
      <w:t>1</w:t>
    </w:r>
    <w:r>
      <w:fldChar w:fldCharType="end"/>
    </w:r>
    <w:r>
      <w:ptab w:relativeTo="margin" w:alignment="right" w:leader="none"/>
    </w:r>
    <w:r>
      <w:rPr>
        <w:rFonts w:hint="eastAsia"/>
      </w:rPr>
      <w:t>山西博清环境科技有限公司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spacing w:line="240" w:lineRule="auto"/>
      <w:ind w:firstLine="422"/>
    </w:pPr>
    <w:bookmarkStart w:id="878" w:name="_Hlk80720170"/>
    <w:bookmarkStart w:id="879" w:name="_Hlk80720132"/>
    <w:bookmarkStart w:id="880" w:name="_Hlk80720130"/>
    <w:bookmarkStart w:id="881" w:name="_Hlk80720169"/>
    <w:bookmarkStart w:id="882" w:name="_Hlk80720131"/>
    <w:bookmarkStart w:id="883" w:name="_Hlk80720133"/>
    <w:bookmarkStart w:id="884" w:name="_Hlk80720183"/>
    <w:bookmarkStart w:id="885" w:name="_Hlk80720185"/>
    <w:bookmarkStart w:id="886" w:name="_Hlk80720184"/>
    <w:bookmarkStart w:id="887" w:name="_Hlk80720168"/>
    <w:bookmarkStart w:id="888" w:name="_Hlk80720167"/>
    <w:bookmarkStart w:id="889" w:name="_Hlk80720182"/>
    <w:r>
      <w:rPr>
        <w:rFonts w:hint="eastAsia" w:cs="Times New Roman"/>
        <w:b/>
        <w:bCs/>
        <w:sz w:val="21"/>
        <w:szCs w:val="21"/>
      </w:rPr>
      <w:t>山西鑫达农牧有限公司1</w:t>
    </w:r>
    <w:r>
      <w:rPr>
        <w:rFonts w:cs="Times New Roman"/>
        <w:b/>
        <w:bCs/>
        <w:sz w:val="21"/>
        <w:szCs w:val="21"/>
      </w:rPr>
      <w:t>.5</w:t>
    </w:r>
    <w:r>
      <w:rPr>
        <w:rFonts w:hint="eastAsia" w:cs="Times New Roman"/>
        <w:b/>
        <w:bCs/>
        <w:sz w:val="21"/>
        <w:szCs w:val="21"/>
      </w:rPr>
      <w:t>万头生猪产业化项目</w:t>
    </w:r>
    <w:bookmarkEnd w:id="878"/>
    <w:bookmarkEnd w:id="879"/>
    <w:bookmarkEnd w:id="880"/>
    <w:bookmarkEnd w:id="881"/>
    <w:bookmarkEnd w:id="882"/>
    <w:bookmarkEnd w:id="883"/>
    <w:bookmarkEnd w:id="884"/>
    <w:bookmarkEnd w:id="885"/>
    <w:bookmarkEnd w:id="886"/>
    <w:bookmarkEnd w:id="887"/>
    <w:bookmarkEnd w:id="888"/>
    <w:bookmarkEnd w:id="889"/>
    <w:r>
      <w:rPr>
        <w:rFonts w:hint="eastAsia" w:cs="Times New Roman"/>
        <w:b/>
        <w:bCs/>
        <w:sz w:val="21"/>
        <w:szCs w:val="21"/>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39"/>
      <w:lvlText w:val="表7-%1"/>
      <w:lvlJc w:val="left"/>
      <w:pPr>
        <w:tabs>
          <w:tab w:val="left" w:pos="360"/>
        </w:tabs>
        <w:ind w:left="360" w:hanging="360"/>
      </w:pPr>
      <w:rPr>
        <w:rFonts w:hint="eastAsia"/>
      </w:rPr>
    </w:lvl>
  </w:abstractNum>
  <w:abstractNum w:abstractNumId="1">
    <w:nsid w:val="FFFFFF7E"/>
    <w:multiLevelType w:val="singleLevel"/>
    <w:tmpl w:val="FFFFFF7E"/>
    <w:lvl w:ilvl="0" w:tentative="0">
      <w:start w:val="1"/>
      <w:numFmt w:val="decimal"/>
      <w:pStyle w:val="21"/>
      <w:lvlText w:val="表3-%1  "/>
      <w:lvlJc w:val="left"/>
      <w:pPr>
        <w:tabs>
          <w:tab w:val="left" w:pos="1080"/>
        </w:tabs>
        <w:ind w:left="0" w:firstLine="0"/>
      </w:pPr>
      <w:rPr>
        <w:rFonts w:hint="eastAsia" w:ascii="隶书" w:eastAsia="宋体"/>
        <w:b/>
        <w:i w:val="0"/>
        <w:sz w:val="28"/>
      </w:rPr>
    </w:lvl>
  </w:abstractNum>
  <w:abstractNum w:abstractNumId="2">
    <w:nsid w:val="FFFFFF7F"/>
    <w:multiLevelType w:val="singleLevel"/>
    <w:tmpl w:val="FFFFFF7F"/>
    <w:lvl w:ilvl="0" w:tentative="0">
      <w:start w:val="1"/>
      <w:numFmt w:val="decimal"/>
      <w:pStyle w:val="13"/>
      <w:lvlText w:val="表2-%1"/>
      <w:lvlJc w:val="left"/>
      <w:pPr>
        <w:tabs>
          <w:tab w:val="left" w:pos="720"/>
        </w:tabs>
        <w:ind w:left="0" w:firstLine="0"/>
      </w:pPr>
      <w:rPr>
        <w:rFonts w:hint="default" w:ascii="Times New Roman" w:hAnsi="Times New Roman" w:eastAsia="宋体"/>
        <w:b w:val="0"/>
        <w:i w:val="0"/>
        <w:sz w:val="24"/>
      </w:rPr>
    </w:lvl>
  </w:abstractNum>
  <w:abstractNum w:abstractNumId="3">
    <w:nsid w:val="0B695D8B"/>
    <w:multiLevelType w:val="singleLevel"/>
    <w:tmpl w:val="0B695D8B"/>
    <w:lvl w:ilvl="0" w:tentative="0">
      <w:start w:val="1"/>
      <w:numFmt w:val="chineseCountingThousand"/>
      <w:pStyle w:val="49"/>
      <w:lvlText w:val="第%1章  "/>
      <w:lvlJc w:val="center"/>
      <w:pPr>
        <w:tabs>
          <w:tab w:val="left" w:pos="720"/>
        </w:tabs>
        <w:ind w:left="0" w:firstLine="0"/>
      </w:pPr>
      <w:rPr>
        <w:rFonts w:hint="eastAsia" w:ascii="黑体" w:eastAsia="黑体"/>
        <w:b w:val="0"/>
        <w:i w:val="0"/>
        <w:sz w:val="36"/>
      </w:rPr>
    </w:lvl>
  </w:abstractNum>
  <w:abstractNum w:abstractNumId="4">
    <w:nsid w:val="21672267"/>
    <w:multiLevelType w:val="singleLevel"/>
    <w:tmpl w:val="21672267"/>
    <w:lvl w:ilvl="0" w:tentative="0">
      <w:start w:val="1"/>
      <w:numFmt w:val="decimal"/>
      <w:pStyle w:val="40"/>
      <w:lvlText w:val="表1-%1."/>
      <w:lvlJc w:val="left"/>
      <w:pPr>
        <w:tabs>
          <w:tab w:val="left" w:pos="1440"/>
        </w:tabs>
        <w:ind w:left="425" w:hanging="425"/>
      </w:pPr>
      <w:rPr>
        <w:rFonts w:hint="eastAsia"/>
      </w:rPr>
    </w:lvl>
  </w:abstractNum>
  <w:abstractNum w:abstractNumId="5">
    <w:nsid w:val="73460F04"/>
    <w:multiLevelType w:val="multilevel"/>
    <w:tmpl w:val="73460F04"/>
    <w:lvl w:ilvl="0" w:tentative="0">
      <w:start w:val="1"/>
      <w:numFmt w:val="decimal"/>
      <w:lvlText w:val="%1."/>
      <w:lvlJc w:val="left"/>
      <w:pPr>
        <w:tabs>
          <w:tab w:val="left" w:pos="425"/>
        </w:tabs>
        <w:ind w:left="425" w:hanging="425"/>
      </w:pPr>
      <w:rPr>
        <w:rFonts w:hint="eastAsia"/>
        <w:vanish/>
      </w:rPr>
    </w:lvl>
    <w:lvl w:ilvl="1" w:tentative="0">
      <w:start w:val="1"/>
      <w:numFmt w:val="decimal"/>
      <w:lvlText w:val="%1.%2"/>
      <w:lvlJc w:val="left"/>
      <w:pPr>
        <w:tabs>
          <w:tab w:val="left" w:pos="987"/>
        </w:tabs>
        <w:ind w:left="987" w:hanging="567"/>
      </w:pPr>
      <w:rPr>
        <w:rFonts w:hint="eastAsia" w:eastAsia="黑体"/>
        <w:b w:val="0"/>
        <w:i w:val="0"/>
        <w:sz w:val="32"/>
      </w:rPr>
    </w:lvl>
    <w:lvl w:ilvl="2" w:tentative="0">
      <w:start w:val="1"/>
      <w:numFmt w:val="decimal"/>
      <w:lvlText w:val="%1.%2.%3"/>
      <w:lvlJc w:val="left"/>
      <w:pPr>
        <w:tabs>
          <w:tab w:val="left" w:pos="1185"/>
        </w:tabs>
        <w:ind w:left="814" w:hanging="709"/>
      </w:pPr>
      <w:rPr>
        <w:rFonts w:hint="eastAsia" w:ascii="黑体" w:hAnsi="Times New Roman" w:eastAsia="黑体"/>
        <w:b w:val="0"/>
        <w:i w:val="0"/>
        <w:sz w:val="30"/>
      </w:rPr>
    </w:lvl>
    <w:lvl w:ilvl="3" w:tentative="0">
      <w:start w:val="1"/>
      <w:numFmt w:val="decimal"/>
      <w:lvlText w:val="%1.%2.%3.%4"/>
      <w:lvlJc w:val="left"/>
      <w:pPr>
        <w:tabs>
          <w:tab w:val="left" w:pos="851"/>
        </w:tabs>
        <w:ind w:left="851" w:hanging="851"/>
      </w:pPr>
      <w:rPr>
        <w:rFonts w:hint="eastAsia" w:eastAsia="黑体"/>
        <w:b w:val="0"/>
        <w:i w:val="0"/>
        <w:sz w:val="28"/>
      </w:rPr>
    </w:lvl>
    <w:lvl w:ilvl="4" w:tentative="0">
      <w:start w:val="1"/>
      <w:numFmt w:val="decimal"/>
      <w:pStyle w:val="6"/>
      <w:lvlText w:val="%1.%2.%3.%4.%5"/>
      <w:lvlJc w:val="left"/>
      <w:pPr>
        <w:tabs>
          <w:tab w:val="left" w:pos="1440"/>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true"/>
  <w:bordersDoNotSurroundFooter w:val="true"/>
  <w:hideSpellingError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characterSpacingControl w:val="doNotCompress"/>
  <w:footnotePr>
    <w:footnote w:id="0"/>
    <w:footnote w:id="1"/>
  </w:footnotePr>
  <w:endnotePr>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底泥堆场大纲.doc"/>
    <w:docVar w:name="VTBOLDON" w:val="0"/>
    <w:docVar w:name="VTCASE" w:val="4"/>
    <w:docVar w:name="VTCommandPending" w:val="NONE"/>
    <w:docVar w:name="VTCurMacroFlags$" w:val="NNNN"/>
    <w:docVar w:name="VTINIT" w:val="1"/>
    <w:docVar w:name="VTITALICON" w:val="0"/>
    <w:docVar w:name="VTUNDERLINEON" w:val="0"/>
    <w:docVar w:name="VTypeCAPFlag$" w:val="FALSE"/>
    <w:docVar w:name="VTypeJoinDigitFlag$" w:val="FALSE"/>
    <w:docVar w:name="VTypeLCFlag$" w:val="FALSE"/>
    <w:docVar w:name="VTypeNoSpaceFlag$" w:val="TRUE"/>
    <w:docVar w:name="VTypeSpaceFlag$" w:val="FALSE"/>
    <w:docVar w:name="VTypeUCFlag$" w:val="FALSE"/>
  </w:docVars>
  <w:rsids>
    <w:rsidRoot w:val="00D77DB7"/>
    <w:rsid w:val="0000001D"/>
    <w:rsid w:val="0000006C"/>
    <w:rsid w:val="000001A4"/>
    <w:rsid w:val="000001BB"/>
    <w:rsid w:val="00000203"/>
    <w:rsid w:val="0000026F"/>
    <w:rsid w:val="000003E8"/>
    <w:rsid w:val="00000507"/>
    <w:rsid w:val="000006E8"/>
    <w:rsid w:val="00000791"/>
    <w:rsid w:val="00000844"/>
    <w:rsid w:val="00000899"/>
    <w:rsid w:val="00000960"/>
    <w:rsid w:val="000009E2"/>
    <w:rsid w:val="00000DD1"/>
    <w:rsid w:val="00000E79"/>
    <w:rsid w:val="00000FB5"/>
    <w:rsid w:val="0000105F"/>
    <w:rsid w:val="000013FD"/>
    <w:rsid w:val="0000147A"/>
    <w:rsid w:val="00001564"/>
    <w:rsid w:val="00001591"/>
    <w:rsid w:val="000015E9"/>
    <w:rsid w:val="00001602"/>
    <w:rsid w:val="0000190C"/>
    <w:rsid w:val="00001983"/>
    <w:rsid w:val="000019A5"/>
    <w:rsid w:val="00001BED"/>
    <w:rsid w:val="00001D20"/>
    <w:rsid w:val="00001FB2"/>
    <w:rsid w:val="00001FF5"/>
    <w:rsid w:val="00002009"/>
    <w:rsid w:val="000021FA"/>
    <w:rsid w:val="000023A1"/>
    <w:rsid w:val="000027FD"/>
    <w:rsid w:val="0000289A"/>
    <w:rsid w:val="000029FF"/>
    <w:rsid w:val="00002A82"/>
    <w:rsid w:val="00002E0D"/>
    <w:rsid w:val="0000328C"/>
    <w:rsid w:val="00003333"/>
    <w:rsid w:val="00003337"/>
    <w:rsid w:val="000035D3"/>
    <w:rsid w:val="000035DF"/>
    <w:rsid w:val="00003C9F"/>
    <w:rsid w:val="00003CCD"/>
    <w:rsid w:val="00003F18"/>
    <w:rsid w:val="00003F4D"/>
    <w:rsid w:val="00004103"/>
    <w:rsid w:val="00004880"/>
    <w:rsid w:val="000049BE"/>
    <w:rsid w:val="00004AEF"/>
    <w:rsid w:val="00004B98"/>
    <w:rsid w:val="00004BFB"/>
    <w:rsid w:val="00004D8D"/>
    <w:rsid w:val="00004F9D"/>
    <w:rsid w:val="000050BA"/>
    <w:rsid w:val="0000510A"/>
    <w:rsid w:val="0000510D"/>
    <w:rsid w:val="0000517E"/>
    <w:rsid w:val="000054D6"/>
    <w:rsid w:val="0000592A"/>
    <w:rsid w:val="000059C3"/>
    <w:rsid w:val="000059D1"/>
    <w:rsid w:val="000061CE"/>
    <w:rsid w:val="00006270"/>
    <w:rsid w:val="0000627F"/>
    <w:rsid w:val="000066A2"/>
    <w:rsid w:val="00006981"/>
    <w:rsid w:val="00006B84"/>
    <w:rsid w:val="00006CD6"/>
    <w:rsid w:val="00007016"/>
    <w:rsid w:val="00007263"/>
    <w:rsid w:val="00007429"/>
    <w:rsid w:val="00007459"/>
    <w:rsid w:val="00007643"/>
    <w:rsid w:val="000077E2"/>
    <w:rsid w:val="000077FC"/>
    <w:rsid w:val="000078D0"/>
    <w:rsid w:val="00007B80"/>
    <w:rsid w:val="00007F45"/>
    <w:rsid w:val="0001015C"/>
    <w:rsid w:val="00010215"/>
    <w:rsid w:val="00010249"/>
    <w:rsid w:val="00010553"/>
    <w:rsid w:val="0001085F"/>
    <w:rsid w:val="000109C4"/>
    <w:rsid w:val="000109E5"/>
    <w:rsid w:val="00010B20"/>
    <w:rsid w:val="00010D82"/>
    <w:rsid w:val="00010EC5"/>
    <w:rsid w:val="00010F9F"/>
    <w:rsid w:val="000115D8"/>
    <w:rsid w:val="000119EF"/>
    <w:rsid w:val="00011B28"/>
    <w:rsid w:val="00011C01"/>
    <w:rsid w:val="00011E5C"/>
    <w:rsid w:val="00012133"/>
    <w:rsid w:val="000122A8"/>
    <w:rsid w:val="000122CC"/>
    <w:rsid w:val="000123B2"/>
    <w:rsid w:val="0001252C"/>
    <w:rsid w:val="00012563"/>
    <w:rsid w:val="00012C24"/>
    <w:rsid w:val="00012F8A"/>
    <w:rsid w:val="00013291"/>
    <w:rsid w:val="000133FF"/>
    <w:rsid w:val="00013BE5"/>
    <w:rsid w:val="00013D94"/>
    <w:rsid w:val="00013E09"/>
    <w:rsid w:val="00013EF6"/>
    <w:rsid w:val="00013F6B"/>
    <w:rsid w:val="00013F94"/>
    <w:rsid w:val="0001418C"/>
    <w:rsid w:val="00014361"/>
    <w:rsid w:val="00014457"/>
    <w:rsid w:val="000146D8"/>
    <w:rsid w:val="00014D52"/>
    <w:rsid w:val="00014FDE"/>
    <w:rsid w:val="000151DC"/>
    <w:rsid w:val="0001522A"/>
    <w:rsid w:val="000154AC"/>
    <w:rsid w:val="00015614"/>
    <w:rsid w:val="000157BF"/>
    <w:rsid w:val="0001591C"/>
    <w:rsid w:val="00015A0D"/>
    <w:rsid w:val="00015D33"/>
    <w:rsid w:val="00015DEC"/>
    <w:rsid w:val="00015E40"/>
    <w:rsid w:val="0001603F"/>
    <w:rsid w:val="00016085"/>
    <w:rsid w:val="000160A3"/>
    <w:rsid w:val="000163E9"/>
    <w:rsid w:val="0001657F"/>
    <w:rsid w:val="000166AE"/>
    <w:rsid w:val="00016700"/>
    <w:rsid w:val="0001670C"/>
    <w:rsid w:val="00016771"/>
    <w:rsid w:val="00016843"/>
    <w:rsid w:val="00016AF6"/>
    <w:rsid w:val="00016B32"/>
    <w:rsid w:val="00016E1A"/>
    <w:rsid w:val="00016E57"/>
    <w:rsid w:val="00016EF5"/>
    <w:rsid w:val="00016FCA"/>
    <w:rsid w:val="000170A8"/>
    <w:rsid w:val="000170FC"/>
    <w:rsid w:val="000173C7"/>
    <w:rsid w:val="00017590"/>
    <w:rsid w:val="000175C9"/>
    <w:rsid w:val="0001795B"/>
    <w:rsid w:val="00017E3C"/>
    <w:rsid w:val="00017F22"/>
    <w:rsid w:val="0002024E"/>
    <w:rsid w:val="000202F8"/>
    <w:rsid w:val="000209AA"/>
    <w:rsid w:val="000209FF"/>
    <w:rsid w:val="00020B1B"/>
    <w:rsid w:val="00020B96"/>
    <w:rsid w:val="00020C83"/>
    <w:rsid w:val="00020DB1"/>
    <w:rsid w:val="000211B5"/>
    <w:rsid w:val="000211CA"/>
    <w:rsid w:val="00021430"/>
    <w:rsid w:val="000214DC"/>
    <w:rsid w:val="000216A1"/>
    <w:rsid w:val="000217D1"/>
    <w:rsid w:val="0002189B"/>
    <w:rsid w:val="00021CCB"/>
    <w:rsid w:val="00021D59"/>
    <w:rsid w:val="00021E86"/>
    <w:rsid w:val="00021F0C"/>
    <w:rsid w:val="00021FF6"/>
    <w:rsid w:val="0002240E"/>
    <w:rsid w:val="00022416"/>
    <w:rsid w:val="00022452"/>
    <w:rsid w:val="000226DC"/>
    <w:rsid w:val="000227FB"/>
    <w:rsid w:val="00022995"/>
    <w:rsid w:val="00022A85"/>
    <w:rsid w:val="00022C86"/>
    <w:rsid w:val="00022C8D"/>
    <w:rsid w:val="00022D82"/>
    <w:rsid w:val="00023067"/>
    <w:rsid w:val="00023192"/>
    <w:rsid w:val="000232DF"/>
    <w:rsid w:val="00023B56"/>
    <w:rsid w:val="000241EE"/>
    <w:rsid w:val="0002440A"/>
    <w:rsid w:val="0002472A"/>
    <w:rsid w:val="000247B1"/>
    <w:rsid w:val="000249E2"/>
    <w:rsid w:val="00024BF8"/>
    <w:rsid w:val="00024F3E"/>
    <w:rsid w:val="00024F9F"/>
    <w:rsid w:val="000251E0"/>
    <w:rsid w:val="000253FF"/>
    <w:rsid w:val="0002541E"/>
    <w:rsid w:val="00025543"/>
    <w:rsid w:val="000255B5"/>
    <w:rsid w:val="00025607"/>
    <w:rsid w:val="00025A5F"/>
    <w:rsid w:val="00025A7C"/>
    <w:rsid w:val="00025AEF"/>
    <w:rsid w:val="00025DB0"/>
    <w:rsid w:val="00026040"/>
    <w:rsid w:val="000260BE"/>
    <w:rsid w:val="0002615B"/>
    <w:rsid w:val="0002615C"/>
    <w:rsid w:val="000261CC"/>
    <w:rsid w:val="00026201"/>
    <w:rsid w:val="0002630E"/>
    <w:rsid w:val="000263D5"/>
    <w:rsid w:val="000264F5"/>
    <w:rsid w:val="0002694B"/>
    <w:rsid w:val="000269BF"/>
    <w:rsid w:val="00026A98"/>
    <w:rsid w:val="00026A99"/>
    <w:rsid w:val="00026AD3"/>
    <w:rsid w:val="00027240"/>
    <w:rsid w:val="00027411"/>
    <w:rsid w:val="00027554"/>
    <w:rsid w:val="00027571"/>
    <w:rsid w:val="0002762B"/>
    <w:rsid w:val="00027A3D"/>
    <w:rsid w:val="00027AF4"/>
    <w:rsid w:val="00027BD9"/>
    <w:rsid w:val="00027EF7"/>
    <w:rsid w:val="00030024"/>
    <w:rsid w:val="00030261"/>
    <w:rsid w:val="0003049E"/>
    <w:rsid w:val="0003074B"/>
    <w:rsid w:val="00030761"/>
    <w:rsid w:val="000307C7"/>
    <w:rsid w:val="00030BAD"/>
    <w:rsid w:val="00031378"/>
    <w:rsid w:val="0003137B"/>
    <w:rsid w:val="000314F6"/>
    <w:rsid w:val="00031626"/>
    <w:rsid w:val="0003162A"/>
    <w:rsid w:val="000317D4"/>
    <w:rsid w:val="0003199D"/>
    <w:rsid w:val="000319C2"/>
    <w:rsid w:val="00031B1B"/>
    <w:rsid w:val="00031ED4"/>
    <w:rsid w:val="00032357"/>
    <w:rsid w:val="000324F4"/>
    <w:rsid w:val="0003256F"/>
    <w:rsid w:val="00032888"/>
    <w:rsid w:val="000329AB"/>
    <w:rsid w:val="00032B7E"/>
    <w:rsid w:val="00032B92"/>
    <w:rsid w:val="00032C28"/>
    <w:rsid w:val="00032FAC"/>
    <w:rsid w:val="000330EA"/>
    <w:rsid w:val="0003310D"/>
    <w:rsid w:val="00033157"/>
    <w:rsid w:val="00033493"/>
    <w:rsid w:val="0003369E"/>
    <w:rsid w:val="000336A5"/>
    <w:rsid w:val="000337EA"/>
    <w:rsid w:val="00033B9E"/>
    <w:rsid w:val="00033BD6"/>
    <w:rsid w:val="00033D09"/>
    <w:rsid w:val="00034150"/>
    <w:rsid w:val="00034333"/>
    <w:rsid w:val="0003448D"/>
    <w:rsid w:val="0003470B"/>
    <w:rsid w:val="000348F0"/>
    <w:rsid w:val="000348F2"/>
    <w:rsid w:val="00034ABF"/>
    <w:rsid w:val="00034B2D"/>
    <w:rsid w:val="00034B37"/>
    <w:rsid w:val="00035018"/>
    <w:rsid w:val="0003507B"/>
    <w:rsid w:val="000351DC"/>
    <w:rsid w:val="0003542B"/>
    <w:rsid w:val="00035578"/>
    <w:rsid w:val="00035650"/>
    <w:rsid w:val="00035B84"/>
    <w:rsid w:val="00035E8E"/>
    <w:rsid w:val="00035EA4"/>
    <w:rsid w:val="0003607B"/>
    <w:rsid w:val="00036241"/>
    <w:rsid w:val="000362A1"/>
    <w:rsid w:val="000363B6"/>
    <w:rsid w:val="000363CC"/>
    <w:rsid w:val="00036B08"/>
    <w:rsid w:val="00036CC3"/>
    <w:rsid w:val="00037165"/>
    <w:rsid w:val="000371B8"/>
    <w:rsid w:val="00037310"/>
    <w:rsid w:val="000373C1"/>
    <w:rsid w:val="00037428"/>
    <w:rsid w:val="00037652"/>
    <w:rsid w:val="00037653"/>
    <w:rsid w:val="0003777D"/>
    <w:rsid w:val="0003782F"/>
    <w:rsid w:val="00037975"/>
    <w:rsid w:val="00037A55"/>
    <w:rsid w:val="00037C47"/>
    <w:rsid w:val="00037CE5"/>
    <w:rsid w:val="00037F22"/>
    <w:rsid w:val="00037F70"/>
    <w:rsid w:val="00037F7B"/>
    <w:rsid w:val="00040134"/>
    <w:rsid w:val="000404A0"/>
    <w:rsid w:val="00040544"/>
    <w:rsid w:val="00040631"/>
    <w:rsid w:val="00040637"/>
    <w:rsid w:val="00040A76"/>
    <w:rsid w:val="00040B6E"/>
    <w:rsid w:val="00040C6C"/>
    <w:rsid w:val="00040E7E"/>
    <w:rsid w:val="000410CB"/>
    <w:rsid w:val="000411CC"/>
    <w:rsid w:val="00041291"/>
    <w:rsid w:val="000413F3"/>
    <w:rsid w:val="00041488"/>
    <w:rsid w:val="00041565"/>
    <w:rsid w:val="000416DA"/>
    <w:rsid w:val="0004170D"/>
    <w:rsid w:val="00041984"/>
    <w:rsid w:val="00041ADF"/>
    <w:rsid w:val="00041AE6"/>
    <w:rsid w:val="00041AFB"/>
    <w:rsid w:val="00041BFF"/>
    <w:rsid w:val="00041CEB"/>
    <w:rsid w:val="00041E09"/>
    <w:rsid w:val="00041E45"/>
    <w:rsid w:val="00042074"/>
    <w:rsid w:val="00042317"/>
    <w:rsid w:val="00042330"/>
    <w:rsid w:val="0004238C"/>
    <w:rsid w:val="00042641"/>
    <w:rsid w:val="000427A2"/>
    <w:rsid w:val="000427C1"/>
    <w:rsid w:val="0004286E"/>
    <w:rsid w:val="00043116"/>
    <w:rsid w:val="0004328B"/>
    <w:rsid w:val="000433C9"/>
    <w:rsid w:val="000438AB"/>
    <w:rsid w:val="00043EEF"/>
    <w:rsid w:val="00043FEB"/>
    <w:rsid w:val="00044193"/>
    <w:rsid w:val="000443DA"/>
    <w:rsid w:val="000445FC"/>
    <w:rsid w:val="0004471B"/>
    <w:rsid w:val="0004474E"/>
    <w:rsid w:val="000447AA"/>
    <w:rsid w:val="00044905"/>
    <w:rsid w:val="00044AD2"/>
    <w:rsid w:val="00044EC6"/>
    <w:rsid w:val="00045270"/>
    <w:rsid w:val="000452AB"/>
    <w:rsid w:val="00045617"/>
    <w:rsid w:val="00045739"/>
    <w:rsid w:val="00045BBB"/>
    <w:rsid w:val="00045C9B"/>
    <w:rsid w:val="00045CD8"/>
    <w:rsid w:val="00045F3F"/>
    <w:rsid w:val="00045F8C"/>
    <w:rsid w:val="00045FE5"/>
    <w:rsid w:val="00046052"/>
    <w:rsid w:val="000460AA"/>
    <w:rsid w:val="000460F9"/>
    <w:rsid w:val="000461D7"/>
    <w:rsid w:val="00046250"/>
    <w:rsid w:val="0004632F"/>
    <w:rsid w:val="00046453"/>
    <w:rsid w:val="00046790"/>
    <w:rsid w:val="000468AA"/>
    <w:rsid w:val="00046988"/>
    <w:rsid w:val="00046A02"/>
    <w:rsid w:val="00046DB3"/>
    <w:rsid w:val="00046DC1"/>
    <w:rsid w:val="00046E3C"/>
    <w:rsid w:val="00046E8A"/>
    <w:rsid w:val="00046EA0"/>
    <w:rsid w:val="000471D6"/>
    <w:rsid w:val="00047238"/>
    <w:rsid w:val="00047974"/>
    <w:rsid w:val="00047997"/>
    <w:rsid w:val="00047CEE"/>
    <w:rsid w:val="00047E51"/>
    <w:rsid w:val="00047E97"/>
    <w:rsid w:val="0005032A"/>
    <w:rsid w:val="00050643"/>
    <w:rsid w:val="00050831"/>
    <w:rsid w:val="00050CB7"/>
    <w:rsid w:val="00050F80"/>
    <w:rsid w:val="00050F99"/>
    <w:rsid w:val="00050FB5"/>
    <w:rsid w:val="0005125A"/>
    <w:rsid w:val="00051413"/>
    <w:rsid w:val="000516F1"/>
    <w:rsid w:val="0005171D"/>
    <w:rsid w:val="00051882"/>
    <w:rsid w:val="00051996"/>
    <w:rsid w:val="00051C39"/>
    <w:rsid w:val="00051E90"/>
    <w:rsid w:val="00052060"/>
    <w:rsid w:val="000521EC"/>
    <w:rsid w:val="0005244C"/>
    <w:rsid w:val="0005248E"/>
    <w:rsid w:val="0005269A"/>
    <w:rsid w:val="000526F6"/>
    <w:rsid w:val="00053292"/>
    <w:rsid w:val="000532B4"/>
    <w:rsid w:val="000536F6"/>
    <w:rsid w:val="00053F1B"/>
    <w:rsid w:val="0005403C"/>
    <w:rsid w:val="00054099"/>
    <w:rsid w:val="0005409C"/>
    <w:rsid w:val="000541A9"/>
    <w:rsid w:val="000542C7"/>
    <w:rsid w:val="000543D2"/>
    <w:rsid w:val="00054599"/>
    <w:rsid w:val="000547CF"/>
    <w:rsid w:val="0005482C"/>
    <w:rsid w:val="00054836"/>
    <w:rsid w:val="00054A55"/>
    <w:rsid w:val="00054AC7"/>
    <w:rsid w:val="00054B5E"/>
    <w:rsid w:val="00054D4B"/>
    <w:rsid w:val="00055078"/>
    <w:rsid w:val="0005510E"/>
    <w:rsid w:val="0005527A"/>
    <w:rsid w:val="00055298"/>
    <w:rsid w:val="000553CC"/>
    <w:rsid w:val="000554F2"/>
    <w:rsid w:val="0005587E"/>
    <w:rsid w:val="00055E96"/>
    <w:rsid w:val="00055EC1"/>
    <w:rsid w:val="00055F77"/>
    <w:rsid w:val="000561F9"/>
    <w:rsid w:val="0005638A"/>
    <w:rsid w:val="0005657A"/>
    <w:rsid w:val="00056BC0"/>
    <w:rsid w:val="00056BE6"/>
    <w:rsid w:val="00056C52"/>
    <w:rsid w:val="00056E3B"/>
    <w:rsid w:val="00056E98"/>
    <w:rsid w:val="00056FFF"/>
    <w:rsid w:val="00057260"/>
    <w:rsid w:val="0005746F"/>
    <w:rsid w:val="0005768A"/>
    <w:rsid w:val="000576F2"/>
    <w:rsid w:val="00057703"/>
    <w:rsid w:val="00057778"/>
    <w:rsid w:val="00057803"/>
    <w:rsid w:val="00057B48"/>
    <w:rsid w:val="00057C82"/>
    <w:rsid w:val="00057FB3"/>
    <w:rsid w:val="00057FC6"/>
    <w:rsid w:val="0006004C"/>
    <w:rsid w:val="000600B9"/>
    <w:rsid w:val="0006035E"/>
    <w:rsid w:val="0006087C"/>
    <w:rsid w:val="000609B4"/>
    <w:rsid w:val="000609BC"/>
    <w:rsid w:val="00060AB7"/>
    <w:rsid w:val="00060B7F"/>
    <w:rsid w:val="00060BDA"/>
    <w:rsid w:val="00060CF6"/>
    <w:rsid w:val="00060E0C"/>
    <w:rsid w:val="00060E74"/>
    <w:rsid w:val="00060E79"/>
    <w:rsid w:val="00060FDF"/>
    <w:rsid w:val="00061290"/>
    <w:rsid w:val="000612AD"/>
    <w:rsid w:val="000612C7"/>
    <w:rsid w:val="00061314"/>
    <w:rsid w:val="00061A2E"/>
    <w:rsid w:val="00061C32"/>
    <w:rsid w:val="00062127"/>
    <w:rsid w:val="00062150"/>
    <w:rsid w:val="0006227C"/>
    <w:rsid w:val="0006231C"/>
    <w:rsid w:val="0006232F"/>
    <w:rsid w:val="000624DC"/>
    <w:rsid w:val="000627E9"/>
    <w:rsid w:val="00062A30"/>
    <w:rsid w:val="00062AE7"/>
    <w:rsid w:val="00062BA8"/>
    <w:rsid w:val="00062BCE"/>
    <w:rsid w:val="00062FDC"/>
    <w:rsid w:val="000631C9"/>
    <w:rsid w:val="000632C9"/>
    <w:rsid w:val="000637D3"/>
    <w:rsid w:val="000638C1"/>
    <w:rsid w:val="000639AA"/>
    <w:rsid w:val="00063A62"/>
    <w:rsid w:val="00063AFD"/>
    <w:rsid w:val="00063EA9"/>
    <w:rsid w:val="00064027"/>
    <w:rsid w:val="00064116"/>
    <w:rsid w:val="0006459A"/>
    <w:rsid w:val="000645E2"/>
    <w:rsid w:val="00064683"/>
    <w:rsid w:val="000646D6"/>
    <w:rsid w:val="00064700"/>
    <w:rsid w:val="000647B0"/>
    <w:rsid w:val="000647E7"/>
    <w:rsid w:val="00064800"/>
    <w:rsid w:val="000648CE"/>
    <w:rsid w:val="000648FB"/>
    <w:rsid w:val="00064F4E"/>
    <w:rsid w:val="00064FE9"/>
    <w:rsid w:val="00065064"/>
    <w:rsid w:val="00065343"/>
    <w:rsid w:val="000653D5"/>
    <w:rsid w:val="000655FD"/>
    <w:rsid w:val="00065870"/>
    <w:rsid w:val="00065A02"/>
    <w:rsid w:val="00065A66"/>
    <w:rsid w:val="00065C0D"/>
    <w:rsid w:val="0006642B"/>
    <w:rsid w:val="00066637"/>
    <w:rsid w:val="00066648"/>
    <w:rsid w:val="000666E8"/>
    <w:rsid w:val="000668B1"/>
    <w:rsid w:val="000669B6"/>
    <w:rsid w:val="00066A10"/>
    <w:rsid w:val="00066CE8"/>
    <w:rsid w:val="00066D21"/>
    <w:rsid w:val="00066FC5"/>
    <w:rsid w:val="000672B9"/>
    <w:rsid w:val="0006733D"/>
    <w:rsid w:val="00067450"/>
    <w:rsid w:val="00067A04"/>
    <w:rsid w:val="00067C53"/>
    <w:rsid w:val="00067D2A"/>
    <w:rsid w:val="00070004"/>
    <w:rsid w:val="00070094"/>
    <w:rsid w:val="000701BB"/>
    <w:rsid w:val="0007024E"/>
    <w:rsid w:val="000703D1"/>
    <w:rsid w:val="0007046D"/>
    <w:rsid w:val="00070488"/>
    <w:rsid w:val="000704F6"/>
    <w:rsid w:val="00070504"/>
    <w:rsid w:val="0007057C"/>
    <w:rsid w:val="00070A87"/>
    <w:rsid w:val="00070AAC"/>
    <w:rsid w:val="00070AE3"/>
    <w:rsid w:val="00070FCA"/>
    <w:rsid w:val="00071637"/>
    <w:rsid w:val="00071777"/>
    <w:rsid w:val="000718E4"/>
    <w:rsid w:val="000718FC"/>
    <w:rsid w:val="0007192B"/>
    <w:rsid w:val="00071A00"/>
    <w:rsid w:val="00071BDB"/>
    <w:rsid w:val="00071C4B"/>
    <w:rsid w:val="00071DC0"/>
    <w:rsid w:val="00071E10"/>
    <w:rsid w:val="00071E34"/>
    <w:rsid w:val="00071E46"/>
    <w:rsid w:val="00071E7A"/>
    <w:rsid w:val="00072120"/>
    <w:rsid w:val="00072323"/>
    <w:rsid w:val="00072415"/>
    <w:rsid w:val="0007244E"/>
    <w:rsid w:val="00072487"/>
    <w:rsid w:val="000724CB"/>
    <w:rsid w:val="0007287B"/>
    <w:rsid w:val="000728EC"/>
    <w:rsid w:val="00072A6B"/>
    <w:rsid w:val="00072B8B"/>
    <w:rsid w:val="00072BD2"/>
    <w:rsid w:val="00072DC9"/>
    <w:rsid w:val="00072F9F"/>
    <w:rsid w:val="00072FF2"/>
    <w:rsid w:val="00073486"/>
    <w:rsid w:val="00073646"/>
    <w:rsid w:val="000738DC"/>
    <w:rsid w:val="0007393F"/>
    <w:rsid w:val="00073B21"/>
    <w:rsid w:val="00073F36"/>
    <w:rsid w:val="0007403C"/>
    <w:rsid w:val="00074261"/>
    <w:rsid w:val="000746B8"/>
    <w:rsid w:val="0007477B"/>
    <w:rsid w:val="000749E1"/>
    <w:rsid w:val="00074A55"/>
    <w:rsid w:val="00074D88"/>
    <w:rsid w:val="00075384"/>
    <w:rsid w:val="00075627"/>
    <w:rsid w:val="0007575F"/>
    <w:rsid w:val="00075856"/>
    <w:rsid w:val="000759E8"/>
    <w:rsid w:val="00075A4C"/>
    <w:rsid w:val="00075DD0"/>
    <w:rsid w:val="00075ECD"/>
    <w:rsid w:val="00075F1A"/>
    <w:rsid w:val="0007636A"/>
    <w:rsid w:val="00076379"/>
    <w:rsid w:val="00076733"/>
    <w:rsid w:val="0007674C"/>
    <w:rsid w:val="00076803"/>
    <w:rsid w:val="00076A39"/>
    <w:rsid w:val="00076CF5"/>
    <w:rsid w:val="00076E09"/>
    <w:rsid w:val="00076F1B"/>
    <w:rsid w:val="00076FF5"/>
    <w:rsid w:val="0007716F"/>
    <w:rsid w:val="00077411"/>
    <w:rsid w:val="00077886"/>
    <w:rsid w:val="00077887"/>
    <w:rsid w:val="00077921"/>
    <w:rsid w:val="0007796A"/>
    <w:rsid w:val="00077A63"/>
    <w:rsid w:val="00077ACE"/>
    <w:rsid w:val="00077B09"/>
    <w:rsid w:val="00077BC9"/>
    <w:rsid w:val="00077CE7"/>
    <w:rsid w:val="00077EA0"/>
    <w:rsid w:val="00080281"/>
    <w:rsid w:val="000802F4"/>
    <w:rsid w:val="00080420"/>
    <w:rsid w:val="000807A8"/>
    <w:rsid w:val="000807D0"/>
    <w:rsid w:val="000807D7"/>
    <w:rsid w:val="00080865"/>
    <w:rsid w:val="00080AEA"/>
    <w:rsid w:val="00080E65"/>
    <w:rsid w:val="00080FE9"/>
    <w:rsid w:val="00081118"/>
    <w:rsid w:val="000812B0"/>
    <w:rsid w:val="000816BC"/>
    <w:rsid w:val="000817E1"/>
    <w:rsid w:val="00081A8E"/>
    <w:rsid w:val="00081B79"/>
    <w:rsid w:val="00081C52"/>
    <w:rsid w:val="00081C57"/>
    <w:rsid w:val="00081E92"/>
    <w:rsid w:val="00081F34"/>
    <w:rsid w:val="00081F43"/>
    <w:rsid w:val="00081FBD"/>
    <w:rsid w:val="00082336"/>
    <w:rsid w:val="000823F0"/>
    <w:rsid w:val="000824E6"/>
    <w:rsid w:val="00082634"/>
    <w:rsid w:val="00082D23"/>
    <w:rsid w:val="00082E71"/>
    <w:rsid w:val="00083074"/>
    <w:rsid w:val="000830B3"/>
    <w:rsid w:val="00083169"/>
    <w:rsid w:val="0008335F"/>
    <w:rsid w:val="000834EA"/>
    <w:rsid w:val="00083622"/>
    <w:rsid w:val="000837B4"/>
    <w:rsid w:val="00083877"/>
    <w:rsid w:val="00083C33"/>
    <w:rsid w:val="00083D98"/>
    <w:rsid w:val="00083DB9"/>
    <w:rsid w:val="0008413F"/>
    <w:rsid w:val="0008415C"/>
    <w:rsid w:val="00084253"/>
    <w:rsid w:val="000846EA"/>
    <w:rsid w:val="000848CC"/>
    <w:rsid w:val="00084A66"/>
    <w:rsid w:val="00084D0E"/>
    <w:rsid w:val="00084DEA"/>
    <w:rsid w:val="00085231"/>
    <w:rsid w:val="000853B2"/>
    <w:rsid w:val="00085439"/>
    <w:rsid w:val="00085484"/>
    <w:rsid w:val="00085852"/>
    <w:rsid w:val="000858AD"/>
    <w:rsid w:val="000859F4"/>
    <w:rsid w:val="00085A2D"/>
    <w:rsid w:val="00085A44"/>
    <w:rsid w:val="00085A71"/>
    <w:rsid w:val="00085D54"/>
    <w:rsid w:val="00085ED8"/>
    <w:rsid w:val="00085F73"/>
    <w:rsid w:val="00086489"/>
    <w:rsid w:val="000866F4"/>
    <w:rsid w:val="00086990"/>
    <w:rsid w:val="00086B5C"/>
    <w:rsid w:val="00086BBC"/>
    <w:rsid w:val="00086D57"/>
    <w:rsid w:val="0008709B"/>
    <w:rsid w:val="0008719F"/>
    <w:rsid w:val="00087242"/>
    <w:rsid w:val="00087425"/>
    <w:rsid w:val="00087625"/>
    <w:rsid w:val="00087644"/>
    <w:rsid w:val="00087898"/>
    <w:rsid w:val="00087D99"/>
    <w:rsid w:val="00087DF1"/>
    <w:rsid w:val="00087F90"/>
    <w:rsid w:val="000900B4"/>
    <w:rsid w:val="000900DA"/>
    <w:rsid w:val="00090108"/>
    <w:rsid w:val="0009017C"/>
    <w:rsid w:val="0009030F"/>
    <w:rsid w:val="0009034D"/>
    <w:rsid w:val="000903DB"/>
    <w:rsid w:val="000903F1"/>
    <w:rsid w:val="0009042F"/>
    <w:rsid w:val="00090516"/>
    <w:rsid w:val="000905CB"/>
    <w:rsid w:val="0009083E"/>
    <w:rsid w:val="000908FA"/>
    <w:rsid w:val="000909A9"/>
    <w:rsid w:val="00090B4B"/>
    <w:rsid w:val="00090C5E"/>
    <w:rsid w:val="0009108F"/>
    <w:rsid w:val="00091388"/>
    <w:rsid w:val="00091589"/>
    <w:rsid w:val="0009186E"/>
    <w:rsid w:val="00091986"/>
    <w:rsid w:val="00091CA0"/>
    <w:rsid w:val="000921BB"/>
    <w:rsid w:val="0009229D"/>
    <w:rsid w:val="000927D3"/>
    <w:rsid w:val="00092A48"/>
    <w:rsid w:val="00092B76"/>
    <w:rsid w:val="00092C02"/>
    <w:rsid w:val="00092EF8"/>
    <w:rsid w:val="000930E6"/>
    <w:rsid w:val="000930EE"/>
    <w:rsid w:val="00093441"/>
    <w:rsid w:val="0009378D"/>
    <w:rsid w:val="00093A01"/>
    <w:rsid w:val="00093ABC"/>
    <w:rsid w:val="00093AF3"/>
    <w:rsid w:val="00093C89"/>
    <w:rsid w:val="00093CC4"/>
    <w:rsid w:val="00093D58"/>
    <w:rsid w:val="00093DDE"/>
    <w:rsid w:val="00093E0C"/>
    <w:rsid w:val="00093E47"/>
    <w:rsid w:val="00093EA3"/>
    <w:rsid w:val="00094136"/>
    <w:rsid w:val="0009426F"/>
    <w:rsid w:val="00094298"/>
    <w:rsid w:val="00094504"/>
    <w:rsid w:val="00094579"/>
    <w:rsid w:val="00094677"/>
    <w:rsid w:val="00094867"/>
    <w:rsid w:val="000948BF"/>
    <w:rsid w:val="00094936"/>
    <w:rsid w:val="00094A88"/>
    <w:rsid w:val="00094AC7"/>
    <w:rsid w:val="00094B73"/>
    <w:rsid w:val="00094D2A"/>
    <w:rsid w:val="00094E85"/>
    <w:rsid w:val="00094F12"/>
    <w:rsid w:val="00095026"/>
    <w:rsid w:val="000950F9"/>
    <w:rsid w:val="00095170"/>
    <w:rsid w:val="000951CB"/>
    <w:rsid w:val="00095273"/>
    <w:rsid w:val="000954D0"/>
    <w:rsid w:val="00095588"/>
    <w:rsid w:val="000957F2"/>
    <w:rsid w:val="000958A3"/>
    <w:rsid w:val="00095923"/>
    <w:rsid w:val="00095C35"/>
    <w:rsid w:val="000961AE"/>
    <w:rsid w:val="000963BA"/>
    <w:rsid w:val="000964B9"/>
    <w:rsid w:val="00096587"/>
    <w:rsid w:val="00096B7F"/>
    <w:rsid w:val="00096D97"/>
    <w:rsid w:val="00097126"/>
    <w:rsid w:val="00097163"/>
    <w:rsid w:val="000973A5"/>
    <w:rsid w:val="00097687"/>
    <w:rsid w:val="0009774F"/>
    <w:rsid w:val="00097907"/>
    <w:rsid w:val="000979E1"/>
    <w:rsid w:val="000979EC"/>
    <w:rsid w:val="00097A7E"/>
    <w:rsid w:val="00097C57"/>
    <w:rsid w:val="00097D3B"/>
    <w:rsid w:val="00097D96"/>
    <w:rsid w:val="00097E9B"/>
    <w:rsid w:val="00097ECD"/>
    <w:rsid w:val="000A01C8"/>
    <w:rsid w:val="000A0483"/>
    <w:rsid w:val="000A059C"/>
    <w:rsid w:val="000A0752"/>
    <w:rsid w:val="000A08BB"/>
    <w:rsid w:val="000A08BC"/>
    <w:rsid w:val="000A08CF"/>
    <w:rsid w:val="000A09EF"/>
    <w:rsid w:val="000A0C57"/>
    <w:rsid w:val="000A0D2B"/>
    <w:rsid w:val="000A13A6"/>
    <w:rsid w:val="000A13DA"/>
    <w:rsid w:val="000A1464"/>
    <w:rsid w:val="000A1525"/>
    <w:rsid w:val="000A1535"/>
    <w:rsid w:val="000A1633"/>
    <w:rsid w:val="000A164F"/>
    <w:rsid w:val="000A176D"/>
    <w:rsid w:val="000A1962"/>
    <w:rsid w:val="000A1E9B"/>
    <w:rsid w:val="000A1F56"/>
    <w:rsid w:val="000A2275"/>
    <w:rsid w:val="000A2374"/>
    <w:rsid w:val="000A282E"/>
    <w:rsid w:val="000A28C6"/>
    <w:rsid w:val="000A29CB"/>
    <w:rsid w:val="000A2B47"/>
    <w:rsid w:val="000A2D0D"/>
    <w:rsid w:val="000A2F3A"/>
    <w:rsid w:val="000A2F77"/>
    <w:rsid w:val="000A2FA8"/>
    <w:rsid w:val="000A33EE"/>
    <w:rsid w:val="000A34F0"/>
    <w:rsid w:val="000A3A83"/>
    <w:rsid w:val="000A3B13"/>
    <w:rsid w:val="000A3EF5"/>
    <w:rsid w:val="000A4032"/>
    <w:rsid w:val="000A40FB"/>
    <w:rsid w:val="000A4300"/>
    <w:rsid w:val="000A4437"/>
    <w:rsid w:val="000A455D"/>
    <w:rsid w:val="000A460F"/>
    <w:rsid w:val="000A468D"/>
    <w:rsid w:val="000A479D"/>
    <w:rsid w:val="000A48AD"/>
    <w:rsid w:val="000A4B55"/>
    <w:rsid w:val="000A4E3E"/>
    <w:rsid w:val="000A4E5E"/>
    <w:rsid w:val="000A5010"/>
    <w:rsid w:val="000A5222"/>
    <w:rsid w:val="000A52CC"/>
    <w:rsid w:val="000A563F"/>
    <w:rsid w:val="000A571E"/>
    <w:rsid w:val="000A5769"/>
    <w:rsid w:val="000A577C"/>
    <w:rsid w:val="000A5904"/>
    <w:rsid w:val="000A5C5F"/>
    <w:rsid w:val="000A5D49"/>
    <w:rsid w:val="000A6038"/>
    <w:rsid w:val="000A65EA"/>
    <w:rsid w:val="000A66DE"/>
    <w:rsid w:val="000A686A"/>
    <w:rsid w:val="000A69DD"/>
    <w:rsid w:val="000A6A79"/>
    <w:rsid w:val="000A6BF2"/>
    <w:rsid w:val="000A6C1A"/>
    <w:rsid w:val="000A6CE4"/>
    <w:rsid w:val="000A6E26"/>
    <w:rsid w:val="000A6E46"/>
    <w:rsid w:val="000A710E"/>
    <w:rsid w:val="000A7172"/>
    <w:rsid w:val="000A7726"/>
    <w:rsid w:val="000A7863"/>
    <w:rsid w:val="000A7888"/>
    <w:rsid w:val="000A7890"/>
    <w:rsid w:val="000A7968"/>
    <w:rsid w:val="000A79E2"/>
    <w:rsid w:val="000A79FD"/>
    <w:rsid w:val="000A7BA0"/>
    <w:rsid w:val="000A7CDA"/>
    <w:rsid w:val="000A7F5B"/>
    <w:rsid w:val="000B00F8"/>
    <w:rsid w:val="000B0685"/>
    <w:rsid w:val="000B06AE"/>
    <w:rsid w:val="000B073C"/>
    <w:rsid w:val="000B09EB"/>
    <w:rsid w:val="000B0B15"/>
    <w:rsid w:val="000B0BC8"/>
    <w:rsid w:val="000B0BCA"/>
    <w:rsid w:val="000B0C6D"/>
    <w:rsid w:val="000B10D4"/>
    <w:rsid w:val="000B1509"/>
    <w:rsid w:val="000B15F8"/>
    <w:rsid w:val="000B176B"/>
    <w:rsid w:val="000B196A"/>
    <w:rsid w:val="000B1A78"/>
    <w:rsid w:val="000B1B2D"/>
    <w:rsid w:val="000B1D82"/>
    <w:rsid w:val="000B1EAF"/>
    <w:rsid w:val="000B1EB6"/>
    <w:rsid w:val="000B1F1E"/>
    <w:rsid w:val="000B2294"/>
    <w:rsid w:val="000B2518"/>
    <w:rsid w:val="000B26C6"/>
    <w:rsid w:val="000B272A"/>
    <w:rsid w:val="000B276C"/>
    <w:rsid w:val="000B287A"/>
    <w:rsid w:val="000B2882"/>
    <w:rsid w:val="000B29E1"/>
    <w:rsid w:val="000B29E5"/>
    <w:rsid w:val="000B2A23"/>
    <w:rsid w:val="000B2BFE"/>
    <w:rsid w:val="000B2CDC"/>
    <w:rsid w:val="000B2D06"/>
    <w:rsid w:val="000B2EE7"/>
    <w:rsid w:val="000B30A2"/>
    <w:rsid w:val="000B3260"/>
    <w:rsid w:val="000B3282"/>
    <w:rsid w:val="000B3391"/>
    <w:rsid w:val="000B343F"/>
    <w:rsid w:val="000B390F"/>
    <w:rsid w:val="000B3B6D"/>
    <w:rsid w:val="000B3C2D"/>
    <w:rsid w:val="000B3DBE"/>
    <w:rsid w:val="000B3DE0"/>
    <w:rsid w:val="000B3DF2"/>
    <w:rsid w:val="000B3F75"/>
    <w:rsid w:val="000B42F7"/>
    <w:rsid w:val="000B4680"/>
    <w:rsid w:val="000B474B"/>
    <w:rsid w:val="000B4B54"/>
    <w:rsid w:val="000B4CB2"/>
    <w:rsid w:val="000B4FE1"/>
    <w:rsid w:val="000B4FF3"/>
    <w:rsid w:val="000B539D"/>
    <w:rsid w:val="000B53C8"/>
    <w:rsid w:val="000B5419"/>
    <w:rsid w:val="000B54BB"/>
    <w:rsid w:val="000B575F"/>
    <w:rsid w:val="000B5933"/>
    <w:rsid w:val="000B5C9D"/>
    <w:rsid w:val="000B5E9F"/>
    <w:rsid w:val="000B5EA0"/>
    <w:rsid w:val="000B63FE"/>
    <w:rsid w:val="000B6AD0"/>
    <w:rsid w:val="000B6E80"/>
    <w:rsid w:val="000B6FB5"/>
    <w:rsid w:val="000B7671"/>
    <w:rsid w:val="000B77E7"/>
    <w:rsid w:val="000B7B98"/>
    <w:rsid w:val="000B7C42"/>
    <w:rsid w:val="000B7D5E"/>
    <w:rsid w:val="000B7DE9"/>
    <w:rsid w:val="000B7E0A"/>
    <w:rsid w:val="000B7E68"/>
    <w:rsid w:val="000C0166"/>
    <w:rsid w:val="000C020F"/>
    <w:rsid w:val="000C02E6"/>
    <w:rsid w:val="000C0347"/>
    <w:rsid w:val="000C0475"/>
    <w:rsid w:val="000C082B"/>
    <w:rsid w:val="000C0A34"/>
    <w:rsid w:val="000C0C23"/>
    <w:rsid w:val="000C0D24"/>
    <w:rsid w:val="000C0E46"/>
    <w:rsid w:val="000C10C1"/>
    <w:rsid w:val="000C1ACF"/>
    <w:rsid w:val="000C1B09"/>
    <w:rsid w:val="000C1BEE"/>
    <w:rsid w:val="000C1C52"/>
    <w:rsid w:val="000C2111"/>
    <w:rsid w:val="000C226C"/>
    <w:rsid w:val="000C2649"/>
    <w:rsid w:val="000C26AD"/>
    <w:rsid w:val="000C26EC"/>
    <w:rsid w:val="000C2987"/>
    <w:rsid w:val="000C2A90"/>
    <w:rsid w:val="000C2BAA"/>
    <w:rsid w:val="000C3015"/>
    <w:rsid w:val="000C341B"/>
    <w:rsid w:val="000C3618"/>
    <w:rsid w:val="000C38D5"/>
    <w:rsid w:val="000C39E4"/>
    <w:rsid w:val="000C3CC2"/>
    <w:rsid w:val="000C3DEB"/>
    <w:rsid w:val="000C43E1"/>
    <w:rsid w:val="000C43EB"/>
    <w:rsid w:val="000C4639"/>
    <w:rsid w:val="000C4679"/>
    <w:rsid w:val="000C4686"/>
    <w:rsid w:val="000C4741"/>
    <w:rsid w:val="000C49C3"/>
    <w:rsid w:val="000C4CB3"/>
    <w:rsid w:val="000C4DA7"/>
    <w:rsid w:val="000C51A8"/>
    <w:rsid w:val="000C5741"/>
    <w:rsid w:val="000C5789"/>
    <w:rsid w:val="000C5ACB"/>
    <w:rsid w:val="000C5C32"/>
    <w:rsid w:val="000C5D51"/>
    <w:rsid w:val="000C6108"/>
    <w:rsid w:val="000C63FA"/>
    <w:rsid w:val="000C6905"/>
    <w:rsid w:val="000C6EB0"/>
    <w:rsid w:val="000C72CD"/>
    <w:rsid w:val="000C7600"/>
    <w:rsid w:val="000C7991"/>
    <w:rsid w:val="000D0079"/>
    <w:rsid w:val="000D020A"/>
    <w:rsid w:val="000D04F2"/>
    <w:rsid w:val="000D06B3"/>
    <w:rsid w:val="000D0865"/>
    <w:rsid w:val="000D0866"/>
    <w:rsid w:val="000D0CF2"/>
    <w:rsid w:val="000D0CFD"/>
    <w:rsid w:val="000D0DB3"/>
    <w:rsid w:val="000D0E02"/>
    <w:rsid w:val="000D0F9C"/>
    <w:rsid w:val="000D0FD9"/>
    <w:rsid w:val="000D12C0"/>
    <w:rsid w:val="000D1396"/>
    <w:rsid w:val="000D155C"/>
    <w:rsid w:val="000D1862"/>
    <w:rsid w:val="000D18E2"/>
    <w:rsid w:val="000D1B7C"/>
    <w:rsid w:val="000D1C3E"/>
    <w:rsid w:val="000D2071"/>
    <w:rsid w:val="000D2281"/>
    <w:rsid w:val="000D2446"/>
    <w:rsid w:val="000D25EB"/>
    <w:rsid w:val="000D25EE"/>
    <w:rsid w:val="000D26FF"/>
    <w:rsid w:val="000D2751"/>
    <w:rsid w:val="000D2B37"/>
    <w:rsid w:val="000D2C40"/>
    <w:rsid w:val="000D2D50"/>
    <w:rsid w:val="000D2E05"/>
    <w:rsid w:val="000D31DF"/>
    <w:rsid w:val="000D3580"/>
    <w:rsid w:val="000D38DB"/>
    <w:rsid w:val="000D3AA8"/>
    <w:rsid w:val="000D3C97"/>
    <w:rsid w:val="000D3CA3"/>
    <w:rsid w:val="000D3D29"/>
    <w:rsid w:val="000D40F8"/>
    <w:rsid w:val="000D4305"/>
    <w:rsid w:val="000D445D"/>
    <w:rsid w:val="000D44C3"/>
    <w:rsid w:val="000D48BC"/>
    <w:rsid w:val="000D48E3"/>
    <w:rsid w:val="000D4B81"/>
    <w:rsid w:val="000D4C7E"/>
    <w:rsid w:val="000D4C81"/>
    <w:rsid w:val="000D4E23"/>
    <w:rsid w:val="000D4EC6"/>
    <w:rsid w:val="000D50A2"/>
    <w:rsid w:val="000D5241"/>
    <w:rsid w:val="000D5244"/>
    <w:rsid w:val="000D5425"/>
    <w:rsid w:val="000D55B1"/>
    <w:rsid w:val="000D5A45"/>
    <w:rsid w:val="000D5B5C"/>
    <w:rsid w:val="000D5CB5"/>
    <w:rsid w:val="000D5DE1"/>
    <w:rsid w:val="000D5E82"/>
    <w:rsid w:val="000D5F8B"/>
    <w:rsid w:val="000D5FC1"/>
    <w:rsid w:val="000D5FFB"/>
    <w:rsid w:val="000D62A6"/>
    <w:rsid w:val="000D648A"/>
    <w:rsid w:val="000D65D4"/>
    <w:rsid w:val="000D6837"/>
    <w:rsid w:val="000D6933"/>
    <w:rsid w:val="000D6B27"/>
    <w:rsid w:val="000D6B93"/>
    <w:rsid w:val="000D6C1C"/>
    <w:rsid w:val="000D6D34"/>
    <w:rsid w:val="000D6EAF"/>
    <w:rsid w:val="000D7040"/>
    <w:rsid w:val="000D7121"/>
    <w:rsid w:val="000D7156"/>
    <w:rsid w:val="000D71B5"/>
    <w:rsid w:val="000D7350"/>
    <w:rsid w:val="000D73C5"/>
    <w:rsid w:val="000D74BF"/>
    <w:rsid w:val="000D7644"/>
    <w:rsid w:val="000D7884"/>
    <w:rsid w:val="000D7927"/>
    <w:rsid w:val="000D7BD6"/>
    <w:rsid w:val="000D7FCF"/>
    <w:rsid w:val="000E00A2"/>
    <w:rsid w:val="000E0249"/>
    <w:rsid w:val="000E0276"/>
    <w:rsid w:val="000E0668"/>
    <w:rsid w:val="000E07C1"/>
    <w:rsid w:val="000E084D"/>
    <w:rsid w:val="000E0ADF"/>
    <w:rsid w:val="000E0AFF"/>
    <w:rsid w:val="000E0F7C"/>
    <w:rsid w:val="000E0FCC"/>
    <w:rsid w:val="000E1185"/>
    <w:rsid w:val="000E121A"/>
    <w:rsid w:val="000E1260"/>
    <w:rsid w:val="000E134C"/>
    <w:rsid w:val="000E1395"/>
    <w:rsid w:val="000E19F5"/>
    <w:rsid w:val="000E1A91"/>
    <w:rsid w:val="000E1C08"/>
    <w:rsid w:val="000E2675"/>
    <w:rsid w:val="000E2752"/>
    <w:rsid w:val="000E2A8C"/>
    <w:rsid w:val="000E2B12"/>
    <w:rsid w:val="000E2DB8"/>
    <w:rsid w:val="000E2E3E"/>
    <w:rsid w:val="000E3267"/>
    <w:rsid w:val="000E3356"/>
    <w:rsid w:val="000E340C"/>
    <w:rsid w:val="000E346D"/>
    <w:rsid w:val="000E388F"/>
    <w:rsid w:val="000E3A00"/>
    <w:rsid w:val="000E3AA9"/>
    <w:rsid w:val="000E3B73"/>
    <w:rsid w:val="000E3DF1"/>
    <w:rsid w:val="000E40FE"/>
    <w:rsid w:val="000E41BC"/>
    <w:rsid w:val="000E4572"/>
    <w:rsid w:val="000E4599"/>
    <w:rsid w:val="000E46DF"/>
    <w:rsid w:val="000E4864"/>
    <w:rsid w:val="000E49E4"/>
    <w:rsid w:val="000E4AA0"/>
    <w:rsid w:val="000E4B25"/>
    <w:rsid w:val="000E4E3E"/>
    <w:rsid w:val="000E5398"/>
    <w:rsid w:val="000E543F"/>
    <w:rsid w:val="000E5471"/>
    <w:rsid w:val="000E5527"/>
    <w:rsid w:val="000E56D7"/>
    <w:rsid w:val="000E58A4"/>
    <w:rsid w:val="000E58E9"/>
    <w:rsid w:val="000E59F3"/>
    <w:rsid w:val="000E5A61"/>
    <w:rsid w:val="000E5AEB"/>
    <w:rsid w:val="000E5B5C"/>
    <w:rsid w:val="000E5D60"/>
    <w:rsid w:val="000E5F49"/>
    <w:rsid w:val="000E5F8F"/>
    <w:rsid w:val="000E62CF"/>
    <w:rsid w:val="000E65A5"/>
    <w:rsid w:val="000E6798"/>
    <w:rsid w:val="000E67E2"/>
    <w:rsid w:val="000E6893"/>
    <w:rsid w:val="000E6923"/>
    <w:rsid w:val="000E69C5"/>
    <w:rsid w:val="000E6BB6"/>
    <w:rsid w:val="000E6BBF"/>
    <w:rsid w:val="000E703D"/>
    <w:rsid w:val="000E70A2"/>
    <w:rsid w:val="000E72F6"/>
    <w:rsid w:val="000E739D"/>
    <w:rsid w:val="000E7513"/>
    <w:rsid w:val="000E7790"/>
    <w:rsid w:val="000E77DD"/>
    <w:rsid w:val="000E78F8"/>
    <w:rsid w:val="000E7938"/>
    <w:rsid w:val="000E79AB"/>
    <w:rsid w:val="000E7A57"/>
    <w:rsid w:val="000E7E45"/>
    <w:rsid w:val="000E7EA9"/>
    <w:rsid w:val="000E7F36"/>
    <w:rsid w:val="000E7F71"/>
    <w:rsid w:val="000F004C"/>
    <w:rsid w:val="000F00D8"/>
    <w:rsid w:val="000F0355"/>
    <w:rsid w:val="000F0429"/>
    <w:rsid w:val="000F0828"/>
    <w:rsid w:val="000F097B"/>
    <w:rsid w:val="000F0BB9"/>
    <w:rsid w:val="000F0E92"/>
    <w:rsid w:val="000F102F"/>
    <w:rsid w:val="000F12D6"/>
    <w:rsid w:val="000F1377"/>
    <w:rsid w:val="000F1643"/>
    <w:rsid w:val="000F1666"/>
    <w:rsid w:val="000F169C"/>
    <w:rsid w:val="000F171D"/>
    <w:rsid w:val="000F1767"/>
    <w:rsid w:val="000F1823"/>
    <w:rsid w:val="000F1970"/>
    <w:rsid w:val="000F1AF1"/>
    <w:rsid w:val="000F1B62"/>
    <w:rsid w:val="000F1E21"/>
    <w:rsid w:val="000F218F"/>
    <w:rsid w:val="000F2194"/>
    <w:rsid w:val="000F2292"/>
    <w:rsid w:val="000F24B3"/>
    <w:rsid w:val="000F27CB"/>
    <w:rsid w:val="000F280E"/>
    <w:rsid w:val="000F2886"/>
    <w:rsid w:val="000F29A6"/>
    <w:rsid w:val="000F2B3E"/>
    <w:rsid w:val="000F2D55"/>
    <w:rsid w:val="000F2DF2"/>
    <w:rsid w:val="000F2FA0"/>
    <w:rsid w:val="000F3120"/>
    <w:rsid w:val="000F3153"/>
    <w:rsid w:val="000F3536"/>
    <w:rsid w:val="000F374C"/>
    <w:rsid w:val="000F3B4D"/>
    <w:rsid w:val="000F3B5A"/>
    <w:rsid w:val="000F3CF4"/>
    <w:rsid w:val="000F3D38"/>
    <w:rsid w:val="000F3D91"/>
    <w:rsid w:val="000F3D9F"/>
    <w:rsid w:val="000F3F57"/>
    <w:rsid w:val="000F41CD"/>
    <w:rsid w:val="000F4364"/>
    <w:rsid w:val="000F44D6"/>
    <w:rsid w:val="000F4551"/>
    <w:rsid w:val="000F46B9"/>
    <w:rsid w:val="000F4C9D"/>
    <w:rsid w:val="000F4D40"/>
    <w:rsid w:val="000F4F49"/>
    <w:rsid w:val="000F50ED"/>
    <w:rsid w:val="000F52D9"/>
    <w:rsid w:val="000F52DB"/>
    <w:rsid w:val="000F5355"/>
    <w:rsid w:val="000F55E7"/>
    <w:rsid w:val="000F56AD"/>
    <w:rsid w:val="000F5841"/>
    <w:rsid w:val="000F59C6"/>
    <w:rsid w:val="000F5BA0"/>
    <w:rsid w:val="000F5D7F"/>
    <w:rsid w:val="000F5E5F"/>
    <w:rsid w:val="000F5FF8"/>
    <w:rsid w:val="000F6102"/>
    <w:rsid w:val="000F65C9"/>
    <w:rsid w:val="000F6615"/>
    <w:rsid w:val="000F66ED"/>
    <w:rsid w:val="000F68C0"/>
    <w:rsid w:val="000F691C"/>
    <w:rsid w:val="000F6AE6"/>
    <w:rsid w:val="000F6BE2"/>
    <w:rsid w:val="000F6D14"/>
    <w:rsid w:val="000F6E42"/>
    <w:rsid w:val="000F6E72"/>
    <w:rsid w:val="000F6EA0"/>
    <w:rsid w:val="000F6F66"/>
    <w:rsid w:val="000F70A2"/>
    <w:rsid w:val="000F70B2"/>
    <w:rsid w:val="000F72ED"/>
    <w:rsid w:val="000F731E"/>
    <w:rsid w:val="000F7575"/>
    <w:rsid w:val="000F757E"/>
    <w:rsid w:val="000F79C9"/>
    <w:rsid w:val="000F7AF7"/>
    <w:rsid w:val="000F7C18"/>
    <w:rsid w:val="0010028C"/>
    <w:rsid w:val="00100343"/>
    <w:rsid w:val="001004D2"/>
    <w:rsid w:val="00100500"/>
    <w:rsid w:val="001005A1"/>
    <w:rsid w:val="001006BF"/>
    <w:rsid w:val="001006CF"/>
    <w:rsid w:val="00100C6E"/>
    <w:rsid w:val="00100DF5"/>
    <w:rsid w:val="00100E65"/>
    <w:rsid w:val="00100F31"/>
    <w:rsid w:val="001010BE"/>
    <w:rsid w:val="0010118E"/>
    <w:rsid w:val="001011AC"/>
    <w:rsid w:val="0010138D"/>
    <w:rsid w:val="001013BD"/>
    <w:rsid w:val="00101669"/>
    <w:rsid w:val="00101674"/>
    <w:rsid w:val="0010189D"/>
    <w:rsid w:val="0010195F"/>
    <w:rsid w:val="00101A8F"/>
    <w:rsid w:val="00101FFE"/>
    <w:rsid w:val="0010225B"/>
    <w:rsid w:val="0010226F"/>
    <w:rsid w:val="00102496"/>
    <w:rsid w:val="001025C0"/>
    <w:rsid w:val="00102C53"/>
    <w:rsid w:val="00102C65"/>
    <w:rsid w:val="00102FC1"/>
    <w:rsid w:val="0010340C"/>
    <w:rsid w:val="001035D7"/>
    <w:rsid w:val="0010377D"/>
    <w:rsid w:val="001038ED"/>
    <w:rsid w:val="00103AE1"/>
    <w:rsid w:val="00103B32"/>
    <w:rsid w:val="00103CB4"/>
    <w:rsid w:val="00103CE4"/>
    <w:rsid w:val="00103DB1"/>
    <w:rsid w:val="001041A0"/>
    <w:rsid w:val="0010437B"/>
    <w:rsid w:val="00104A93"/>
    <w:rsid w:val="00104BAD"/>
    <w:rsid w:val="00104CBA"/>
    <w:rsid w:val="001059A9"/>
    <w:rsid w:val="00105A8B"/>
    <w:rsid w:val="00105BF9"/>
    <w:rsid w:val="00105CCC"/>
    <w:rsid w:val="00105DCB"/>
    <w:rsid w:val="001062BC"/>
    <w:rsid w:val="00106576"/>
    <w:rsid w:val="001066CE"/>
    <w:rsid w:val="00106A0B"/>
    <w:rsid w:val="00106B31"/>
    <w:rsid w:val="00106B78"/>
    <w:rsid w:val="00106F49"/>
    <w:rsid w:val="00107089"/>
    <w:rsid w:val="001070C4"/>
    <w:rsid w:val="0010718A"/>
    <w:rsid w:val="001072B9"/>
    <w:rsid w:val="00107348"/>
    <w:rsid w:val="00107428"/>
    <w:rsid w:val="0010791D"/>
    <w:rsid w:val="00107967"/>
    <w:rsid w:val="0010799E"/>
    <w:rsid w:val="001079B7"/>
    <w:rsid w:val="00107B2F"/>
    <w:rsid w:val="00107BD1"/>
    <w:rsid w:val="00107C40"/>
    <w:rsid w:val="001101F2"/>
    <w:rsid w:val="00110248"/>
    <w:rsid w:val="00110278"/>
    <w:rsid w:val="001103DF"/>
    <w:rsid w:val="001104C0"/>
    <w:rsid w:val="00110696"/>
    <w:rsid w:val="00110699"/>
    <w:rsid w:val="0011076E"/>
    <w:rsid w:val="0011096A"/>
    <w:rsid w:val="00110BEA"/>
    <w:rsid w:val="00110D66"/>
    <w:rsid w:val="00110EC5"/>
    <w:rsid w:val="00111072"/>
    <w:rsid w:val="001110F5"/>
    <w:rsid w:val="00111113"/>
    <w:rsid w:val="00111232"/>
    <w:rsid w:val="001112DE"/>
    <w:rsid w:val="0011131F"/>
    <w:rsid w:val="00111471"/>
    <w:rsid w:val="0011171B"/>
    <w:rsid w:val="00111ACB"/>
    <w:rsid w:val="00111B64"/>
    <w:rsid w:val="00111EA0"/>
    <w:rsid w:val="00111F92"/>
    <w:rsid w:val="0011200D"/>
    <w:rsid w:val="00112076"/>
    <w:rsid w:val="0011228E"/>
    <w:rsid w:val="001122DC"/>
    <w:rsid w:val="001123DE"/>
    <w:rsid w:val="001123E5"/>
    <w:rsid w:val="00112477"/>
    <w:rsid w:val="001125AE"/>
    <w:rsid w:val="00112A6C"/>
    <w:rsid w:val="00112B8C"/>
    <w:rsid w:val="00112BA4"/>
    <w:rsid w:val="00112E4A"/>
    <w:rsid w:val="00112E92"/>
    <w:rsid w:val="00112E9C"/>
    <w:rsid w:val="00112FEF"/>
    <w:rsid w:val="00113143"/>
    <w:rsid w:val="00113159"/>
    <w:rsid w:val="001131DB"/>
    <w:rsid w:val="0011342D"/>
    <w:rsid w:val="00113599"/>
    <w:rsid w:val="00113746"/>
    <w:rsid w:val="001137DA"/>
    <w:rsid w:val="001137FE"/>
    <w:rsid w:val="00113A13"/>
    <w:rsid w:val="00113E31"/>
    <w:rsid w:val="00114557"/>
    <w:rsid w:val="001146CE"/>
    <w:rsid w:val="00114988"/>
    <w:rsid w:val="001149BA"/>
    <w:rsid w:val="00114AF6"/>
    <w:rsid w:val="00114D5E"/>
    <w:rsid w:val="00114E45"/>
    <w:rsid w:val="00114FBE"/>
    <w:rsid w:val="0011501E"/>
    <w:rsid w:val="0011514C"/>
    <w:rsid w:val="0011527B"/>
    <w:rsid w:val="00115476"/>
    <w:rsid w:val="00115522"/>
    <w:rsid w:val="00115719"/>
    <w:rsid w:val="00115989"/>
    <w:rsid w:val="00115B32"/>
    <w:rsid w:val="00115C55"/>
    <w:rsid w:val="00115CC1"/>
    <w:rsid w:val="001161BA"/>
    <w:rsid w:val="00116249"/>
    <w:rsid w:val="0011626C"/>
    <w:rsid w:val="001164B3"/>
    <w:rsid w:val="001165FB"/>
    <w:rsid w:val="00116634"/>
    <w:rsid w:val="0011663C"/>
    <w:rsid w:val="00116826"/>
    <w:rsid w:val="00116940"/>
    <w:rsid w:val="00116A4D"/>
    <w:rsid w:val="00116A57"/>
    <w:rsid w:val="00116AC7"/>
    <w:rsid w:val="00116C07"/>
    <w:rsid w:val="00116C1C"/>
    <w:rsid w:val="00116F09"/>
    <w:rsid w:val="0011705F"/>
    <w:rsid w:val="00117088"/>
    <w:rsid w:val="00117089"/>
    <w:rsid w:val="00117705"/>
    <w:rsid w:val="0011775F"/>
    <w:rsid w:val="001177EA"/>
    <w:rsid w:val="00117A02"/>
    <w:rsid w:val="00117CE4"/>
    <w:rsid w:val="00117D0D"/>
    <w:rsid w:val="00117F83"/>
    <w:rsid w:val="00120038"/>
    <w:rsid w:val="001200C9"/>
    <w:rsid w:val="00120197"/>
    <w:rsid w:val="0012022A"/>
    <w:rsid w:val="001202DB"/>
    <w:rsid w:val="0012033A"/>
    <w:rsid w:val="0012041F"/>
    <w:rsid w:val="00120527"/>
    <w:rsid w:val="0012096E"/>
    <w:rsid w:val="00120C99"/>
    <w:rsid w:val="0012106B"/>
    <w:rsid w:val="0012123D"/>
    <w:rsid w:val="001213B9"/>
    <w:rsid w:val="00121639"/>
    <w:rsid w:val="001219F7"/>
    <w:rsid w:val="00121B61"/>
    <w:rsid w:val="00121B96"/>
    <w:rsid w:val="00121BA3"/>
    <w:rsid w:val="001220E5"/>
    <w:rsid w:val="0012225F"/>
    <w:rsid w:val="0012237B"/>
    <w:rsid w:val="001223AF"/>
    <w:rsid w:val="001223BC"/>
    <w:rsid w:val="00122910"/>
    <w:rsid w:val="00122EEB"/>
    <w:rsid w:val="0012302D"/>
    <w:rsid w:val="00123072"/>
    <w:rsid w:val="00123081"/>
    <w:rsid w:val="00123211"/>
    <w:rsid w:val="00123275"/>
    <w:rsid w:val="00123A3B"/>
    <w:rsid w:val="00123A55"/>
    <w:rsid w:val="00123D8C"/>
    <w:rsid w:val="00123FB3"/>
    <w:rsid w:val="001241F6"/>
    <w:rsid w:val="001242F5"/>
    <w:rsid w:val="001246FF"/>
    <w:rsid w:val="001247B1"/>
    <w:rsid w:val="0012488B"/>
    <w:rsid w:val="00124CCC"/>
    <w:rsid w:val="00125085"/>
    <w:rsid w:val="001250B9"/>
    <w:rsid w:val="001250C7"/>
    <w:rsid w:val="0012512D"/>
    <w:rsid w:val="00125226"/>
    <w:rsid w:val="0012581F"/>
    <w:rsid w:val="00125B4E"/>
    <w:rsid w:val="00125C30"/>
    <w:rsid w:val="00125C92"/>
    <w:rsid w:val="00125D81"/>
    <w:rsid w:val="00125D8B"/>
    <w:rsid w:val="00125DAD"/>
    <w:rsid w:val="00126193"/>
    <w:rsid w:val="0012649E"/>
    <w:rsid w:val="001264D4"/>
    <w:rsid w:val="001265CB"/>
    <w:rsid w:val="001265F2"/>
    <w:rsid w:val="0012677E"/>
    <w:rsid w:val="00126903"/>
    <w:rsid w:val="00126941"/>
    <w:rsid w:val="00126ACD"/>
    <w:rsid w:val="00126C27"/>
    <w:rsid w:val="00126D82"/>
    <w:rsid w:val="001270A9"/>
    <w:rsid w:val="00127371"/>
    <w:rsid w:val="001273A1"/>
    <w:rsid w:val="00127A0B"/>
    <w:rsid w:val="00127BD1"/>
    <w:rsid w:val="00127C1C"/>
    <w:rsid w:val="00127F97"/>
    <w:rsid w:val="00130196"/>
    <w:rsid w:val="0013038D"/>
    <w:rsid w:val="0013042F"/>
    <w:rsid w:val="00130464"/>
    <w:rsid w:val="0013091E"/>
    <w:rsid w:val="00130B09"/>
    <w:rsid w:val="00130EDA"/>
    <w:rsid w:val="001310A5"/>
    <w:rsid w:val="00131262"/>
    <w:rsid w:val="001312E7"/>
    <w:rsid w:val="0013135A"/>
    <w:rsid w:val="00131584"/>
    <w:rsid w:val="0013184F"/>
    <w:rsid w:val="001318C8"/>
    <w:rsid w:val="00131B6A"/>
    <w:rsid w:val="00131C75"/>
    <w:rsid w:val="00131ECC"/>
    <w:rsid w:val="00131EF6"/>
    <w:rsid w:val="00132018"/>
    <w:rsid w:val="001320D5"/>
    <w:rsid w:val="0013214E"/>
    <w:rsid w:val="00132195"/>
    <w:rsid w:val="001322B7"/>
    <w:rsid w:val="00132617"/>
    <w:rsid w:val="00132834"/>
    <w:rsid w:val="00132B2D"/>
    <w:rsid w:val="00132B7F"/>
    <w:rsid w:val="00132DC6"/>
    <w:rsid w:val="001331DC"/>
    <w:rsid w:val="00133337"/>
    <w:rsid w:val="00133507"/>
    <w:rsid w:val="001338E4"/>
    <w:rsid w:val="00133A5B"/>
    <w:rsid w:val="00133E3E"/>
    <w:rsid w:val="00133EC9"/>
    <w:rsid w:val="00134165"/>
    <w:rsid w:val="0013416F"/>
    <w:rsid w:val="00134262"/>
    <w:rsid w:val="001345AE"/>
    <w:rsid w:val="00134785"/>
    <w:rsid w:val="00134937"/>
    <w:rsid w:val="001349E4"/>
    <w:rsid w:val="00134C7D"/>
    <w:rsid w:val="00134CAE"/>
    <w:rsid w:val="00134D0E"/>
    <w:rsid w:val="00134D10"/>
    <w:rsid w:val="00134D14"/>
    <w:rsid w:val="0013566A"/>
    <w:rsid w:val="0013569F"/>
    <w:rsid w:val="00135C10"/>
    <w:rsid w:val="001360C8"/>
    <w:rsid w:val="001360E6"/>
    <w:rsid w:val="001361E0"/>
    <w:rsid w:val="001363CE"/>
    <w:rsid w:val="00136492"/>
    <w:rsid w:val="001364CF"/>
    <w:rsid w:val="0013677A"/>
    <w:rsid w:val="00136855"/>
    <w:rsid w:val="001368CF"/>
    <w:rsid w:val="0013693F"/>
    <w:rsid w:val="00136A96"/>
    <w:rsid w:val="00136BB0"/>
    <w:rsid w:val="00137042"/>
    <w:rsid w:val="00137241"/>
    <w:rsid w:val="0013728B"/>
    <w:rsid w:val="001379DA"/>
    <w:rsid w:val="00137AE0"/>
    <w:rsid w:val="00137D73"/>
    <w:rsid w:val="00140126"/>
    <w:rsid w:val="00140161"/>
    <w:rsid w:val="001405B8"/>
    <w:rsid w:val="001407D1"/>
    <w:rsid w:val="00140917"/>
    <w:rsid w:val="00140A6D"/>
    <w:rsid w:val="00140A78"/>
    <w:rsid w:val="00140B83"/>
    <w:rsid w:val="00140C19"/>
    <w:rsid w:val="00140F36"/>
    <w:rsid w:val="0014104B"/>
    <w:rsid w:val="00141074"/>
    <w:rsid w:val="001413B5"/>
    <w:rsid w:val="00141B88"/>
    <w:rsid w:val="00141C71"/>
    <w:rsid w:val="0014218C"/>
    <w:rsid w:val="001421B1"/>
    <w:rsid w:val="001422A8"/>
    <w:rsid w:val="001423E8"/>
    <w:rsid w:val="00142546"/>
    <w:rsid w:val="00142593"/>
    <w:rsid w:val="001426EB"/>
    <w:rsid w:val="00142852"/>
    <w:rsid w:val="00142962"/>
    <w:rsid w:val="00142A35"/>
    <w:rsid w:val="00142C03"/>
    <w:rsid w:val="00142CDF"/>
    <w:rsid w:val="00142D39"/>
    <w:rsid w:val="00142E32"/>
    <w:rsid w:val="00143226"/>
    <w:rsid w:val="001432F2"/>
    <w:rsid w:val="0014332E"/>
    <w:rsid w:val="0014344A"/>
    <w:rsid w:val="00143467"/>
    <w:rsid w:val="00143710"/>
    <w:rsid w:val="0014381A"/>
    <w:rsid w:val="00143B18"/>
    <w:rsid w:val="00143BAA"/>
    <w:rsid w:val="00143CE0"/>
    <w:rsid w:val="00143E18"/>
    <w:rsid w:val="00143E20"/>
    <w:rsid w:val="001440A0"/>
    <w:rsid w:val="00144401"/>
    <w:rsid w:val="001445E1"/>
    <w:rsid w:val="00144798"/>
    <w:rsid w:val="001447DF"/>
    <w:rsid w:val="00144AFB"/>
    <w:rsid w:val="00144B5E"/>
    <w:rsid w:val="00144BCE"/>
    <w:rsid w:val="00144C82"/>
    <w:rsid w:val="00144E24"/>
    <w:rsid w:val="001451D1"/>
    <w:rsid w:val="00145215"/>
    <w:rsid w:val="001452C8"/>
    <w:rsid w:val="0014535D"/>
    <w:rsid w:val="00145441"/>
    <w:rsid w:val="001455F5"/>
    <w:rsid w:val="0014573F"/>
    <w:rsid w:val="0014579A"/>
    <w:rsid w:val="00145A5B"/>
    <w:rsid w:val="00145BBB"/>
    <w:rsid w:val="00145C6B"/>
    <w:rsid w:val="00145EF1"/>
    <w:rsid w:val="001462B2"/>
    <w:rsid w:val="0014630E"/>
    <w:rsid w:val="001464CB"/>
    <w:rsid w:val="0014681E"/>
    <w:rsid w:val="00146B37"/>
    <w:rsid w:val="00146C88"/>
    <w:rsid w:val="00146C8B"/>
    <w:rsid w:val="00146F40"/>
    <w:rsid w:val="00147123"/>
    <w:rsid w:val="001471E2"/>
    <w:rsid w:val="00147219"/>
    <w:rsid w:val="00147364"/>
    <w:rsid w:val="00147417"/>
    <w:rsid w:val="00147584"/>
    <w:rsid w:val="001475CE"/>
    <w:rsid w:val="00147B68"/>
    <w:rsid w:val="00147F58"/>
    <w:rsid w:val="00150506"/>
    <w:rsid w:val="0015056D"/>
    <w:rsid w:val="00150635"/>
    <w:rsid w:val="00150683"/>
    <w:rsid w:val="00150845"/>
    <w:rsid w:val="00150847"/>
    <w:rsid w:val="00150985"/>
    <w:rsid w:val="00150ACF"/>
    <w:rsid w:val="00150CAD"/>
    <w:rsid w:val="00151198"/>
    <w:rsid w:val="00151524"/>
    <w:rsid w:val="001517FF"/>
    <w:rsid w:val="00151A19"/>
    <w:rsid w:val="00151D0C"/>
    <w:rsid w:val="00151D26"/>
    <w:rsid w:val="001520C4"/>
    <w:rsid w:val="00152242"/>
    <w:rsid w:val="001523B2"/>
    <w:rsid w:val="0015250A"/>
    <w:rsid w:val="001525DB"/>
    <w:rsid w:val="0015261D"/>
    <w:rsid w:val="00152A6C"/>
    <w:rsid w:val="00152F7A"/>
    <w:rsid w:val="0015329B"/>
    <w:rsid w:val="00153436"/>
    <w:rsid w:val="001535C1"/>
    <w:rsid w:val="00153651"/>
    <w:rsid w:val="0015380E"/>
    <w:rsid w:val="00153BE4"/>
    <w:rsid w:val="00153DEF"/>
    <w:rsid w:val="001544B1"/>
    <w:rsid w:val="001544B2"/>
    <w:rsid w:val="00154629"/>
    <w:rsid w:val="00154693"/>
    <w:rsid w:val="0015479F"/>
    <w:rsid w:val="0015480D"/>
    <w:rsid w:val="001548C5"/>
    <w:rsid w:val="00154A9C"/>
    <w:rsid w:val="00154C44"/>
    <w:rsid w:val="00154DDE"/>
    <w:rsid w:val="00154F2E"/>
    <w:rsid w:val="00154FCC"/>
    <w:rsid w:val="00154FE0"/>
    <w:rsid w:val="0015508B"/>
    <w:rsid w:val="00155565"/>
    <w:rsid w:val="001555DA"/>
    <w:rsid w:val="00155639"/>
    <w:rsid w:val="00155686"/>
    <w:rsid w:val="0015579F"/>
    <w:rsid w:val="00155922"/>
    <w:rsid w:val="00155969"/>
    <w:rsid w:val="00155F0E"/>
    <w:rsid w:val="00156070"/>
    <w:rsid w:val="001565DA"/>
    <w:rsid w:val="001568C1"/>
    <w:rsid w:val="00156936"/>
    <w:rsid w:val="001569F8"/>
    <w:rsid w:val="001571AC"/>
    <w:rsid w:val="001572AA"/>
    <w:rsid w:val="00157394"/>
    <w:rsid w:val="00157620"/>
    <w:rsid w:val="001578E5"/>
    <w:rsid w:val="00157900"/>
    <w:rsid w:val="00157ACF"/>
    <w:rsid w:val="00157E88"/>
    <w:rsid w:val="00157ECD"/>
    <w:rsid w:val="00157F03"/>
    <w:rsid w:val="00160212"/>
    <w:rsid w:val="001603F4"/>
    <w:rsid w:val="001604AF"/>
    <w:rsid w:val="0016070A"/>
    <w:rsid w:val="00160923"/>
    <w:rsid w:val="00160940"/>
    <w:rsid w:val="00160C43"/>
    <w:rsid w:val="00160D55"/>
    <w:rsid w:val="00161125"/>
    <w:rsid w:val="00161147"/>
    <w:rsid w:val="00161181"/>
    <w:rsid w:val="001611D0"/>
    <w:rsid w:val="0016130C"/>
    <w:rsid w:val="0016144D"/>
    <w:rsid w:val="001614DB"/>
    <w:rsid w:val="00161500"/>
    <w:rsid w:val="001617E5"/>
    <w:rsid w:val="00161957"/>
    <w:rsid w:val="00161B9D"/>
    <w:rsid w:val="00161C7A"/>
    <w:rsid w:val="00161D7A"/>
    <w:rsid w:val="00161E25"/>
    <w:rsid w:val="00161EE0"/>
    <w:rsid w:val="00161FE2"/>
    <w:rsid w:val="001620E8"/>
    <w:rsid w:val="00162259"/>
    <w:rsid w:val="00162473"/>
    <w:rsid w:val="001624C8"/>
    <w:rsid w:val="001626B3"/>
    <w:rsid w:val="00162794"/>
    <w:rsid w:val="00162C50"/>
    <w:rsid w:val="00162C99"/>
    <w:rsid w:val="00162D8E"/>
    <w:rsid w:val="00162F40"/>
    <w:rsid w:val="001631AA"/>
    <w:rsid w:val="001633BC"/>
    <w:rsid w:val="00163725"/>
    <w:rsid w:val="00163A42"/>
    <w:rsid w:val="00163A5D"/>
    <w:rsid w:val="00163BDD"/>
    <w:rsid w:val="00163C0D"/>
    <w:rsid w:val="00163C0E"/>
    <w:rsid w:val="001641A6"/>
    <w:rsid w:val="001641C7"/>
    <w:rsid w:val="00164412"/>
    <w:rsid w:val="00164681"/>
    <w:rsid w:val="001646A5"/>
    <w:rsid w:val="00164961"/>
    <w:rsid w:val="00164997"/>
    <w:rsid w:val="00164BC9"/>
    <w:rsid w:val="00164FCB"/>
    <w:rsid w:val="00165193"/>
    <w:rsid w:val="00165235"/>
    <w:rsid w:val="001654D1"/>
    <w:rsid w:val="0016580E"/>
    <w:rsid w:val="00165D4E"/>
    <w:rsid w:val="00165E7C"/>
    <w:rsid w:val="00165FF3"/>
    <w:rsid w:val="00166386"/>
    <w:rsid w:val="00166576"/>
    <w:rsid w:val="0016680F"/>
    <w:rsid w:val="00166BC4"/>
    <w:rsid w:val="00166C16"/>
    <w:rsid w:val="00166CA1"/>
    <w:rsid w:val="00166F6D"/>
    <w:rsid w:val="001670E2"/>
    <w:rsid w:val="00167114"/>
    <w:rsid w:val="00167292"/>
    <w:rsid w:val="001679A8"/>
    <w:rsid w:val="00167A1F"/>
    <w:rsid w:val="00167AAA"/>
    <w:rsid w:val="00167AF6"/>
    <w:rsid w:val="00167B5C"/>
    <w:rsid w:val="00167CB6"/>
    <w:rsid w:val="00167CE4"/>
    <w:rsid w:val="00167DC3"/>
    <w:rsid w:val="00167FBF"/>
    <w:rsid w:val="00170072"/>
    <w:rsid w:val="001701A0"/>
    <w:rsid w:val="001701B3"/>
    <w:rsid w:val="00170303"/>
    <w:rsid w:val="001703C8"/>
    <w:rsid w:val="001703E6"/>
    <w:rsid w:val="00170DC1"/>
    <w:rsid w:val="001711BC"/>
    <w:rsid w:val="00171226"/>
    <w:rsid w:val="00171296"/>
    <w:rsid w:val="00171688"/>
    <w:rsid w:val="0017172D"/>
    <w:rsid w:val="00171A35"/>
    <w:rsid w:val="00171C55"/>
    <w:rsid w:val="0017226D"/>
    <w:rsid w:val="001723B6"/>
    <w:rsid w:val="001725D3"/>
    <w:rsid w:val="00172691"/>
    <w:rsid w:val="001727C2"/>
    <w:rsid w:val="00172CEE"/>
    <w:rsid w:val="00173120"/>
    <w:rsid w:val="001732A4"/>
    <w:rsid w:val="001735B9"/>
    <w:rsid w:val="001739CD"/>
    <w:rsid w:val="00173B0A"/>
    <w:rsid w:val="00173CE0"/>
    <w:rsid w:val="00173D1C"/>
    <w:rsid w:val="00173D51"/>
    <w:rsid w:val="00173D8F"/>
    <w:rsid w:val="00173FFE"/>
    <w:rsid w:val="001741B7"/>
    <w:rsid w:val="00174316"/>
    <w:rsid w:val="00174965"/>
    <w:rsid w:val="00174AC5"/>
    <w:rsid w:val="00174EA1"/>
    <w:rsid w:val="00175039"/>
    <w:rsid w:val="00175080"/>
    <w:rsid w:val="00175146"/>
    <w:rsid w:val="00175157"/>
    <w:rsid w:val="00175466"/>
    <w:rsid w:val="00175980"/>
    <w:rsid w:val="0017599A"/>
    <w:rsid w:val="00176572"/>
    <w:rsid w:val="0017663C"/>
    <w:rsid w:val="00176930"/>
    <w:rsid w:val="00176B98"/>
    <w:rsid w:val="001771E5"/>
    <w:rsid w:val="001776BD"/>
    <w:rsid w:val="001776D5"/>
    <w:rsid w:val="001778F7"/>
    <w:rsid w:val="001779D0"/>
    <w:rsid w:val="00177A67"/>
    <w:rsid w:val="00177C59"/>
    <w:rsid w:val="00180475"/>
    <w:rsid w:val="001806DF"/>
    <w:rsid w:val="00180734"/>
    <w:rsid w:val="0018099C"/>
    <w:rsid w:val="00180C0B"/>
    <w:rsid w:val="00180CC5"/>
    <w:rsid w:val="00180D37"/>
    <w:rsid w:val="00180EFE"/>
    <w:rsid w:val="0018107B"/>
    <w:rsid w:val="00181630"/>
    <w:rsid w:val="00181678"/>
    <w:rsid w:val="00181B2A"/>
    <w:rsid w:val="00181BEB"/>
    <w:rsid w:val="00181CCA"/>
    <w:rsid w:val="00182202"/>
    <w:rsid w:val="00182357"/>
    <w:rsid w:val="00182358"/>
    <w:rsid w:val="001825D1"/>
    <w:rsid w:val="00182604"/>
    <w:rsid w:val="00182654"/>
    <w:rsid w:val="001827B2"/>
    <w:rsid w:val="00182810"/>
    <w:rsid w:val="00182863"/>
    <w:rsid w:val="001829D6"/>
    <w:rsid w:val="00182AFB"/>
    <w:rsid w:val="00182C29"/>
    <w:rsid w:val="00182E88"/>
    <w:rsid w:val="00182F27"/>
    <w:rsid w:val="00183228"/>
    <w:rsid w:val="001833C3"/>
    <w:rsid w:val="0018355A"/>
    <w:rsid w:val="001835AE"/>
    <w:rsid w:val="001835B4"/>
    <w:rsid w:val="001835C1"/>
    <w:rsid w:val="0018368B"/>
    <w:rsid w:val="001836CC"/>
    <w:rsid w:val="001837F0"/>
    <w:rsid w:val="00183886"/>
    <w:rsid w:val="001839CB"/>
    <w:rsid w:val="001839E6"/>
    <w:rsid w:val="00183AB4"/>
    <w:rsid w:val="00183C02"/>
    <w:rsid w:val="001840EF"/>
    <w:rsid w:val="001841FB"/>
    <w:rsid w:val="001843C2"/>
    <w:rsid w:val="00184630"/>
    <w:rsid w:val="001846CE"/>
    <w:rsid w:val="001848A6"/>
    <w:rsid w:val="00184A9F"/>
    <w:rsid w:val="00184E91"/>
    <w:rsid w:val="00184FED"/>
    <w:rsid w:val="001852D7"/>
    <w:rsid w:val="00185A7A"/>
    <w:rsid w:val="00185E0E"/>
    <w:rsid w:val="00185F6C"/>
    <w:rsid w:val="00186704"/>
    <w:rsid w:val="0018672C"/>
    <w:rsid w:val="00186824"/>
    <w:rsid w:val="001869FC"/>
    <w:rsid w:val="00186C45"/>
    <w:rsid w:val="00186CB0"/>
    <w:rsid w:val="00186E56"/>
    <w:rsid w:val="0018704D"/>
    <w:rsid w:val="00187216"/>
    <w:rsid w:val="00187719"/>
    <w:rsid w:val="0018778D"/>
    <w:rsid w:val="001877A6"/>
    <w:rsid w:val="00187B18"/>
    <w:rsid w:val="00187B91"/>
    <w:rsid w:val="00187C88"/>
    <w:rsid w:val="00190117"/>
    <w:rsid w:val="0019029D"/>
    <w:rsid w:val="001902ED"/>
    <w:rsid w:val="0019054A"/>
    <w:rsid w:val="0019065E"/>
    <w:rsid w:val="0019067D"/>
    <w:rsid w:val="001906D7"/>
    <w:rsid w:val="00190740"/>
    <w:rsid w:val="00190902"/>
    <w:rsid w:val="0019090E"/>
    <w:rsid w:val="00190947"/>
    <w:rsid w:val="0019098E"/>
    <w:rsid w:val="00190C7A"/>
    <w:rsid w:val="00190E17"/>
    <w:rsid w:val="00190EC7"/>
    <w:rsid w:val="00191188"/>
    <w:rsid w:val="0019140E"/>
    <w:rsid w:val="001914B1"/>
    <w:rsid w:val="00191769"/>
    <w:rsid w:val="00191A06"/>
    <w:rsid w:val="00191A97"/>
    <w:rsid w:val="00191AAB"/>
    <w:rsid w:val="00191BBA"/>
    <w:rsid w:val="00191EE5"/>
    <w:rsid w:val="00192502"/>
    <w:rsid w:val="00192611"/>
    <w:rsid w:val="00192640"/>
    <w:rsid w:val="001927B7"/>
    <w:rsid w:val="00192813"/>
    <w:rsid w:val="00192A1E"/>
    <w:rsid w:val="00192F3E"/>
    <w:rsid w:val="00193112"/>
    <w:rsid w:val="0019315A"/>
    <w:rsid w:val="00193263"/>
    <w:rsid w:val="001932DA"/>
    <w:rsid w:val="0019350D"/>
    <w:rsid w:val="00193610"/>
    <w:rsid w:val="00193810"/>
    <w:rsid w:val="00193A46"/>
    <w:rsid w:val="00193C3F"/>
    <w:rsid w:val="00193D40"/>
    <w:rsid w:val="00193DD7"/>
    <w:rsid w:val="00194042"/>
    <w:rsid w:val="00194096"/>
    <w:rsid w:val="001941D6"/>
    <w:rsid w:val="0019453E"/>
    <w:rsid w:val="0019475C"/>
    <w:rsid w:val="0019498A"/>
    <w:rsid w:val="001949BA"/>
    <w:rsid w:val="001949FC"/>
    <w:rsid w:val="00194B1A"/>
    <w:rsid w:val="00194D36"/>
    <w:rsid w:val="00194D80"/>
    <w:rsid w:val="00194F08"/>
    <w:rsid w:val="00195077"/>
    <w:rsid w:val="0019532F"/>
    <w:rsid w:val="001954BE"/>
    <w:rsid w:val="00195ADC"/>
    <w:rsid w:val="00195B0C"/>
    <w:rsid w:val="00195C83"/>
    <w:rsid w:val="00195EA7"/>
    <w:rsid w:val="00195F16"/>
    <w:rsid w:val="001961EE"/>
    <w:rsid w:val="00196355"/>
    <w:rsid w:val="00196419"/>
    <w:rsid w:val="00196724"/>
    <w:rsid w:val="001968F3"/>
    <w:rsid w:val="00196987"/>
    <w:rsid w:val="00196E62"/>
    <w:rsid w:val="001970FB"/>
    <w:rsid w:val="001973CA"/>
    <w:rsid w:val="0019740B"/>
    <w:rsid w:val="001974D6"/>
    <w:rsid w:val="001976E3"/>
    <w:rsid w:val="00197B58"/>
    <w:rsid w:val="001A0078"/>
    <w:rsid w:val="001A0648"/>
    <w:rsid w:val="001A08F8"/>
    <w:rsid w:val="001A091D"/>
    <w:rsid w:val="001A09AF"/>
    <w:rsid w:val="001A0A13"/>
    <w:rsid w:val="001A0C43"/>
    <w:rsid w:val="001A0E47"/>
    <w:rsid w:val="001A1586"/>
    <w:rsid w:val="001A163E"/>
    <w:rsid w:val="001A1A5C"/>
    <w:rsid w:val="001A1A6B"/>
    <w:rsid w:val="001A1BAB"/>
    <w:rsid w:val="001A1CF4"/>
    <w:rsid w:val="001A1D16"/>
    <w:rsid w:val="001A1F76"/>
    <w:rsid w:val="001A20BA"/>
    <w:rsid w:val="001A23F7"/>
    <w:rsid w:val="001A2405"/>
    <w:rsid w:val="001A246B"/>
    <w:rsid w:val="001A264B"/>
    <w:rsid w:val="001A268D"/>
    <w:rsid w:val="001A27BE"/>
    <w:rsid w:val="001A2CBF"/>
    <w:rsid w:val="001A3014"/>
    <w:rsid w:val="001A311B"/>
    <w:rsid w:val="001A32C8"/>
    <w:rsid w:val="001A32D3"/>
    <w:rsid w:val="001A374B"/>
    <w:rsid w:val="001A388D"/>
    <w:rsid w:val="001A38AA"/>
    <w:rsid w:val="001A398B"/>
    <w:rsid w:val="001A3C06"/>
    <w:rsid w:val="001A3E7B"/>
    <w:rsid w:val="001A4389"/>
    <w:rsid w:val="001A4DB8"/>
    <w:rsid w:val="001A4ECC"/>
    <w:rsid w:val="001A51A7"/>
    <w:rsid w:val="001A5257"/>
    <w:rsid w:val="001A55EE"/>
    <w:rsid w:val="001A5642"/>
    <w:rsid w:val="001A57EA"/>
    <w:rsid w:val="001A6007"/>
    <w:rsid w:val="001A611F"/>
    <w:rsid w:val="001A62B2"/>
    <w:rsid w:val="001A6391"/>
    <w:rsid w:val="001A6454"/>
    <w:rsid w:val="001A650B"/>
    <w:rsid w:val="001A67E6"/>
    <w:rsid w:val="001A6800"/>
    <w:rsid w:val="001A6964"/>
    <w:rsid w:val="001A6991"/>
    <w:rsid w:val="001A6AB9"/>
    <w:rsid w:val="001A6FB7"/>
    <w:rsid w:val="001A6FD5"/>
    <w:rsid w:val="001A6FFA"/>
    <w:rsid w:val="001A7143"/>
    <w:rsid w:val="001A7162"/>
    <w:rsid w:val="001A719B"/>
    <w:rsid w:val="001A71AE"/>
    <w:rsid w:val="001A7285"/>
    <w:rsid w:val="001A766B"/>
    <w:rsid w:val="001A77DC"/>
    <w:rsid w:val="001A79BB"/>
    <w:rsid w:val="001A7C1E"/>
    <w:rsid w:val="001A7C7D"/>
    <w:rsid w:val="001A7DE6"/>
    <w:rsid w:val="001B00D3"/>
    <w:rsid w:val="001B0127"/>
    <w:rsid w:val="001B016D"/>
    <w:rsid w:val="001B02C8"/>
    <w:rsid w:val="001B0487"/>
    <w:rsid w:val="001B0845"/>
    <w:rsid w:val="001B086A"/>
    <w:rsid w:val="001B0C75"/>
    <w:rsid w:val="001B0C93"/>
    <w:rsid w:val="001B0F11"/>
    <w:rsid w:val="001B1182"/>
    <w:rsid w:val="001B12F4"/>
    <w:rsid w:val="001B142A"/>
    <w:rsid w:val="001B14D9"/>
    <w:rsid w:val="001B1880"/>
    <w:rsid w:val="001B1928"/>
    <w:rsid w:val="001B196D"/>
    <w:rsid w:val="001B1D1D"/>
    <w:rsid w:val="001B1EED"/>
    <w:rsid w:val="001B236C"/>
    <w:rsid w:val="001B2491"/>
    <w:rsid w:val="001B2525"/>
    <w:rsid w:val="001B2610"/>
    <w:rsid w:val="001B26E0"/>
    <w:rsid w:val="001B2850"/>
    <w:rsid w:val="001B2AFD"/>
    <w:rsid w:val="001B2BBD"/>
    <w:rsid w:val="001B2D5D"/>
    <w:rsid w:val="001B3496"/>
    <w:rsid w:val="001B3584"/>
    <w:rsid w:val="001B3871"/>
    <w:rsid w:val="001B38D8"/>
    <w:rsid w:val="001B3C7B"/>
    <w:rsid w:val="001B3D1D"/>
    <w:rsid w:val="001B3D60"/>
    <w:rsid w:val="001B4022"/>
    <w:rsid w:val="001B4138"/>
    <w:rsid w:val="001B41A1"/>
    <w:rsid w:val="001B43C6"/>
    <w:rsid w:val="001B449F"/>
    <w:rsid w:val="001B44B6"/>
    <w:rsid w:val="001B4560"/>
    <w:rsid w:val="001B45BE"/>
    <w:rsid w:val="001B4A51"/>
    <w:rsid w:val="001B4A91"/>
    <w:rsid w:val="001B4AB3"/>
    <w:rsid w:val="001B4C52"/>
    <w:rsid w:val="001B4D70"/>
    <w:rsid w:val="001B4D76"/>
    <w:rsid w:val="001B4EAD"/>
    <w:rsid w:val="001B4FAF"/>
    <w:rsid w:val="001B4FC8"/>
    <w:rsid w:val="001B522C"/>
    <w:rsid w:val="001B529E"/>
    <w:rsid w:val="001B5706"/>
    <w:rsid w:val="001B596B"/>
    <w:rsid w:val="001B5972"/>
    <w:rsid w:val="001B5B4B"/>
    <w:rsid w:val="001B5C24"/>
    <w:rsid w:val="001B5CF1"/>
    <w:rsid w:val="001B6009"/>
    <w:rsid w:val="001B60AC"/>
    <w:rsid w:val="001B61DD"/>
    <w:rsid w:val="001B6384"/>
    <w:rsid w:val="001B639F"/>
    <w:rsid w:val="001B6505"/>
    <w:rsid w:val="001B66C2"/>
    <w:rsid w:val="001B66DC"/>
    <w:rsid w:val="001B6714"/>
    <w:rsid w:val="001B6A0D"/>
    <w:rsid w:val="001B6A6F"/>
    <w:rsid w:val="001B6B0C"/>
    <w:rsid w:val="001B6B9C"/>
    <w:rsid w:val="001B6C1A"/>
    <w:rsid w:val="001B6EC2"/>
    <w:rsid w:val="001B6FCE"/>
    <w:rsid w:val="001B7090"/>
    <w:rsid w:val="001B7399"/>
    <w:rsid w:val="001B7590"/>
    <w:rsid w:val="001B78C1"/>
    <w:rsid w:val="001B7B54"/>
    <w:rsid w:val="001B7E38"/>
    <w:rsid w:val="001B7F7B"/>
    <w:rsid w:val="001C007F"/>
    <w:rsid w:val="001C015D"/>
    <w:rsid w:val="001C017C"/>
    <w:rsid w:val="001C03B5"/>
    <w:rsid w:val="001C074A"/>
    <w:rsid w:val="001C0AD6"/>
    <w:rsid w:val="001C10F8"/>
    <w:rsid w:val="001C129D"/>
    <w:rsid w:val="001C1416"/>
    <w:rsid w:val="001C184E"/>
    <w:rsid w:val="001C198B"/>
    <w:rsid w:val="001C199E"/>
    <w:rsid w:val="001C1CF9"/>
    <w:rsid w:val="001C1E29"/>
    <w:rsid w:val="001C2227"/>
    <w:rsid w:val="001C249C"/>
    <w:rsid w:val="001C2657"/>
    <w:rsid w:val="001C277B"/>
    <w:rsid w:val="001C2FDE"/>
    <w:rsid w:val="001C362D"/>
    <w:rsid w:val="001C386E"/>
    <w:rsid w:val="001C3896"/>
    <w:rsid w:val="001C391A"/>
    <w:rsid w:val="001C3CC7"/>
    <w:rsid w:val="001C3E92"/>
    <w:rsid w:val="001C3EC8"/>
    <w:rsid w:val="001C4126"/>
    <w:rsid w:val="001C443C"/>
    <w:rsid w:val="001C4566"/>
    <w:rsid w:val="001C47B7"/>
    <w:rsid w:val="001C4C2B"/>
    <w:rsid w:val="001C51BB"/>
    <w:rsid w:val="001C5235"/>
    <w:rsid w:val="001C52C2"/>
    <w:rsid w:val="001C52EB"/>
    <w:rsid w:val="001C567C"/>
    <w:rsid w:val="001C58AF"/>
    <w:rsid w:val="001C5988"/>
    <w:rsid w:val="001C5A67"/>
    <w:rsid w:val="001C5B9D"/>
    <w:rsid w:val="001C5C7C"/>
    <w:rsid w:val="001C5EEF"/>
    <w:rsid w:val="001C5F23"/>
    <w:rsid w:val="001C5F5B"/>
    <w:rsid w:val="001C61C1"/>
    <w:rsid w:val="001C65AA"/>
    <w:rsid w:val="001C65B9"/>
    <w:rsid w:val="001C6740"/>
    <w:rsid w:val="001C6805"/>
    <w:rsid w:val="001C6B12"/>
    <w:rsid w:val="001C6B2D"/>
    <w:rsid w:val="001C6B4B"/>
    <w:rsid w:val="001C6DB9"/>
    <w:rsid w:val="001C6E1E"/>
    <w:rsid w:val="001C737E"/>
    <w:rsid w:val="001C7516"/>
    <w:rsid w:val="001C778B"/>
    <w:rsid w:val="001C795A"/>
    <w:rsid w:val="001C7B29"/>
    <w:rsid w:val="001C7C77"/>
    <w:rsid w:val="001C7D55"/>
    <w:rsid w:val="001C7E77"/>
    <w:rsid w:val="001C7E87"/>
    <w:rsid w:val="001D0181"/>
    <w:rsid w:val="001D0219"/>
    <w:rsid w:val="001D0861"/>
    <w:rsid w:val="001D0B90"/>
    <w:rsid w:val="001D0C1E"/>
    <w:rsid w:val="001D0F17"/>
    <w:rsid w:val="001D10EE"/>
    <w:rsid w:val="001D113E"/>
    <w:rsid w:val="001D1189"/>
    <w:rsid w:val="001D1218"/>
    <w:rsid w:val="001D1290"/>
    <w:rsid w:val="001D12DD"/>
    <w:rsid w:val="001D154F"/>
    <w:rsid w:val="001D1AF7"/>
    <w:rsid w:val="001D1DF8"/>
    <w:rsid w:val="001D1FD4"/>
    <w:rsid w:val="001D1FFA"/>
    <w:rsid w:val="001D2135"/>
    <w:rsid w:val="001D2292"/>
    <w:rsid w:val="001D240F"/>
    <w:rsid w:val="001D2571"/>
    <w:rsid w:val="001D2657"/>
    <w:rsid w:val="001D266B"/>
    <w:rsid w:val="001D2734"/>
    <w:rsid w:val="001D2893"/>
    <w:rsid w:val="001D2A89"/>
    <w:rsid w:val="001D2B48"/>
    <w:rsid w:val="001D2B62"/>
    <w:rsid w:val="001D2D39"/>
    <w:rsid w:val="001D32AD"/>
    <w:rsid w:val="001D34DE"/>
    <w:rsid w:val="001D34EC"/>
    <w:rsid w:val="001D3581"/>
    <w:rsid w:val="001D403C"/>
    <w:rsid w:val="001D4186"/>
    <w:rsid w:val="001D42F7"/>
    <w:rsid w:val="001D43FF"/>
    <w:rsid w:val="001D4859"/>
    <w:rsid w:val="001D4A8C"/>
    <w:rsid w:val="001D4B1F"/>
    <w:rsid w:val="001D4C4C"/>
    <w:rsid w:val="001D5159"/>
    <w:rsid w:val="001D532A"/>
    <w:rsid w:val="001D537C"/>
    <w:rsid w:val="001D53F8"/>
    <w:rsid w:val="001D548D"/>
    <w:rsid w:val="001D557A"/>
    <w:rsid w:val="001D559F"/>
    <w:rsid w:val="001D56BB"/>
    <w:rsid w:val="001D5943"/>
    <w:rsid w:val="001D5DE2"/>
    <w:rsid w:val="001D5EA2"/>
    <w:rsid w:val="001D6A7F"/>
    <w:rsid w:val="001D6C0C"/>
    <w:rsid w:val="001D6D76"/>
    <w:rsid w:val="001D6D7B"/>
    <w:rsid w:val="001D6D81"/>
    <w:rsid w:val="001D7112"/>
    <w:rsid w:val="001D7115"/>
    <w:rsid w:val="001D7267"/>
    <w:rsid w:val="001D755E"/>
    <w:rsid w:val="001D76A9"/>
    <w:rsid w:val="001D7C3F"/>
    <w:rsid w:val="001D7CE5"/>
    <w:rsid w:val="001D7E09"/>
    <w:rsid w:val="001E075C"/>
    <w:rsid w:val="001E09D1"/>
    <w:rsid w:val="001E0A09"/>
    <w:rsid w:val="001E0CFD"/>
    <w:rsid w:val="001E0D27"/>
    <w:rsid w:val="001E0F14"/>
    <w:rsid w:val="001E101E"/>
    <w:rsid w:val="001E105F"/>
    <w:rsid w:val="001E1367"/>
    <w:rsid w:val="001E15AB"/>
    <w:rsid w:val="001E19A3"/>
    <w:rsid w:val="001E19E9"/>
    <w:rsid w:val="001E1A12"/>
    <w:rsid w:val="001E1B7C"/>
    <w:rsid w:val="001E1C60"/>
    <w:rsid w:val="001E1D31"/>
    <w:rsid w:val="001E1E53"/>
    <w:rsid w:val="001E2218"/>
    <w:rsid w:val="001E2288"/>
    <w:rsid w:val="001E22D0"/>
    <w:rsid w:val="001E25F8"/>
    <w:rsid w:val="001E2906"/>
    <w:rsid w:val="001E2B22"/>
    <w:rsid w:val="001E2CA6"/>
    <w:rsid w:val="001E2E32"/>
    <w:rsid w:val="001E2FD0"/>
    <w:rsid w:val="001E309E"/>
    <w:rsid w:val="001E3433"/>
    <w:rsid w:val="001E3694"/>
    <w:rsid w:val="001E393A"/>
    <w:rsid w:val="001E3A50"/>
    <w:rsid w:val="001E3C92"/>
    <w:rsid w:val="001E3CF5"/>
    <w:rsid w:val="001E3D20"/>
    <w:rsid w:val="001E3EFA"/>
    <w:rsid w:val="001E4166"/>
    <w:rsid w:val="001E4191"/>
    <w:rsid w:val="001E463B"/>
    <w:rsid w:val="001E47FA"/>
    <w:rsid w:val="001E4A95"/>
    <w:rsid w:val="001E4CC8"/>
    <w:rsid w:val="001E4D85"/>
    <w:rsid w:val="001E4F29"/>
    <w:rsid w:val="001E4F95"/>
    <w:rsid w:val="001E51A7"/>
    <w:rsid w:val="001E5333"/>
    <w:rsid w:val="001E5931"/>
    <w:rsid w:val="001E5C48"/>
    <w:rsid w:val="001E5CDE"/>
    <w:rsid w:val="001E5DC4"/>
    <w:rsid w:val="001E6067"/>
    <w:rsid w:val="001E6255"/>
    <w:rsid w:val="001E63DF"/>
    <w:rsid w:val="001E65ED"/>
    <w:rsid w:val="001E679B"/>
    <w:rsid w:val="001E6A99"/>
    <w:rsid w:val="001E6AF6"/>
    <w:rsid w:val="001E6CBA"/>
    <w:rsid w:val="001E6FA7"/>
    <w:rsid w:val="001E7219"/>
    <w:rsid w:val="001E723D"/>
    <w:rsid w:val="001E7793"/>
    <w:rsid w:val="001E78E5"/>
    <w:rsid w:val="001E7999"/>
    <w:rsid w:val="001E7DD8"/>
    <w:rsid w:val="001E7E3C"/>
    <w:rsid w:val="001F02DF"/>
    <w:rsid w:val="001F0372"/>
    <w:rsid w:val="001F05BE"/>
    <w:rsid w:val="001F06A7"/>
    <w:rsid w:val="001F06E4"/>
    <w:rsid w:val="001F0810"/>
    <w:rsid w:val="001F0942"/>
    <w:rsid w:val="001F0AA2"/>
    <w:rsid w:val="001F0C28"/>
    <w:rsid w:val="001F1252"/>
    <w:rsid w:val="001F152F"/>
    <w:rsid w:val="001F1618"/>
    <w:rsid w:val="001F1642"/>
    <w:rsid w:val="001F170E"/>
    <w:rsid w:val="001F1893"/>
    <w:rsid w:val="001F19F8"/>
    <w:rsid w:val="001F1CB4"/>
    <w:rsid w:val="001F1E45"/>
    <w:rsid w:val="001F1E79"/>
    <w:rsid w:val="001F2094"/>
    <w:rsid w:val="001F2117"/>
    <w:rsid w:val="001F222C"/>
    <w:rsid w:val="001F23AA"/>
    <w:rsid w:val="001F23DC"/>
    <w:rsid w:val="001F2919"/>
    <w:rsid w:val="001F2963"/>
    <w:rsid w:val="001F2A0C"/>
    <w:rsid w:val="001F2A82"/>
    <w:rsid w:val="001F2D83"/>
    <w:rsid w:val="001F2F95"/>
    <w:rsid w:val="001F2FB1"/>
    <w:rsid w:val="001F3068"/>
    <w:rsid w:val="001F3505"/>
    <w:rsid w:val="001F3B03"/>
    <w:rsid w:val="001F3BC2"/>
    <w:rsid w:val="001F3C22"/>
    <w:rsid w:val="001F416E"/>
    <w:rsid w:val="001F4207"/>
    <w:rsid w:val="001F4340"/>
    <w:rsid w:val="001F464B"/>
    <w:rsid w:val="001F46AA"/>
    <w:rsid w:val="001F47E8"/>
    <w:rsid w:val="001F4B31"/>
    <w:rsid w:val="001F4E21"/>
    <w:rsid w:val="001F4EAC"/>
    <w:rsid w:val="001F5247"/>
    <w:rsid w:val="001F52F4"/>
    <w:rsid w:val="001F5658"/>
    <w:rsid w:val="001F582E"/>
    <w:rsid w:val="001F5941"/>
    <w:rsid w:val="001F597D"/>
    <w:rsid w:val="001F5ACC"/>
    <w:rsid w:val="001F5DB0"/>
    <w:rsid w:val="001F601D"/>
    <w:rsid w:val="001F624A"/>
    <w:rsid w:val="001F6372"/>
    <w:rsid w:val="001F6477"/>
    <w:rsid w:val="001F649C"/>
    <w:rsid w:val="001F64DF"/>
    <w:rsid w:val="001F665E"/>
    <w:rsid w:val="001F6671"/>
    <w:rsid w:val="001F66DC"/>
    <w:rsid w:val="001F67D6"/>
    <w:rsid w:val="001F68CA"/>
    <w:rsid w:val="001F68E3"/>
    <w:rsid w:val="001F68F7"/>
    <w:rsid w:val="001F695F"/>
    <w:rsid w:val="001F6C2A"/>
    <w:rsid w:val="001F6CCB"/>
    <w:rsid w:val="001F6DEA"/>
    <w:rsid w:val="001F70CD"/>
    <w:rsid w:val="001F71EC"/>
    <w:rsid w:val="001F73BB"/>
    <w:rsid w:val="001F769E"/>
    <w:rsid w:val="001F774A"/>
    <w:rsid w:val="001F778A"/>
    <w:rsid w:val="001F786B"/>
    <w:rsid w:val="001F7AC6"/>
    <w:rsid w:val="001F7B32"/>
    <w:rsid w:val="001F7BB5"/>
    <w:rsid w:val="001F7EA1"/>
    <w:rsid w:val="001F7EA9"/>
    <w:rsid w:val="001F7F3A"/>
    <w:rsid w:val="001F7FE4"/>
    <w:rsid w:val="00200005"/>
    <w:rsid w:val="00200234"/>
    <w:rsid w:val="0020036D"/>
    <w:rsid w:val="00200438"/>
    <w:rsid w:val="00200477"/>
    <w:rsid w:val="00200515"/>
    <w:rsid w:val="00200747"/>
    <w:rsid w:val="00200A04"/>
    <w:rsid w:val="00200B89"/>
    <w:rsid w:val="00200CC9"/>
    <w:rsid w:val="00200EDB"/>
    <w:rsid w:val="00201298"/>
    <w:rsid w:val="0020143B"/>
    <w:rsid w:val="002014FE"/>
    <w:rsid w:val="002015A8"/>
    <w:rsid w:val="00201C59"/>
    <w:rsid w:val="00201C69"/>
    <w:rsid w:val="002020E2"/>
    <w:rsid w:val="0020248C"/>
    <w:rsid w:val="0020257D"/>
    <w:rsid w:val="00202649"/>
    <w:rsid w:val="00202703"/>
    <w:rsid w:val="002029EC"/>
    <w:rsid w:val="00202B20"/>
    <w:rsid w:val="00202C36"/>
    <w:rsid w:val="00202C63"/>
    <w:rsid w:val="00202C67"/>
    <w:rsid w:val="00202CC9"/>
    <w:rsid w:val="00202D24"/>
    <w:rsid w:val="00203058"/>
    <w:rsid w:val="002037C4"/>
    <w:rsid w:val="00203854"/>
    <w:rsid w:val="002039E9"/>
    <w:rsid w:val="00203FDC"/>
    <w:rsid w:val="00204041"/>
    <w:rsid w:val="00204271"/>
    <w:rsid w:val="00204940"/>
    <w:rsid w:val="00204A77"/>
    <w:rsid w:val="00204C0A"/>
    <w:rsid w:val="00204EC9"/>
    <w:rsid w:val="0020506E"/>
    <w:rsid w:val="0020506F"/>
    <w:rsid w:val="002051FC"/>
    <w:rsid w:val="0020538B"/>
    <w:rsid w:val="00205455"/>
    <w:rsid w:val="00205544"/>
    <w:rsid w:val="0020568B"/>
    <w:rsid w:val="00205CAF"/>
    <w:rsid w:val="002063F6"/>
    <w:rsid w:val="00206591"/>
    <w:rsid w:val="0020688F"/>
    <w:rsid w:val="00206B21"/>
    <w:rsid w:val="00206C04"/>
    <w:rsid w:val="00206D06"/>
    <w:rsid w:val="00206E4A"/>
    <w:rsid w:val="00206EB7"/>
    <w:rsid w:val="00206F54"/>
    <w:rsid w:val="00206FE0"/>
    <w:rsid w:val="002071B4"/>
    <w:rsid w:val="002074FD"/>
    <w:rsid w:val="0020756D"/>
    <w:rsid w:val="002078C1"/>
    <w:rsid w:val="00207BF8"/>
    <w:rsid w:val="00207CC5"/>
    <w:rsid w:val="00207D33"/>
    <w:rsid w:val="00207D6F"/>
    <w:rsid w:val="00207E8B"/>
    <w:rsid w:val="00207F42"/>
    <w:rsid w:val="00210174"/>
    <w:rsid w:val="00210268"/>
    <w:rsid w:val="002102AC"/>
    <w:rsid w:val="002103BE"/>
    <w:rsid w:val="00210703"/>
    <w:rsid w:val="0021075D"/>
    <w:rsid w:val="00210872"/>
    <w:rsid w:val="00210937"/>
    <w:rsid w:val="002109CD"/>
    <w:rsid w:val="00210BBE"/>
    <w:rsid w:val="00210CA6"/>
    <w:rsid w:val="00210CBD"/>
    <w:rsid w:val="00210CF0"/>
    <w:rsid w:val="00210D05"/>
    <w:rsid w:val="00210D30"/>
    <w:rsid w:val="00210F1A"/>
    <w:rsid w:val="00210FE3"/>
    <w:rsid w:val="00211024"/>
    <w:rsid w:val="00211465"/>
    <w:rsid w:val="00211561"/>
    <w:rsid w:val="00211568"/>
    <w:rsid w:val="00211843"/>
    <w:rsid w:val="002119ED"/>
    <w:rsid w:val="00211C36"/>
    <w:rsid w:val="00211C74"/>
    <w:rsid w:val="00211CD8"/>
    <w:rsid w:val="00211CFB"/>
    <w:rsid w:val="00211F74"/>
    <w:rsid w:val="0021204F"/>
    <w:rsid w:val="00212218"/>
    <w:rsid w:val="00212274"/>
    <w:rsid w:val="002122F1"/>
    <w:rsid w:val="002124CA"/>
    <w:rsid w:val="00212A41"/>
    <w:rsid w:val="00212CF4"/>
    <w:rsid w:val="00212D13"/>
    <w:rsid w:val="00212D65"/>
    <w:rsid w:val="00212D8D"/>
    <w:rsid w:val="00212F3C"/>
    <w:rsid w:val="00212FEB"/>
    <w:rsid w:val="00213769"/>
    <w:rsid w:val="00213788"/>
    <w:rsid w:val="00213B20"/>
    <w:rsid w:val="00213E93"/>
    <w:rsid w:val="00214104"/>
    <w:rsid w:val="0021421F"/>
    <w:rsid w:val="0021444F"/>
    <w:rsid w:val="002144FA"/>
    <w:rsid w:val="00214902"/>
    <w:rsid w:val="00214ADD"/>
    <w:rsid w:val="00214D96"/>
    <w:rsid w:val="00214E0A"/>
    <w:rsid w:val="00214EA9"/>
    <w:rsid w:val="00214F12"/>
    <w:rsid w:val="002150FC"/>
    <w:rsid w:val="0021517E"/>
    <w:rsid w:val="00215190"/>
    <w:rsid w:val="002151DE"/>
    <w:rsid w:val="002152DF"/>
    <w:rsid w:val="002153AF"/>
    <w:rsid w:val="00215577"/>
    <w:rsid w:val="002157EF"/>
    <w:rsid w:val="002157F1"/>
    <w:rsid w:val="00215852"/>
    <w:rsid w:val="00215904"/>
    <w:rsid w:val="00215964"/>
    <w:rsid w:val="00215A9C"/>
    <w:rsid w:val="00215D7C"/>
    <w:rsid w:val="00215E64"/>
    <w:rsid w:val="00215F9E"/>
    <w:rsid w:val="002160A2"/>
    <w:rsid w:val="0021630E"/>
    <w:rsid w:val="0021664A"/>
    <w:rsid w:val="002166DC"/>
    <w:rsid w:val="002167D5"/>
    <w:rsid w:val="002168DD"/>
    <w:rsid w:val="0021690F"/>
    <w:rsid w:val="00216A52"/>
    <w:rsid w:val="00216B0F"/>
    <w:rsid w:val="00216C5B"/>
    <w:rsid w:val="00216D4A"/>
    <w:rsid w:val="00216DD6"/>
    <w:rsid w:val="00216E43"/>
    <w:rsid w:val="00216EE8"/>
    <w:rsid w:val="00217026"/>
    <w:rsid w:val="00217044"/>
    <w:rsid w:val="0021708F"/>
    <w:rsid w:val="0021777B"/>
    <w:rsid w:val="002179D3"/>
    <w:rsid w:val="00217A7B"/>
    <w:rsid w:val="00217ABA"/>
    <w:rsid w:val="00217B58"/>
    <w:rsid w:val="00217FEC"/>
    <w:rsid w:val="00220153"/>
    <w:rsid w:val="00220229"/>
    <w:rsid w:val="002205E4"/>
    <w:rsid w:val="00220825"/>
    <w:rsid w:val="00220A06"/>
    <w:rsid w:val="00220A4E"/>
    <w:rsid w:val="00220B20"/>
    <w:rsid w:val="00220CCD"/>
    <w:rsid w:val="00220D06"/>
    <w:rsid w:val="00220DC3"/>
    <w:rsid w:val="002210B1"/>
    <w:rsid w:val="0022153C"/>
    <w:rsid w:val="00221569"/>
    <w:rsid w:val="00221759"/>
    <w:rsid w:val="002219D1"/>
    <w:rsid w:val="00221A44"/>
    <w:rsid w:val="00221CF5"/>
    <w:rsid w:val="00221D18"/>
    <w:rsid w:val="00221E84"/>
    <w:rsid w:val="00221ECF"/>
    <w:rsid w:val="002221BD"/>
    <w:rsid w:val="00222428"/>
    <w:rsid w:val="00222C4A"/>
    <w:rsid w:val="002230BD"/>
    <w:rsid w:val="0022330E"/>
    <w:rsid w:val="002233DC"/>
    <w:rsid w:val="00223456"/>
    <w:rsid w:val="0022345B"/>
    <w:rsid w:val="0022370D"/>
    <w:rsid w:val="00223807"/>
    <w:rsid w:val="0022388E"/>
    <w:rsid w:val="00223A3E"/>
    <w:rsid w:val="00223B3E"/>
    <w:rsid w:val="00223B52"/>
    <w:rsid w:val="00223DF5"/>
    <w:rsid w:val="00223F6B"/>
    <w:rsid w:val="00223F7F"/>
    <w:rsid w:val="00223F81"/>
    <w:rsid w:val="00223FC1"/>
    <w:rsid w:val="002245D5"/>
    <w:rsid w:val="0022465D"/>
    <w:rsid w:val="002246E8"/>
    <w:rsid w:val="00224B3B"/>
    <w:rsid w:val="00224C3C"/>
    <w:rsid w:val="002251FF"/>
    <w:rsid w:val="00225633"/>
    <w:rsid w:val="00225801"/>
    <w:rsid w:val="0022596D"/>
    <w:rsid w:val="00225A88"/>
    <w:rsid w:val="00225B2E"/>
    <w:rsid w:val="00225BFC"/>
    <w:rsid w:val="00225C1C"/>
    <w:rsid w:val="00225CEB"/>
    <w:rsid w:val="00225E56"/>
    <w:rsid w:val="00225ECA"/>
    <w:rsid w:val="0022616E"/>
    <w:rsid w:val="0022635A"/>
    <w:rsid w:val="00226CCD"/>
    <w:rsid w:val="00226ECB"/>
    <w:rsid w:val="00227432"/>
    <w:rsid w:val="002274E2"/>
    <w:rsid w:val="002276D8"/>
    <w:rsid w:val="00227734"/>
    <w:rsid w:val="002277A9"/>
    <w:rsid w:val="00227973"/>
    <w:rsid w:val="002279A2"/>
    <w:rsid w:val="00227AB6"/>
    <w:rsid w:val="00227B43"/>
    <w:rsid w:val="002300CD"/>
    <w:rsid w:val="00230801"/>
    <w:rsid w:val="00230842"/>
    <w:rsid w:val="00230958"/>
    <w:rsid w:val="00230CA0"/>
    <w:rsid w:val="00230F06"/>
    <w:rsid w:val="0023106D"/>
    <w:rsid w:val="002314E9"/>
    <w:rsid w:val="00231768"/>
    <w:rsid w:val="002319A4"/>
    <w:rsid w:val="00231DC3"/>
    <w:rsid w:val="0023241A"/>
    <w:rsid w:val="002324FE"/>
    <w:rsid w:val="00232543"/>
    <w:rsid w:val="002325C3"/>
    <w:rsid w:val="002325C7"/>
    <w:rsid w:val="002325CE"/>
    <w:rsid w:val="00232616"/>
    <w:rsid w:val="00232807"/>
    <w:rsid w:val="002329EA"/>
    <w:rsid w:val="00232C6B"/>
    <w:rsid w:val="00233580"/>
    <w:rsid w:val="00233919"/>
    <w:rsid w:val="00233C9F"/>
    <w:rsid w:val="00233E38"/>
    <w:rsid w:val="00233FF7"/>
    <w:rsid w:val="002342EA"/>
    <w:rsid w:val="0023448C"/>
    <w:rsid w:val="00234621"/>
    <w:rsid w:val="0023488C"/>
    <w:rsid w:val="0023496B"/>
    <w:rsid w:val="00234BCD"/>
    <w:rsid w:val="00234EA0"/>
    <w:rsid w:val="00234FE5"/>
    <w:rsid w:val="00235204"/>
    <w:rsid w:val="002353C2"/>
    <w:rsid w:val="002353E5"/>
    <w:rsid w:val="00235529"/>
    <w:rsid w:val="00235824"/>
    <w:rsid w:val="00235850"/>
    <w:rsid w:val="002358FB"/>
    <w:rsid w:val="00235A98"/>
    <w:rsid w:val="00235D36"/>
    <w:rsid w:val="0023639C"/>
    <w:rsid w:val="002363A0"/>
    <w:rsid w:val="0023658C"/>
    <w:rsid w:val="0023678E"/>
    <w:rsid w:val="002368EF"/>
    <w:rsid w:val="00236946"/>
    <w:rsid w:val="002369A7"/>
    <w:rsid w:val="00236A20"/>
    <w:rsid w:val="00236A64"/>
    <w:rsid w:val="00236AC8"/>
    <w:rsid w:val="00236EAC"/>
    <w:rsid w:val="00236EDC"/>
    <w:rsid w:val="002371EB"/>
    <w:rsid w:val="00237292"/>
    <w:rsid w:val="00237516"/>
    <w:rsid w:val="002375BB"/>
    <w:rsid w:val="002375FD"/>
    <w:rsid w:val="002378A3"/>
    <w:rsid w:val="00237ABE"/>
    <w:rsid w:val="00237BAA"/>
    <w:rsid w:val="00237C8D"/>
    <w:rsid w:val="00237C9B"/>
    <w:rsid w:val="00237CB7"/>
    <w:rsid w:val="00237D97"/>
    <w:rsid w:val="00237DE5"/>
    <w:rsid w:val="0024011A"/>
    <w:rsid w:val="00240265"/>
    <w:rsid w:val="002403CE"/>
    <w:rsid w:val="00240441"/>
    <w:rsid w:val="002408B1"/>
    <w:rsid w:val="00240921"/>
    <w:rsid w:val="00240DFC"/>
    <w:rsid w:val="00241427"/>
    <w:rsid w:val="00241AE8"/>
    <w:rsid w:val="00241B43"/>
    <w:rsid w:val="00241BF4"/>
    <w:rsid w:val="00241C40"/>
    <w:rsid w:val="00241D43"/>
    <w:rsid w:val="00241D5A"/>
    <w:rsid w:val="00241E58"/>
    <w:rsid w:val="002423AB"/>
    <w:rsid w:val="00242484"/>
    <w:rsid w:val="0024253A"/>
    <w:rsid w:val="002425B4"/>
    <w:rsid w:val="00242905"/>
    <w:rsid w:val="0024292D"/>
    <w:rsid w:val="00242AB3"/>
    <w:rsid w:val="00242B03"/>
    <w:rsid w:val="00242F31"/>
    <w:rsid w:val="00242F61"/>
    <w:rsid w:val="00243097"/>
    <w:rsid w:val="002430B2"/>
    <w:rsid w:val="002433AD"/>
    <w:rsid w:val="002435B8"/>
    <w:rsid w:val="00243675"/>
    <w:rsid w:val="002436BA"/>
    <w:rsid w:val="002436F4"/>
    <w:rsid w:val="00243818"/>
    <w:rsid w:val="002439A9"/>
    <w:rsid w:val="002439CA"/>
    <w:rsid w:val="00243A6F"/>
    <w:rsid w:val="00243CA6"/>
    <w:rsid w:val="0024404F"/>
    <w:rsid w:val="00244080"/>
    <w:rsid w:val="002440B1"/>
    <w:rsid w:val="00244144"/>
    <w:rsid w:val="0024449A"/>
    <w:rsid w:val="002448B9"/>
    <w:rsid w:val="00244BD3"/>
    <w:rsid w:val="00244BF4"/>
    <w:rsid w:val="00244D5E"/>
    <w:rsid w:val="00244E1F"/>
    <w:rsid w:val="00244F83"/>
    <w:rsid w:val="00245052"/>
    <w:rsid w:val="002452A2"/>
    <w:rsid w:val="002455B6"/>
    <w:rsid w:val="002456AC"/>
    <w:rsid w:val="002458F9"/>
    <w:rsid w:val="00245AF6"/>
    <w:rsid w:val="00245E71"/>
    <w:rsid w:val="00245E7E"/>
    <w:rsid w:val="002462E5"/>
    <w:rsid w:val="0024636A"/>
    <w:rsid w:val="002466B2"/>
    <w:rsid w:val="00246784"/>
    <w:rsid w:val="00246ADF"/>
    <w:rsid w:val="00246C2F"/>
    <w:rsid w:val="00246DCA"/>
    <w:rsid w:val="00246E31"/>
    <w:rsid w:val="00246FA8"/>
    <w:rsid w:val="00247269"/>
    <w:rsid w:val="0024758A"/>
    <w:rsid w:val="00247BD5"/>
    <w:rsid w:val="00247C15"/>
    <w:rsid w:val="00247DF6"/>
    <w:rsid w:val="0025052B"/>
    <w:rsid w:val="00250675"/>
    <w:rsid w:val="00250777"/>
    <w:rsid w:val="002508C1"/>
    <w:rsid w:val="002509B1"/>
    <w:rsid w:val="002509CC"/>
    <w:rsid w:val="00250C7E"/>
    <w:rsid w:val="00250E46"/>
    <w:rsid w:val="0025145E"/>
    <w:rsid w:val="00251498"/>
    <w:rsid w:val="002514D8"/>
    <w:rsid w:val="002516B5"/>
    <w:rsid w:val="002518BE"/>
    <w:rsid w:val="002518E9"/>
    <w:rsid w:val="00251C33"/>
    <w:rsid w:val="00251D5C"/>
    <w:rsid w:val="00251E77"/>
    <w:rsid w:val="00251FCA"/>
    <w:rsid w:val="002522BA"/>
    <w:rsid w:val="00252597"/>
    <w:rsid w:val="00252706"/>
    <w:rsid w:val="00252930"/>
    <w:rsid w:val="00252AC2"/>
    <w:rsid w:val="00252B34"/>
    <w:rsid w:val="00252CB8"/>
    <w:rsid w:val="00252E9D"/>
    <w:rsid w:val="00252ECC"/>
    <w:rsid w:val="00252EF6"/>
    <w:rsid w:val="00253119"/>
    <w:rsid w:val="002532EF"/>
    <w:rsid w:val="002534CB"/>
    <w:rsid w:val="00253631"/>
    <w:rsid w:val="00253E07"/>
    <w:rsid w:val="0025405B"/>
    <w:rsid w:val="00254161"/>
    <w:rsid w:val="00254CFF"/>
    <w:rsid w:val="00254FDC"/>
    <w:rsid w:val="002551DE"/>
    <w:rsid w:val="0025526C"/>
    <w:rsid w:val="0025538B"/>
    <w:rsid w:val="0025574A"/>
    <w:rsid w:val="00255953"/>
    <w:rsid w:val="00255A1A"/>
    <w:rsid w:val="00255DBE"/>
    <w:rsid w:val="00255E3C"/>
    <w:rsid w:val="00255E8F"/>
    <w:rsid w:val="00255ED1"/>
    <w:rsid w:val="00255F10"/>
    <w:rsid w:val="002560C8"/>
    <w:rsid w:val="00256385"/>
    <w:rsid w:val="00256504"/>
    <w:rsid w:val="0025650A"/>
    <w:rsid w:val="0025654C"/>
    <w:rsid w:val="0025682D"/>
    <w:rsid w:val="0025688B"/>
    <w:rsid w:val="002569BE"/>
    <w:rsid w:val="00256A7E"/>
    <w:rsid w:val="00256BB2"/>
    <w:rsid w:val="00256D29"/>
    <w:rsid w:val="00257631"/>
    <w:rsid w:val="002576B2"/>
    <w:rsid w:val="00257912"/>
    <w:rsid w:val="00257A63"/>
    <w:rsid w:val="0026007E"/>
    <w:rsid w:val="002600CE"/>
    <w:rsid w:val="002601E9"/>
    <w:rsid w:val="0026037F"/>
    <w:rsid w:val="0026046A"/>
    <w:rsid w:val="002605B4"/>
    <w:rsid w:val="00260777"/>
    <w:rsid w:val="00260B0A"/>
    <w:rsid w:val="00261491"/>
    <w:rsid w:val="00261587"/>
    <w:rsid w:val="002615F9"/>
    <w:rsid w:val="00261A90"/>
    <w:rsid w:val="00261AFA"/>
    <w:rsid w:val="00261BB9"/>
    <w:rsid w:val="00261DEA"/>
    <w:rsid w:val="00261E53"/>
    <w:rsid w:val="00261F2A"/>
    <w:rsid w:val="0026204E"/>
    <w:rsid w:val="00262AA3"/>
    <w:rsid w:val="00262D88"/>
    <w:rsid w:val="00262DF4"/>
    <w:rsid w:val="00262E96"/>
    <w:rsid w:val="00262F53"/>
    <w:rsid w:val="002631D1"/>
    <w:rsid w:val="0026329D"/>
    <w:rsid w:val="00263335"/>
    <w:rsid w:val="002635C9"/>
    <w:rsid w:val="002636DE"/>
    <w:rsid w:val="002638CF"/>
    <w:rsid w:val="0026392D"/>
    <w:rsid w:val="00263A1B"/>
    <w:rsid w:val="00263C23"/>
    <w:rsid w:val="00263C79"/>
    <w:rsid w:val="00263D10"/>
    <w:rsid w:val="0026472B"/>
    <w:rsid w:val="0026489E"/>
    <w:rsid w:val="00264975"/>
    <w:rsid w:val="00264DF3"/>
    <w:rsid w:val="00264F84"/>
    <w:rsid w:val="0026508D"/>
    <w:rsid w:val="002657A6"/>
    <w:rsid w:val="00265858"/>
    <w:rsid w:val="002659FB"/>
    <w:rsid w:val="00265A97"/>
    <w:rsid w:val="00265BB1"/>
    <w:rsid w:val="00265E3E"/>
    <w:rsid w:val="00265F02"/>
    <w:rsid w:val="0026601A"/>
    <w:rsid w:val="0026601C"/>
    <w:rsid w:val="002662DD"/>
    <w:rsid w:val="00266675"/>
    <w:rsid w:val="0026677B"/>
    <w:rsid w:val="00266934"/>
    <w:rsid w:val="00266952"/>
    <w:rsid w:val="0026697A"/>
    <w:rsid w:val="00266A8D"/>
    <w:rsid w:val="00266B6A"/>
    <w:rsid w:val="00266E6B"/>
    <w:rsid w:val="0026702E"/>
    <w:rsid w:val="00267056"/>
    <w:rsid w:val="00267165"/>
    <w:rsid w:val="00267452"/>
    <w:rsid w:val="0026750B"/>
    <w:rsid w:val="0026756E"/>
    <w:rsid w:val="00267661"/>
    <w:rsid w:val="002677BA"/>
    <w:rsid w:val="002679E8"/>
    <w:rsid w:val="00267A10"/>
    <w:rsid w:val="00267D92"/>
    <w:rsid w:val="00267EAE"/>
    <w:rsid w:val="0027021E"/>
    <w:rsid w:val="0027035E"/>
    <w:rsid w:val="0027046A"/>
    <w:rsid w:val="0027055A"/>
    <w:rsid w:val="00270687"/>
    <w:rsid w:val="0027077F"/>
    <w:rsid w:val="0027081D"/>
    <w:rsid w:val="00270833"/>
    <w:rsid w:val="00270884"/>
    <w:rsid w:val="002709CB"/>
    <w:rsid w:val="00270BEF"/>
    <w:rsid w:val="00270D3D"/>
    <w:rsid w:val="00270D71"/>
    <w:rsid w:val="00270D89"/>
    <w:rsid w:val="00270EB0"/>
    <w:rsid w:val="0027116B"/>
    <w:rsid w:val="0027119F"/>
    <w:rsid w:val="00271335"/>
    <w:rsid w:val="00271418"/>
    <w:rsid w:val="002714C2"/>
    <w:rsid w:val="0027175D"/>
    <w:rsid w:val="00271811"/>
    <w:rsid w:val="002719CD"/>
    <w:rsid w:val="00271C99"/>
    <w:rsid w:val="00271E5E"/>
    <w:rsid w:val="00271EE9"/>
    <w:rsid w:val="002721CF"/>
    <w:rsid w:val="002721F5"/>
    <w:rsid w:val="00272814"/>
    <w:rsid w:val="00272938"/>
    <w:rsid w:val="00272D9C"/>
    <w:rsid w:val="00272E97"/>
    <w:rsid w:val="002731DA"/>
    <w:rsid w:val="00273456"/>
    <w:rsid w:val="00273477"/>
    <w:rsid w:val="002735A5"/>
    <w:rsid w:val="0027387F"/>
    <w:rsid w:val="00273A20"/>
    <w:rsid w:val="00273A82"/>
    <w:rsid w:val="00273AD3"/>
    <w:rsid w:val="0027428F"/>
    <w:rsid w:val="0027429F"/>
    <w:rsid w:val="00274326"/>
    <w:rsid w:val="00274436"/>
    <w:rsid w:val="002744D7"/>
    <w:rsid w:val="002746E0"/>
    <w:rsid w:val="00274869"/>
    <w:rsid w:val="002749AB"/>
    <w:rsid w:val="002749DF"/>
    <w:rsid w:val="00274A16"/>
    <w:rsid w:val="00274F53"/>
    <w:rsid w:val="0027563F"/>
    <w:rsid w:val="00275782"/>
    <w:rsid w:val="002758F7"/>
    <w:rsid w:val="00275A72"/>
    <w:rsid w:val="00275A9D"/>
    <w:rsid w:val="00275B79"/>
    <w:rsid w:val="00275ED7"/>
    <w:rsid w:val="00275FA6"/>
    <w:rsid w:val="002765A1"/>
    <w:rsid w:val="00276627"/>
    <w:rsid w:val="00276749"/>
    <w:rsid w:val="0027682B"/>
    <w:rsid w:val="00276BFD"/>
    <w:rsid w:val="00276C28"/>
    <w:rsid w:val="00276D40"/>
    <w:rsid w:val="00276DC9"/>
    <w:rsid w:val="00276F1E"/>
    <w:rsid w:val="0027705D"/>
    <w:rsid w:val="0027723E"/>
    <w:rsid w:val="0027729B"/>
    <w:rsid w:val="002772D4"/>
    <w:rsid w:val="00277386"/>
    <w:rsid w:val="002773AC"/>
    <w:rsid w:val="002773E1"/>
    <w:rsid w:val="002778C2"/>
    <w:rsid w:val="002779C8"/>
    <w:rsid w:val="00277BD9"/>
    <w:rsid w:val="00277FE9"/>
    <w:rsid w:val="002801EE"/>
    <w:rsid w:val="002803C1"/>
    <w:rsid w:val="00280408"/>
    <w:rsid w:val="0028045D"/>
    <w:rsid w:val="002806CA"/>
    <w:rsid w:val="00280A06"/>
    <w:rsid w:val="00280A13"/>
    <w:rsid w:val="00280B82"/>
    <w:rsid w:val="00280DC7"/>
    <w:rsid w:val="00280DDF"/>
    <w:rsid w:val="002810B5"/>
    <w:rsid w:val="00281196"/>
    <w:rsid w:val="002811D0"/>
    <w:rsid w:val="0028150D"/>
    <w:rsid w:val="00281879"/>
    <w:rsid w:val="00281930"/>
    <w:rsid w:val="00281A1B"/>
    <w:rsid w:val="00281CF6"/>
    <w:rsid w:val="0028207A"/>
    <w:rsid w:val="0028212B"/>
    <w:rsid w:val="002826CD"/>
    <w:rsid w:val="002827EF"/>
    <w:rsid w:val="00282C1B"/>
    <w:rsid w:val="00282CAE"/>
    <w:rsid w:val="00282D10"/>
    <w:rsid w:val="00282DF6"/>
    <w:rsid w:val="002831EF"/>
    <w:rsid w:val="00283480"/>
    <w:rsid w:val="00283A6C"/>
    <w:rsid w:val="00283EB4"/>
    <w:rsid w:val="00283EBB"/>
    <w:rsid w:val="00283F39"/>
    <w:rsid w:val="00283F40"/>
    <w:rsid w:val="00284024"/>
    <w:rsid w:val="002841BC"/>
    <w:rsid w:val="00284577"/>
    <w:rsid w:val="00284624"/>
    <w:rsid w:val="002846B8"/>
    <w:rsid w:val="0028488C"/>
    <w:rsid w:val="00284AA6"/>
    <w:rsid w:val="00284D07"/>
    <w:rsid w:val="00284F24"/>
    <w:rsid w:val="002851AC"/>
    <w:rsid w:val="00285258"/>
    <w:rsid w:val="00285595"/>
    <w:rsid w:val="0028577F"/>
    <w:rsid w:val="002857BE"/>
    <w:rsid w:val="00285889"/>
    <w:rsid w:val="00285A62"/>
    <w:rsid w:val="00285BF4"/>
    <w:rsid w:val="00285D77"/>
    <w:rsid w:val="00285EB8"/>
    <w:rsid w:val="00285FFF"/>
    <w:rsid w:val="00286099"/>
    <w:rsid w:val="002860E8"/>
    <w:rsid w:val="00286350"/>
    <w:rsid w:val="00286357"/>
    <w:rsid w:val="00286886"/>
    <w:rsid w:val="00286913"/>
    <w:rsid w:val="00286B4C"/>
    <w:rsid w:val="00286B51"/>
    <w:rsid w:val="00286C9E"/>
    <w:rsid w:val="00286E8E"/>
    <w:rsid w:val="00286F11"/>
    <w:rsid w:val="00287398"/>
    <w:rsid w:val="0028742E"/>
    <w:rsid w:val="0028750C"/>
    <w:rsid w:val="00287609"/>
    <w:rsid w:val="00287A17"/>
    <w:rsid w:val="00287AA2"/>
    <w:rsid w:val="00287D21"/>
    <w:rsid w:val="00287DBD"/>
    <w:rsid w:val="00287DF5"/>
    <w:rsid w:val="00287E67"/>
    <w:rsid w:val="00290078"/>
    <w:rsid w:val="002901A3"/>
    <w:rsid w:val="002901E9"/>
    <w:rsid w:val="00290325"/>
    <w:rsid w:val="002903D0"/>
    <w:rsid w:val="00290945"/>
    <w:rsid w:val="00290A95"/>
    <w:rsid w:val="00290AD6"/>
    <w:rsid w:val="00290ED4"/>
    <w:rsid w:val="00290F23"/>
    <w:rsid w:val="00291359"/>
    <w:rsid w:val="0029137A"/>
    <w:rsid w:val="00291476"/>
    <w:rsid w:val="0029161E"/>
    <w:rsid w:val="00291687"/>
    <w:rsid w:val="0029169A"/>
    <w:rsid w:val="00291769"/>
    <w:rsid w:val="0029199C"/>
    <w:rsid w:val="00291C0A"/>
    <w:rsid w:val="00291CB1"/>
    <w:rsid w:val="00291CF2"/>
    <w:rsid w:val="00291D2F"/>
    <w:rsid w:val="00291DE1"/>
    <w:rsid w:val="00291FD8"/>
    <w:rsid w:val="00292000"/>
    <w:rsid w:val="00292162"/>
    <w:rsid w:val="002921BB"/>
    <w:rsid w:val="00292233"/>
    <w:rsid w:val="0029232E"/>
    <w:rsid w:val="0029270F"/>
    <w:rsid w:val="00292769"/>
    <w:rsid w:val="00292EF9"/>
    <w:rsid w:val="0029304A"/>
    <w:rsid w:val="00293182"/>
    <w:rsid w:val="00293408"/>
    <w:rsid w:val="00293544"/>
    <w:rsid w:val="002935EE"/>
    <w:rsid w:val="00293670"/>
    <w:rsid w:val="00293681"/>
    <w:rsid w:val="002936A8"/>
    <w:rsid w:val="0029381F"/>
    <w:rsid w:val="002938A9"/>
    <w:rsid w:val="00293930"/>
    <w:rsid w:val="00293AD8"/>
    <w:rsid w:val="00293B82"/>
    <w:rsid w:val="00293C20"/>
    <w:rsid w:val="00293C48"/>
    <w:rsid w:val="00293DC1"/>
    <w:rsid w:val="00293E90"/>
    <w:rsid w:val="00293EA4"/>
    <w:rsid w:val="0029402D"/>
    <w:rsid w:val="00294129"/>
    <w:rsid w:val="0029425F"/>
    <w:rsid w:val="002942EB"/>
    <w:rsid w:val="002944C6"/>
    <w:rsid w:val="002944FD"/>
    <w:rsid w:val="00294528"/>
    <w:rsid w:val="00294673"/>
    <w:rsid w:val="002946FB"/>
    <w:rsid w:val="00294B8E"/>
    <w:rsid w:val="00294BE4"/>
    <w:rsid w:val="00294C2B"/>
    <w:rsid w:val="00294D7B"/>
    <w:rsid w:val="002950EA"/>
    <w:rsid w:val="002951F2"/>
    <w:rsid w:val="00295391"/>
    <w:rsid w:val="002953BE"/>
    <w:rsid w:val="00295AB2"/>
    <w:rsid w:val="00295B8B"/>
    <w:rsid w:val="00295E82"/>
    <w:rsid w:val="00295F4B"/>
    <w:rsid w:val="002961CD"/>
    <w:rsid w:val="002961E5"/>
    <w:rsid w:val="00296261"/>
    <w:rsid w:val="0029633C"/>
    <w:rsid w:val="00296553"/>
    <w:rsid w:val="00296707"/>
    <w:rsid w:val="00296723"/>
    <w:rsid w:val="00296CB0"/>
    <w:rsid w:val="00296FA2"/>
    <w:rsid w:val="00296FBB"/>
    <w:rsid w:val="0029700E"/>
    <w:rsid w:val="002971E2"/>
    <w:rsid w:val="002973F8"/>
    <w:rsid w:val="002976C5"/>
    <w:rsid w:val="002978E7"/>
    <w:rsid w:val="00297BAA"/>
    <w:rsid w:val="00297D63"/>
    <w:rsid w:val="00297F1F"/>
    <w:rsid w:val="002A009C"/>
    <w:rsid w:val="002A0188"/>
    <w:rsid w:val="002A02E6"/>
    <w:rsid w:val="002A07A3"/>
    <w:rsid w:val="002A08D1"/>
    <w:rsid w:val="002A0A16"/>
    <w:rsid w:val="002A0D01"/>
    <w:rsid w:val="002A0D09"/>
    <w:rsid w:val="002A0FA0"/>
    <w:rsid w:val="002A10A5"/>
    <w:rsid w:val="002A1164"/>
    <w:rsid w:val="002A1237"/>
    <w:rsid w:val="002A126C"/>
    <w:rsid w:val="002A131E"/>
    <w:rsid w:val="002A13FD"/>
    <w:rsid w:val="002A1452"/>
    <w:rsid w:val="002A15C8"/>
    <w:rsid w:val="002A165C"/>
    <w:rsid w:val="002A181A"/>
    <w:rsid w:val="002A1953"/>
    <w:rsid w:val="002A1B75"/>
    <w:rsid w:val="002A1D02"/>
    <w:rsid w:val="002A1EE5"/>
    <w:rsid w:val="002A205F"/>
    <w:rsid w:val="002A210A"/>
    <w:rsid w:val="002A228C"/>
    <w:rsid w:val="002A2478"/>
    <w:rsid w:val="002A2724"/>
    <w:rsid w:val="002A28EF"/>
    <w:rsid w:val="002A2A7F"/>
    <w:rsid w:val="002A2D7A"/>
    <w:rsid w:val="002A2E4C"/>
    <w:rsid w:val="002A30C6"/>
    <w:rsid w:val="002A31E8"/>
    <w:rsid w:val="002A327B"/>
    <w:rsid w:val="002A333A"/>
    <w:rsid w:val="002A3523"/>
    <w:rsid w:val="002A357E"/>
    <w:rsid w:val="002A367F"/>
    <w:rsid w:val="002A3789"/>
    <w:rsid w:val="002A37AA"/>
    <w:rsid w:val="002A385F"/>
    <w:rsid w:val="002A39B6"/>
    <w:rsid w:val="002A39D0"/>
    <w:rsid w:val="002A39D5"/>
    <w:rsid w:val="002A3DFA"/>
    <w:rsid w:val="002A3F67"/>
    <w:rsid w:val="002A3F83"/>
    <w:rsid w:val="002A40B1"/>
    <w:rsid w:val="002A421B"/>
    <w:rsid w:val="002A43A7"/>
    <w:rsid w:val="002A44B7"/>
    <w:rsid w:val="002A44FF"/>
    <w:rsid w:val="002A45EB"/>
    <w:rsid w:val="002A465D"/>
    <w:rsid w:val="002A4744"/>
    <w:rsid w:val="002A4A43"/>
    <w:rsid w:val="002A4A9B"/>
    <w:rsid w:val="002A4D80"/>
    <w:rsid w:val="002A4F99"/>
    <w:rsid w:val="002A52A9"/>
    <w:rsid w:val="002A532A"/>
    <w:rsid w:val="002A534A"/>
    <w:rsid w:val="002A5386"/>
    <w:rsid w:val="002A53C6"/>
    <w:rsid w:val="002A55E5"/>
    <w:rsid w:val="002A5899"/>
    <w:rsid w:val="002A5A56"/>
    <w:rsid w:val="002A5B64"/>
    <w:rsid w:val="002A5B80"/>
    <w:rsid w:val="002A5C77"/>
    <w:rsid w:val="002A5E1B"/>
    <w:rsid w:val="002A5EBA"/>
    <w:rsid w:val="002A6557"/>
    <w:rsid w:val="002A65A2"/>
    <w:rsid w:val="002A6651"/>
    <w:rsid w:val="002A66DE"/>
    <w:rsid w:val="002A6B10"/>
    <w:rsid w:val="002A6EE0"/>
    <w:rsid w:val="002A6F0C"/>
    <w:rsid w:val="002A7434"/>
    <w:rsid w:val="002A747F"/>
    <w:rsid w:val="002A7603"/>
    <w:rsid w:val="002A761E"/>
    <w:rsid w:val="002A7806"/>
    <w:rsid w:val="002A790E"/>
    <w:rsid w:val="002A7E66"/>
    <w:rsid w:val="002B0030"/>
    <w:rsid w:val="002B0151"/>
    <w:rsid w:val="002B01D3"/>
    <w:rsid w:val="002B0268"/>
    <w:rsid w:val="002B043B"/>
    <w:rsid w:val="002B05EE"/>
    <w:rsid w:val="002B0994"/>
    <w:rsid w:val="002B0A3E"/>
    <w:rsid w:val="002B0B19"/>
    <w:rsid w:val="002B0DE0"/>
    <w:rsid w:val="002B0EF9"/>
    <w:rsid w:val="002B11C2"/>
    <w:rsid w:val="002B15A9"/>
    <w:rsid w:val="002B15D4"/>
    <w:rsid w:val="002B1689"/>
    <w:rsid w:val="002B176E"/>
    <w:rsid w:val="002B1956"/>
    <w:rsid w:val="002B1AAC"/>
    <w:rsid w:val="002B1BCA"/>
    <w:rsid w:val="002B1D01"/>
    <w:rsid w:val="002B1D18"/>
    <w:rsid w:val="002B1D50"/>
    <w:rsid w:val="002B1F08"/>
    <w:rsid w:val="002B2234"/>
    <w:rsid w:val="002B22EE"/>
    <w:rsid w:val="002B2455"/>
    <w:rsid w:val="002B2467"/>
    <w:rsid w:val="002B28A7"/>
    <w:rsid w:val="002B29D6"/>
    <w:rsid w:val="002B29E6"/>
    <w:rsid w:val="002B2C6D"/>
    <w:rsid w:val="002B2C78"/>
    <w:rsid w:val="002B2D1B"/>
    <w:rsid w:val="002B2D42"/>
    <w:rsid w:val="002B2D8B"/>
    <w:rsid w:val="002B2EDC"/>
    <w:rsid w:val="002B2F28"/>
    <w:rsid w:val="002B2FED"/>
    <w:rsid w:val="002B3211"/>
    <w:rsid w:val="002B323E"/>
    <w:rsid w:val="002B32CE"/>
    <w:rsid w:val="002B3570"/>
    <w:rsid w:val="002B3ACA"/>
    <w:rsid w:val="002B40FC"/>
    <w:rsid w:val="002B42EE"/>
    <w:rsid w:val="002B42FD"/>
    <w:rsid w:val="002B4329"/>
    <w:rsid w:val="002B4629"/>
    <w:rsid w:val="002B4722"/>
    <w:rsid w:val="002B47E0"/>
    <w:rsid w:val="002B49FC"/>
    <w:rsid w:val="002B4B9E"/>
    <w:rsid w:val="002B4CAB"/>
    <w:rsid w:val="002B4DAE"/>
    <w:rsid w:val="002B4DBD"/>
    <w:rsid w:val="002B4DED"/>
    <w:rsid w:val="002B4E1B"/>
    <w:rsid w:val="002B55BF"/>
    <w:rsid w:val="002B56BF"/>
    <w:rsid w:val="002B56FF"/>
    <w:rsid w:val="002B593B"/>
    <w:rsid w:val="002B5AED"/>
    <w:rsid w:val="002B5B0C"/>
    <w:rsid w:val="002B5BD9"/>
    <w:rsid w:val="002B5BEE"/>
    <w:rsid w:val="002B5EF0"/>
    <w:rsid w:val="002B6209"/>
    <w:rsid w:val="002B6572"/>
    <w:rsid w:val="002B65F6"/>
    <w:rsid w:val="002B6655"/>
    <w:rsid w:val="002B6688"/>
    <w:rsid w:val="002B6781"/>
    <w:rsid w:val="002B68A6"/>
    <w:rsid w:val="002B6BFE"/>
    <w:rsid w:val="002B6CD3"/>
    <w:rsid w:val="002B729F"/>
    <w:rsid w:val="002B7479"/>
    <w:rsid w:val="002B7486"/>
    <w:rsid w:val="002B750F"/>
    <w:rsid w:val="002B7852"/>
    <w:rsid w:val="002B7BC2"/>
    <w:rsid w:val="002B7BFF"/>
    <w:rsid w:val="002B7D65"/>
    <w:rsid w:val="002B7D86"/>
    <w:rsid w:val="002C0052"/>
    <w:rsid w:val="002C0096"/>
    <w:rsid w:val="002C0165"/>
    <w:rsid w:val="002C0542"/>
    <w:rsid w:val="002C07F9"/>
    <w:rsid w:val="002C08F7"/>
    <w:rsid w:val="002C09BE"/>
    <w:rsid w:val="002C0AF2"/>
    <w:rsid w:val="002C0C24"/>
    <w:rsid w:val="002C0E62"/>
    <w:rsid w:val="002C0FF7"/>
    <w:rsid w:val="002C119B"/>
    <w:rsid w:val="002C12A2"/>
    <w:rsid w:val="002C151A"/>
    <w:rsid w:val="002C1577"/>
    <w:rsid w:val="002C1613"/>
    <w:rsid w:val="002C19E8"/>
    <w:rsid w:val="002C1B86"/>
    <w:rsid w:val="002C1BEC"/>
    <w:rsid w:val="002C1D1A"/>
    <w:rsid w:val="002C1D9E"/>
    <w:rsid w:val="002C1FCF"/>
    <w:rsid w:val="002C20FD"/>
    <w:rsid w:val="002C2489"/>
    <w:rsid w:val="002C24C0"/>
    <w:rsid w:val="002C28F7"/>
    <w:rsid w:val="002C2965"/>
    <w:rsid w:val="002C2B0C"/>
    <w:rsid w:val="002C2B1F"/>
    <w:rsid w:val="002C2B23"/>
    <w:rsid w:val="002C2CC0"/>
    <w:rsid w:val="002C2D45"/>
    <w:rsid w:val="002C2D4D"/>
    <w:rsid w:val="002C2DCF"/>
    <w:rsid w:val="002C2F3D"/>
    <w:rsid w:val="002C34A6"/>
    <w:rsid w:val="002C39C9"/>
    <w:rsid w:val="002C3B6B"/>
    <w:rsid w:val="002C3B86"/>
    <w:rsid w:val="002C3FAE"/>
    <w:rsid w:val="002C43DF"/>
    <w:rsid w:val="002C4404"/>
    <w:rsid w:val="002C4661"/>
    <w:rsid w:val="002C4FF6"/>
    <w:rsid w:val="002C538F"/>
    <w:rsid w:val="002C55AF"/>
    <w:rsid w:val="002C55C9"/>
    <w:rsid w:val="002C55CB"/>
    <w:rsid w:val="002C5697"/>
    <w:rsid w:val="002C569E"/>
    <w:rsid w:val="002C5724"/>
    <w:rsid w:val="002C58D4"/>
    <w:rsid w:val="002C5910"/>
    <w:rsid w:val="002C59BB"/>
    <w:rsid w:val="002C5E68"/>
    <w:rsid w:val="002C5FDA"/>
    <w:rsid w:val="002C6055"/>
    <w:rsid w:val="002C6121"/>
    <w:rsid w:val="002C6201"/>
    <w:rsid w:val="002C6239"/>
    <w:rsid w:val="002C634D"/>
    <w:rsid w:val="002C6780"/>
    <w:rsid w:val="002C67AC"/>
    <w:rsid w:val="002C687C"/>
    <w:rsid w:val="002C6AD4"/>
    <w:rsid w:val="002C6D33"/>
    <w:rsid w:val="002C6EF8"/>
    <w:rsid w:val="002C725B"/>
    <w:rsid w:val="002C7337"/>
    <w:rsid w:val="002C735C"/>
    <w:rsid w:val="002C73A6"/>
    <w:rsid w:val="002C73C7"/>
    <w:rsid w:val="002C758A"/>
    <w:rsid w:val="002C769F"/>
    <w:rsid w:val="002C775F"/>
    <w:rsid w:val="002C778F"/>
    <w:rsid w:val="002C77E1"/>
    <w:rsid w:val="002C784C"/>
    <w:rsid w:val="002C7897"/>
    <w:rsid w:val="002C7A5A"/>
    <w:rsid w:val="002D0138"/>
    <w:rsid w:val="002D06C0"/>
    <w:rsid w:val="002D07A7"/>
    <w:rsid w:val="002D08DE"/>
    <w:rsid w:val="002D094D"/>
    <w:rsid w:val="002D0A02"/>
    <w:rsid w:val="002D0FB7"/>
    <w:rsid w:val="002D12D1"/>
    <w:rsid w:val="002D16E6"/>
    <w:rsid w:val="002D1AB3"/>
    <w:rsid w:val="002D1DD3"/>
    <w:rsid w:val="002D1E21"/>
    <w:rsid w:val="002D2271"/>
    <w:rsid w:val="002D26C4"/>
    <w:rsid w:val="002D2847"/>
    <w:rsid w:val="002D2DB6"/>
    <w:rsid w:val="002D2EF4"/>
    <w:rsid w:val="002D2F13"/>
    <w:rsid w:val="002D3049"/>
    <w:rsid w:val="002D308E"/>
    <w:rsid w:val="002D361F"/>
    <w:rsid w:val="002D36A9"/>
    <w:rsid w:val="002D3C04"/>
    <w:rsid w:val="002D3E38"/>
    <w:rsid w:val="002D4331"/>
    <w:rsid w:val="002D437E"/>
    <w:rsid w:val="002D4904"/>
    <w:rsid w:val="002D4AB2"/>
    <w:rsid w:val="002D4C77"/>
    <w:rsid w:val="002D4CC0"/>
    <w:rsid w:val="002D4FB0"/>
    <w:rsid w:val="002D50FC"/>
    <w:rsid w:val="002D51C6"/>
    <w:rsid w:val="002D53C3"/>
    <w:rsid w:val="002D55DC"/>
    <w:rsid w:val="002D5817"/>
    <w:rsid w:val="002D58AF"/>
    <w:rsid w:val="002D5920"/>
    <w:rsid w:val="002D5987"/>
    <w:rsid w:val="002D59E7"/>
    <w:rsid w:val="002D5B1A"/>
    <w:rsid w:val="002D60C3"/>
    <w:rsid w:val="002D6250"/>
    <w:rsid w:val="002D644B"/>
    <w:rsid w:val="002D648B"/>
    <w:rsid w:val="002D663C"/>
    <w:rsid w:val="002D6687"/>
    <w:rsid w:val="002D674E"/>
    <w:rsid w:val="002D6871"/>
    <w:rsid w:val="002D6923"/>
    <w:rsid w:val="002D6969"/>
    <w:rsid w:val="002D6BA0"/>
    <w:rsid w:val="002D6C27"/>
    <w:rsid w:val="002D7071"/>
    <w:rsid w:val="002D7167"/>
    <w:rsid w:val="002D732C"/>
    <w:rsid w:val="002D74C7"/>
    <w:rsid w:val="002D7585"/>
    <w:rsid w:val="002D7680"/>
    <w:rsid w:val="002D76CC"/>
    <w:rsid w:val="002D77DF"/>
    <w:rsid w:val="002D78B5"/>
    <w:rsid w:val="002D7AA8"/>
    <w:rsid w:val="002D7C58"/>
    <w:rsid w:val="002D7F99"/>
    <w:rsid w:val="002E0085"/>
    <w:rsid w:val="002E0551"/>
    <w:rsid w:val="002E09DF"/>
    <w:rsid w:val="002E0C28"/>
    <w:rsid w:val="002E0EFA"/>
    <w:rsid w:val="002E0F35"/>
    <w:rsid w:val="002E1194"/>
    <w:rsid w:val="002E1304"/>
    <w:rsid w:val="002E13CF"/>
    <w:rsid w:val="002E166F"/>
    <w:rsid w:val="002E171E"/>
    <w:rsid w:val="002E17B8"/>
    <w:rsid w:val="002E1912"/>
    <w:rsid w:val="002E1A24"/>
    <w:rsid w:val="002E1B1F"/>
    <w:rsid w:val="002E1C56"/>
    <w:rsid w:val="002E1C66"/>
    <w:rsid w:val="002E1DCB"/>
    <w:rsid w:val="002E1E62"/>
    <w:rsid w:val="002E207E"/>
    <w:rsid w:val="002E21AD"/>
    <w:rsid w:val="002E235B"/>
    <w:rsid w:val="002E238B"/>
    <w:rsid w:val="002E250A"/>
    <w:rsid w:val="002E2641"/>
    <w:rsid w:val="002E28B5"/>
    <w:rsid w:val="002E2903"/>
    <w:rsid w:val="002E2A2F"/>
    <w:rsid w:val="002E2CB7"/>
    <w:rsid w:val="002E2D01"/>
    <w:rsid w:val="002E2E9F"/>
    <w:rsid w:val="002E2F92"/>
    <w:rsid w:val="002E30F9"/>
    <w:rsid w:val="002E3112"/>
    <w:rsid w:val="002E311E"/>
    <w:rsid w:val="002E3127"/>
    <w:rsid w:val="002E31A2"/>
    <w:rsid w:val="002E359B"/>
    <w:rsid w:val="002E3A18"/>
    <w:rsid w:val="002E3A2A"/>
    <w:rsid w:val="002E3A3A"/>
    <w:rsid w:val="002E3BA9"/>
    <w:rsid w:val="002E3C7A"/>
    <w:rsid w:val="002E3EDF"/>
    <w:rsid w:val="002E3F10"/>
    <w:rsid w:val="002E40F3"/>
    <w:rsid w:val="002E4958"/>
    <w:rsid w:val="002E4A0D"/>
    <w:rsid w:val="002E4A8E"/>
    <w:rsid w:val="002E4D37"/>
    <w:rsid w:val="002E4E89"/>
    <w:rsid w:val="002E4E8F"/>
    <w:rsid w:val="002E4EF2"/>
    <w:rsid w:val="002E5185"/>
    <w:rsid w:val="002E5284"/>
    <w:rsid w:val="002E5304"/>
    <w:rsid w:val="002E54FA"/>
    <w:rsid w:val="002E55AB"/>
    <w:rsid w:val="002E5776"/>
    <w:rsid w:val="002E5802"/>
    <w:rsid w:val="002E58B6"/>
    <w:rsid w:val="002E59C3"/>
    <w:rsid w:val="002E5A1C"/>
    <w:rsid w:val="002E6016"/>
    <w:rsid w:val="002E6151"/>
    <w:rsid w:val="002E6183"/>
    <w:rsid w:val="002E6356"/>
    <w:rsid w:val="002E6712"/>
    <w:rsid w:val="002E68A3"/>
    <w:rsid w:val="002E68AB"/>
    <w:rsid w:val="002E6B37"/>
    <w:rsid w:val="002E6E10"/>
    <w:rsid w:val="002E6E42"/>
    <w:rsid w:val="002E6E7C"/>
    <w:rsid w:val="002E72AD"/>
    <w:rsid w:val="002E73EF"/>
    <w:rsid w:val="002E7658"/>
    <w:rsid w:val="002E774A"/>
    <w:rsid w:val="002E7785"/>
    <w:rsid w:val="002E7890"/>
    <w:rsid w:val="002E7B4D"/>
    <w:rsid w:val="002E7EF5"/>
    <w:rsid w:val="002E7FA2"/>
    <w:rsid w:val="002E7FE2"/>
    <w:rsid w:val="002F03ED"/>
    <w:rsid w:val="002F0511"/>
    <w:rsid w:val="002F0587"/>
    <w:rsid w:val="002F058D"/>
    <w:rsid w:val="002F063F"/>
    <w:rsid w:val="002F07A4"/>
    <w:rsid w:val="002F08C4"/>
    <w:rsid w:val="002F0C2A"/>
    <w:rsid w:val="002F0D7D"/>
    <w:rsid w:val="002F0FBC"/>
    <w:rsid w:val="002F0FE7"/>
    <w:rsid w:val="002F127F"/>
    <w:rsid w:val="002F12E6"/>
    <w:rsid w:val="002F16E0"/>
    <w:rsid w:val="002F17B2"/>
    <w:rsid w:val="002F18B0"/>
    <w:rsid w:val="002F1929"/>
    <w:rsid w:val="002F1AFF"/>
    <w:rsid w:val="002F1DF1"/>
    <w:rsid w:val="002F1E8D"/>
    <w:rsid w:val="002F21B7"/>
    <w:rsid w:val="002F2276"/>
    <w:rsid w:val="002F2278"/>
    <w:rsid w:val="002F2520"/>
    <w:rsid w:val="002F25DF"/>
    <w:rsid w:val="002F27B5"/>
    <w:rsid w:val="002F29C8"/>
    <w:rsid w:val="002F2D02"/>
    <w:rsid w:val="002F2E2A"/>
    <w:rsid w:val="002F2E55"/>
    <w:rsid w:val="002F2EA1"/>
    <w:rsid w:val="002F3094"/>
    <w:rsid w:val="002F30C3"/>
    <w:rsid w:val="002F3189"/>
    <w:rsid w:val="002F3325"/>
    <w:rsid w:val="002F336D"/>
    <w:rsid w:val="002F3400"/>
    <w:rsid w:val="002F37D0"/>
    <w:rsid w:val="002F3BAF"/>
    <w:rsid w:val="002F3C51"/>
    <w:rsid w:val="002F3FE2"/>
    <w:rsid w:val="002F4275"/>
    <w:rsid w:val="002F434E"/>
    <w:rsid w:val="002F44EA"/>
    <w:rsid w:val="002F4558"/>
    <w:rsid w:val="002F46E5"/>
    <w:rsid w:val="002F4750"/>
    <w:rsid w:val="002F47CE"/>
    <w:rsid w:val="002F4B6D"/>
    <w:rsid w:val="002F4E0E"/>
    <w:rsid w:val="002F4E6B"/>
    <w:rsid w:val="002F4EFE"/>
    <w:rsid w:val="002F5963"/>
    <w:rsid w:val="002F5BDB"/>
    <w:rsid w:val="002F5BF3"/>
    <w:rsid w:val="002F5C1D"/>
    <w:rsid w:val="002F5C38"/>
    <w:rsid w:val="002F5D22"/>
    <w:rsid w:val="002F5E78"/>
    <w:rsid w:val="002F5FFC"/>
    <w:rsid w:val="002F627C"/>
    <w:rsid w:val="002F62D0"/>
    <w:rsid w:val="002F635D"/>
    <w:rsid w:val="002F63DF"/>
    <w:rsid w:val="002F685C"/>
    <w:rsid w:val="002F6B22"/>
    <w:rsid w:val="002F6BFA"/>
    <w:rsid w:val="002F6C7D"/>
    <w:rsid w:val="002F6C8E"/>
    <w:rsid w:val="002F6D45"/>
    <w:rsid w:val="002F6E37"/>
    <w:rsid w:val="002F6E72"/>
    <w:rsid w:val="002F6FA1"/>
    <w:rsid w:val="002F6FBE"/>
    <w:rsid w:val="002F6FCA"/>
    <w:rsid w:val="002F71B7"/>
    <w:rsid w:val="002F7436"/>
    <w:rsid w:val="002F745E"/>
    <w:rsid w:val="002F74D7"/>
    <w:rsid w:val="002F7992"/>
    <w:rsid w:val="002F7C07"/>
    <w:rsid w:val="002F7CA2"/>
    <w:rsid w:val="002F7E0B"/>
    <w:rsid w:val="002F7F26"/>
    <w:rsid w:val="003001EF"/>
    <w:rsid w:val="003002BE"/>
    <w:rsid w:val="003002C0"/>
    <w:rsid w:val="00300467"/>
    <w:rsid w:val="00300611"/>
    <w:rsid w:val="00300FE3"/>
    <w:rsid w:val="00301063"/>
    <w:rsid w:val="0030108D"/>
    <w:rsid w:val="003011C9"/>
    <w:rsid w:val="00301356"/>
    <w:rsid w:val="00301460"/>
    <w:rsid w:val="003015A2"/>
    <w:rsid w:val="00301738"/>
    <w:rsid w:val="00301960"/>
    <w:rsid w:val="00301A52"/>
    <w:rsid w:val="00301D82"/>
    <w:rsid w:val="00301DD0"/>
    <w:rsid w:val="00302000"/>
    <w:rsid w:val="00302031"/>
    <w:rsid w:val="00302062"/>
    <w:rsid w:val="003020DC"/>
    <w:rsid w:val="00302184"/>
    <w:rsid w:val="00302765"/>
    <w:rsid w:val="003027D5"/>
    <w:rsid w:val="00302A7A"/>
    <w:rsid w:val="00302D41"/>
    <w:rsid w:val="00302F7D"/>
    <w:rsid w:val="00302F9A"/>
    <w:rsid w:val="0030333C"/>
    <w:rsid w:val="003033F1"/>
    <w:rsid w:val="003035CA"/>
    <w:rsid w:val="003038D1"/>
    <w:rsid w:val="00303913"/>
    <w:rsid w:val="00303914"/>
    <w:rsid w:val="00303B13"/>
    <w:rsid w:val="00303BED"/>
    <w:rsid w:val="003040FB"/>
    <w:rsid w:val="003042A1"/>
    <w:rsid w:val="003042F8"/>
    <w:rsid w:val="0030431E"/>
    <w:rsid w:val="003045C6"/>
    <w:rsid w:val="00304C32"/>
    <w:rsid w:val="00304C33"/>
    <w:rsid w:val="00304E6B"/>
    <w:rsid w:val="00304E95"/>
    <w:rsid w:val="00305112"/>
    <w:rsid w:val="00305248"/>
    <w:rsid w:val="0030528B"/>
    <w:rsid w:val="0030533D"/>
    <w:rsid w:val="00305352"/>
    <w:rsid w:val="00305867"/>
    <w:rsid w:val="003058AB"/>
    <w:rsid w:val="00305B12"/>
    <w:rsid w:val="00305BB4"/>
    <w:rsid w:val="00305BF0"/>
    <w:rsid w:val="00305E1A"/>
    <w:rsid w:val="00306588"/>
    <w:rsid w:val="003065BE"/>
    <w:rsid w:val="0030674F"/>
    <w:rsid w:val="00306768"/>
    <w:rsid w:val="00306791"/>
    <w:rsid w:val="0030689E"/>
    <w:rsid w:val="00306A4B"/>
    <w:rsid w:val="00306AFE"/>
    <w:rsid w:val="00307476"/>
    <w:rsid w:val="00307490"/>
    <w:rsid w:val="0030757A"/>
    <w:rsid w:val="00307A01"/>
    <w:rsid w:val="00307A1C"/>
    <w:rsid w:val="00307BD1"/>
    <w:rsid w:val="00307D30"/>
    <w:rsid w:val="00307D53"/>
    <w:rsid w:val="00307E61"/>
    <w:rsid w:val="00310138"/>
    <w:rsid w:val="00310231"/>
    <w:rsid w:val="003104A8"/>
    <w:rsid w:val="00310546"/>
    <w:rsid w:val="003106D4"/>
    <w:rsid w:val="00310930"/>
    <w:rsid w:val="00310A5E"/>
    <w:rsid w:val="00310ADF"/>
    <w:rsid w:val="00310B80"/>
    <w:rsid w:val="00310C75"/>
    <w:rsid w:val="00310F27"/>
    <w:rsid w:val="003111A8"/>
    <w:rsid w:val="003114C4"/>
    <w:rsid w:val="0031168F"/>
    <w:rsid w:val="003117FD"/>
    <w:rsid w:val="00311829"/>
    <w:rsid w:val="0031182C"/>
    <w:rsid w:val="00311F39"/>
    <w:rsid w:val="00312163"/>
    <w:rsid w:val="0031220A"/>
    <w:rsid w:val="0031222C"/>
    <w:rsid w:val="00312267"/>
    <w:rsid w:val="00312658"/>
    <w:rsid w:val="003126CE"/>
    <w:rsid w:val="003128D8"/>
    <w:rsid w:val="00312B1A"/>
    <w:rsid w:val="00312C56"/>
    <w:rsid w:val="00312D9C"/>
    <w:rsid w:val="00313257"/>
    <w:rsid w:val="003134E5"/>
    <w:rsid w:val="00313534"/>
    <w:rsid w:val="00313AB1"/>
    <w:rsid w:val="00313B4C"/>
    <w:rsid w:val="00313C2C"/>
    <w:rsid w:val="00313CA1"/>
    <w:rsid w:val="00313D3E"/>
    <w:rsid w:val="00313DBA"/>
    <w:rsid w:val="00313E90"/>
    <w:rsid w:val="00314227"/>
    <w:rsid w:val="003143C8"/>
    <w:rsid w:val="00314856"/>
    <w:rsid w:val="00314A1F"/>
    <w:rsid w:val="00314CFD"/>
    <w:rsid w:val="00314D34"/>
    <w:rsid w:val="00314D9D"/>
    <w:rsid w:val="00314DE8"/>
    <w:rsid w:val="00314E6E"/>
    <w:rsid w:val="00314E75"/>
    <w:rsid w:val="00314E7E"/>
    <w:rsid w:val="0031522C"/>
    <w:rsid w:val="00315314"/>
    <w:rsid w:val="00315480"/>
    <w:rsid w:val="003154D5"/>
    <w:rsid w:val="003155E0"/>
    <w:rsid w:val="0031571A"/>
    <w:rsid w:val="00315897"/>
    <w:rsid w:val="003159EF"/>
    <w:rsid w:val="00315C22"/>
    <w:rsid w:val="00315EC1"/>
    <w:rsid w:val="0031613D"/>
    <w:rsid w:val="003162E1"/>
    <w:rsid w:val="003164C1"/>
    <w:rsid w:val="003165A5"/>
    <w:rsid w:val="003165F8"/>
    <w:rsid w:val="00316ABC"/>
    <w:rsid w:val="0031709D"/>
    <w:rsid w:val="0031713E"/>
    <w:rsid w:val="003172DA"/>
    <w:rsid w:val="0031762F"/>
    <w:rsid w:val="003176FB"/>
    <w:rsid w:val="003179BC"/>
    <w:rsid w:val="00317C60"/>
    <w:rsid w:val="00317F2B"/>
    <w:rsid w:val="0032008D"/>
    <w:rsid w:val="003202E2"/>
    <w:rsid w:val="00320445"/>
    <w:rsid w:val="00320545"/>
    <w:rsid w:val="0032058E"/>
    <w:rsid w:val="003205A3"/>
    <w:rsid w:val="003207B5"/>
    <w:rsid w:val="0032080B"/>
    <w:rsid w:val="00320896"/>
    <w:rsid w:val="003208D7"/>
    <w:rsid w:val="00320B1B"/>
    <w:rsid w:val="00320E4E"/>
    <w:rsid w:val="00320E50"/>
    <w:rsid w:val="0032114A"/>
    <w:rsid w:val="0032127F"/>
    <w:rsid w:val="0032166C"/>
    <w:rsid w:val="003216D6"/>
    <w:rsid w:val="0032189A"/>
    <w:rsid w:val="003218A2"/>
    <w:rsid w:val="00321A6E"/>
    <w:rsid w:val="00321AF9"/>
    <w:rsid w:val="00321C2D"/>
    <w:rsid w:val="00321C9A"/>
    <w:rsid w:val="00322063"/>
    <w:rsid w:val="00322359"/>
    <w:rsid w:val="003223A7"/>
    <w:rsid w:val="003224EF"/>
    <w:rsid w:val="00322576"/>
    <w:rsid w:val="003227A6"/>
    <w:rsid w:val="00322C9E"/>
    <w:rsid w:val="00322DA7"/>
    <w:rsid w:val="0032300D"/>
    <w:rsid w:val="00323180"/>
    <w:rsid w:val="0032323B"/>
    <w:rsid w:val="00323809"/>
    <w:rsid w:val="00323932"/>
    <w:rsid w:val="0032397E"/>
    <w:rsid w:val="00323A09"/>
    <w:rsid w:val="00323A95"/>
    <w:rsid w:val="00323BF3"/>
    <w:rsid w:val="00323C0A"/>
    <w:rsid w:val="00323E9E"/>
    <w:rsid w:val="00324327"/>
    <w:rsid w:val="003244A4"/>
    <w:rsid w:val="003248A9"/>
    <w:rsid w:val="00324FDA"/>
    <w:rsid w:val="00325085"/>
    <w:rsid w:val="0032560A"/>
    <w:rsid w:val="00325678"/>
    <w:rsid w:val="0032581E"/>
    <w:rsid w:val="00325949"/>
    <w:rsid w:val="00325ACB"/>
    <w:rsid w:val="00326008"/>
    <w:rsid w:val="00326167"/>
    <w:rsid w:val="003261A3"/>
    <w:rsid w:val="00326292"/>
    <w:rsid w:val="003262E4"/>
    <w:rsid w:val="003266F5"/>
    <w:rsid w:val="003267CE"/>
    <w:rsid w:val="003268FC"/>
    <w:rsid w:val="0032690C"/>
    <w:rsid w:val="00326943"/>
    <w:rsid w:val="00326C04"/>
    <w:rsid w:val="00327095"/>
    <w:rsid w:val="00327272"/>
    <w:rsid w:val="003272D9"/>
    <w:rsid w:val="00327955"/>
    <w:rsid w:val="00327B12"/>
    <w:rsid w:val="00327C81"/>
    <w:rsid w:val="00327CA9"/>
    <w:rsid w:val="00327DA2"/>
    <w:rsid w:val="003301F7"/>
    <w:rsid w:val="003303AB"/>
    <w:rsid w:val="003303E4"/>
    <w:rsid w:val="00330499"/>
    <w:rsid w:val="00330993"/>
    <w:rsid w:val="003309B0"/>
    <w:rsid w:val="003309D2"/>
    <w:rsid w:val="00330C12"/>
    <w:rsid w:val="00330C57"/>
    <w:rsid w:val="003313EC"/>
    <w:rsid w:val="003314E2"/>
    <w:rsid w:val="00331580"/>
    <w:rsid w:val="0033164A"/>
    <w:rsid w:val="003316C1"/>
    <w:rsid w:val="00331844"/>
    <w:rsid w:val="00331923"/>
    <w:rsid w:val="00331BD4"/>
    <w:rsid w:val="00331C36"/>
    <w:rsid w:val="00331D4F"/>
    <w:rsid w:val="00331E2B"/>
    <w:rsid w:val="003320DC"/>
    <w:rsid w:val="0033258B"/>
    <w:rsid w:val="003325D3"/>
    <w:rsid w:val="0033269D"/>
    <w:rsid w:val="00332722"/>
    <w:rsid w:val="003328CA"/>
    <w:rsid w:val="003328CD"/>
    <w:rsid w:val="00332963"/>
    <w:rsid w:val="00332C01"/>
    <w:rsid w:val="00332CC4"/>
    <w:rsid w:val="00332D53"/>
    <w:rsid w:val="003330B9"/>
    <w:rsid w:val="00333107"/>
    <w:rsid w:val="00333176"/>
    <w:rsid w:val="00333190"/>
    <w:rsid w:val="0033335E"/>
    <w:rsid w:val="0033341F"/>
    <w:rsid w:val="00333690"/>
    <w:rsid w:val="00333861"/>
    <w:rsid w:val="00333880"/>
    <w:rsid w:val="003338D0"/>
    <w:rsid w:val="003339B1"/>
    <w:rsid w:val="003339DB"/>
    <w:rsid w:val="00333A21"/>
    <w:rsid w:val="00333B34"/>
    <w:rsid w:val="00333C58"/>
    <w:rsid w:val="00333DAB"/>
    <w:rsid w:val="00333DEF"/>
    <w:rsid w:val="00333ED9"/>
    <w:rsid w:val="003340D4"/>
    <w:rsid w:val="0033457B"/>
    <w:rsid w:val="003346BC"/>
    <w:rsid w:val="0033498B"/>
    <w:rsid w:val="00334A52"/>
    <w:rsid w:val="00334ADF"/>
    <w:rsid w:val="00334C55"/>
    <w:rsid w:val="00334F1B"/>
    <w:rsid w:val="0033517F"/>
    <w:rsid w:val="00335778"/>
    <w:rsid w:val="00335A52"/>
    <w:rsid w:val="00335CE4"/>
    <w:rsid w:val="0033686A"/>
    <w:rsid w:val="003368DE"/>
    <w:rsid w:val="0033696C"/>
    <w:rsid w:val="00337032"/>
    <w:rsid w:val="00337080"/>
    <w:rsid w:val="0033716B"/>
    <w:rsid w:val="0033746B"/>
    <w:rsid w:val="00337523"/>
    <w:rsid w:val="003375F0"/>
    <w:rsid w:val="00337679"/>
    <w:rsid w:val="0033770D"/>
    <w:rsid w:val="00337A98"/>
    <w:rsid w:val="00337B9D"/>
    <w:rsid w:val="00340011"/>
    <w:rsid w:val="003400CA"/>
    <w:rsid w:val="00340349"/>
    <w:rsid w:val="003405AC"/>
    <w:rsid w:val="00340785"/>
    <w:rsid w:val="00340A1E"/>
    <w:rsid w:val="00340A8C"/>
    <w:rsid w:val="00340EDB"/>
    <w:rsid w:val="00341118"/>
    <w:rsid w:val="003414F0"/>
    <w:rsid w:val="003415AF"/>
    <w:rsid w:val="003415B3"/>
    <w:rsid w:val="00341A20"/>
    <w:rsid w:val="00341D16"/>
    <w:rsid w:val="00341DA5"/>
    <w:rsid w:val="00341E3D"/>
    <w:rsid w:val="00341F89"/>
    <w:rsid w:val="00341FF8"/>
    <w:rsid w:val="0034227A"/>
    <w:rsid w:val="0034234E"/>
    <w:rsid w:val="00342574"/>
    <w:rsid w:val="003427AD"/>
    <w:rsid w:val="00342AA1"/>
    <w:rsid w:val="00342BBD"/>
    <w:rsid w:val="00342D22"/>
    <w:rsid w:val="00342DC6"/>
    <w:rsid w:val="00342E3D"/>
    <w:rsid w:val="00342F84"/>
    <w:rsid w:val="00343032"/>
    <w:rsid w:val="00343055"/>
    <w:rsid w:val="0034308A"/>
    <w:rsid w:val="0034321A"/>
    <w:rsid w:val="0034328C"/>
    <w:rsid w:val="0034345F"/>
    <w:rsid w:val="003434D8"/>
    <w:rsid w:val="00343530"/>
    <w:rsid w:val="0034353B"/>
    <w:rsid w:val="0034365C"/>
    <w:rsid w:val="003436BD"/>
    <w:rsid w:val="00343A30"/>
    <w:rsid w:val="00343CD4"/>
    <w:rsid w:val="00343D3E"/>
    <w:rsid w:val="00343EDF"/>
    <w:rsid w:val="0034411A"/>
    <w:rsid w:val="00344139"/>
    <w:rsid w:val="0034422A"/>
    <w:rsid w:val="0034479C"/>
    <w:rsid w:val="00344890"/>
    <w:rsid w:val="00344954"/>
    <w:rsid w:val="00344A74"/>
    <w:rsid w:val="00344B31"/>
    <w:rsid w:val="00344B4F"/>
    <w:rsid w:val="00344D42"/>
    <w:rsid w:val="00344EF6"/>
    <w:rsid w:val="00344F3F"/>
    <w:rsid w:val="00344F49"/>
    <w:rsid w:val="00344F56"/>
    <w:rsid w:val="00345002"/>
    <w:rsid w:val="00345053"/>
    <w:rsid w:val="00345347"/>
    <w:rsid w:val="003453A2"/>
    <w:rsid w:val="003454C6"/>
    <w:rsid w:val="0034550E"/>
    <w:rsid w:val="003455C5"/>
    <w:rsid w:val="0034584C"/>
    <w:rsid w:val="00345D63"/>
    <w:rsid w:val="00345DC6"/>
    <w:rsid w:val="003461DD"/>
    <w:rsid w:val="003464B7"/>
    <w:rsid w:val="003465BD"/>
    <w:rsid w:val="003465D9"/>
    <w:rsid w:val="00346638"/>
    <w:rsid w:val="00346784"/>
    <w:rsid w:val="00346884"/>
    <w:rsid w:val="003468E6"/>
    <w:rsid w:val="00346B2B"/>
    <w:rsid w:val="00346D26"/>
    <w:rsid w:val="00346D2C"/>
    <w:rsid w:val="00347258"/>
    <w:rsid w:val="003473C8"/>
    <w:rsid w:val="003474ED"/>
    <w:rsid w:val="0034789D"/>
    <w:rsid w:val="00347968"/>
    <w:rsid w:val="00347A30"/>
    <w:rsid w:val="00347E14"/>
    <w:rsid w:val="00347E77"/>
    <w:rsid w:val="00347F09"/>
    <w:rsid w:val="00347F0A"/>
    <w:rsid w:val="00350039"/>
    <w:rsid w:val="00350129"/>
    <w:rsid w:val="00350193"/>
    <w:rsid w:val="0035019D"/>
    <w:rsid w:val="003501C5"/>
    <w:rsid w:val="003502C7"/>
    <w:rsid w:val="003504FF"/>
    <w:rsid w:val="00350666"/>
    <w:rsid w:val="003506D8"/>
    <w:rsid w:val="003506DC"/>
    <w:rsid w:val="0035076C"/>
    <w:rsid w:val="003508EA"/>
    <w:rsid w:val="003509D9"/>
    <w:rsid w:val="00350B3C"/>
    <w:rsid w:val="00350C30"/>
    <w:rsid w:val="00350DC5"/>
    <w:rsid w:val="0035115E"/>
    <w:rsid w:val="00351363"/>
    <w:rsid w:val="00351381"/>
    <w:rsid w:val="00351576"/>
    <w:rsid w:val="00351688"/>
    <w:rsid w:val="003518D9"/>
    <w:rsid w:val="00351CC6"/>
    <w:rsid w:val="00351DED"/>
    <w:rsid w:val="00352043"/>
    <w:rsid w:val="00352606"/>
    <w:rsid w:val="00352616"/>
    <w:rsid w:val="00352636"/>
    <w:rsid w:val="00352CD6"/>
    <w:rsid w:val="0035356B"/>
    <w:rsid w:val="0035370F"/>
    <w:rsid w:val="003538A9"/>
    <w:rsid w:val="003538CD"/>
    <w:rsid w:val="00353AD7"/>
    <w:rsid w:val="00353B12"/>
    <w:rsid w:val="00353C51"/>
    <w:rsid w:val="00353C67"/>
    <w:rsid w:val="00353C70"/>
    <w:rsid w:val="0035406D"/>
    <w:rsid w:val="0035413F"/>
    <w:rsid w:val="00354293"/>
    <w:rsid w:val="00354745"/>
    <w:rsid w:val="00354857"/>
    <w:rsid w:val="0035496F"/>
    <w:rsid w:val="00354C7E"/>
    <w:rsid w:val="00354F04"/>
    <w:rsid w:val="003551D0"/>
    <w:rsid w:val="003555BC"/>
    <w:rsid w:val="00355889"/>
    <w:rsid w:val="0035590C"/>
    <w:rsid w:val="00355945"/>
    <w:rsid w:val="00355BA6"/>
    <w:rsid w:val="00355C84"/>
    <w:rsid w:val="00355DA4"/>
    <w:rsid w:val="00355DD7"/>
    <w:rsid w:val="00355DDD"/>
    <w:rsid w:val="00356084"/>
    <w:rsid w:val="0035618B"/>
    <w:rsid w:val="0035627E"/>
    <w:rsid w:val="003562A6"/>
    <w:rsid w:val="003563A5"/>
    <w:rsid w:val="00356402"/>
    <w:rsid w:val="00356468"/>
    <w:rsid w:val="00356485"/>
    <w:rsid w:val="00356593"/>
    <w:rsid w:val="003565C6"/>
    <w:rsid w:val="00356714"/>
    <w:rsid w:val="00356715"/>
    <w:rsid w:val="003567FF"/>
    <w:rsid w:val="00356930"/>
    <w:rsid w:val="00356C41"/>
    <w:rsid w:val="00356C67"/>
    <w:rsid w:val="00356E4F"/>
    <w:rsid w:val="00356F34"/>
    <w:rsid w:val="003571B9"/>
    <w:rsid w:val="00357542"/>
    <w:rsid w:val="0035772E"/>
    <w:rsid w:val="0035789D"/>
    <w:rsid w:val="00357987"/>
    <w:rsid w:val="003579ED"/>
    <w:rsid w:val="00357A65"/>
    <w:rsid w:val="00357A71"/>
    <w:rsid w:val="00357C23"/>
    <w:rsid w:val="00357C9D"/>
    <w:rsid w:val="00360024"/>
    <w:rsid w:val="003602CC"/>
    <w:rsid w:val="00360366"/>
    <w:rsid w:val="00360392"/>
    <w:rsid w:val="00360398"/>
    <w:rsid w:val="003604C5"/>
    <w:rsid w:val="00360664"/>
    <w:rsid w:val="0036088A"/>
    <w:rsid w:val="00360899"/>
    <w:rsid w:val="003609EC"/>
    <w:rsid w:val="00361001"/>
    <w:rsid w:val="00361712"/>
    <w:rsid w:val="0036172F"/>
    <w:rsid w:val="003617C8"/>
    <w:rsid w:val="0036194F"/>
    <w:rsid w:val="00361CD2"/>
    <w:rsid w:val="00361D32"/>
    <w:rsid w:val="00361D9E"/>
    <w:rsid w:val="00362013"/>
    <w:rsid w:val="00362849"/>
    <w:rsid w:val="003628BA"/>
    <w:rsid w:val="00362A62"/>
    <w:rsid w:val="00362B73"/>
    <w:rsid w:val="00362C96"/>
    <w:rsid w:val="00362D8E"/>
    <w:rsid w:val="00363091"/>
    <w:rsid w:val="003630B2"/>
    <w:rsid w:val="0036310C"/>
    <w:rsid w:val="003636C7"/>
    <w:rsid w:val="00363AD0"/>
    <w:rsid w:val="00363F3E"/>
    <w:rsid w:val="00364161"/>
    <w:rsid w:val="00364265"/>
    <w:rsid w:val="003643AC"/>
    <w:rsid w:val="00364545"/>
    <w:rsid w:val="00364635"/>
    <w:rsid w:val="00364771"/>
    <w:rsid w:val="0036489F"/>
    <w:rsid w:val="00364B06"/>
    <w:rsid w:val="00364FC5"/>
    <w:rsid w:val="003656AF"/>
    <w:rsid w:val="00365813"/>
    <w:rsid w:val="00365906"/>
    <w:rsid w:val="00365CA6"/>
    <w:rsid w:val="00365E9A"/>
    <w:rsid w:val="00365EA9"/>
    <w:rsid w:val="00366290"/>
    <w:rsid w:val="00366B6D"/>
    <w:rsid w:val="00366B71"/>
    <w:rsid w:val="00366C00"/>
    <w:rsid w:val="00366C0D"/>
    <w:rsid w:val="00366D4C"/>
    <w:rsid w:val="0036708C"/>
    <w:rsid w:val="00367497"/>
    <w:rsid w:val="00367557"/>
    <w:rsid w:val="0037004E"/>
    <w:rsid w:val="003701C0"/>
    <w:rsid w:val="0037099C"/>
    <w:rsid w:val="00370BA0"/>
    <w:rsid w:val="00370E10"/>
    <w:rsid w:val="00371081"/>
    <w:rsid w:val="00371160"/>
    <w:rsid w:val="00371587"/>
    <w:rsid w:val="003716FB"/>
    <w:rsid w:val="0037191D"/>
    <w:rsid w:val="00371E52"/>
    <w:rsid w:val="00371EA7"/>
    <w:rsid w:val="0037234C"/>
    <w:rsid w:val="00372600"/>
    <w:rsid w:val="0037262E"/>
    <w:rsid w:val="003726E5"/>
    <w:rsid w:val="00372818"/>
    <w:rsid w:val="00372830"/>
    <w:rsid w:val="00372848"/>
    <w:rsid w:val="00372AD1"/>
    <w:rsid w:val="00372DE4"/>
    <w:rsid w:val="00372E53"/>
    <w:rsid w:val="00372FB6"/>
    <w:rsid w:val="003735B8"/>
    <w:rsid w:val="00373783"/>
    <w:rsid w:val="0037379D"/>
    <w:rsid w:val="003737C1"/>
    <w:rsid w:val="00374077"/>
    <w:rsid w:val="0037408F"/>
    <w:rsid w:val="0037416E"/>
    <w:rsid w:val="00374241"/>
    <w:rsid w:val="0037424A"/>
    <w:rsid w:val="0037433C"/>
    <w:rsid w:val="00374366"/>
    <w:rsid w:val="003744C7"/>
    <w:rsid w:val="00374521"/>
    <w:rsid w:val="003745E4"/>
    <w:rsid w:val="00374B51"/>
    <w:rsid w:val="00374C3E"/>
    <w:rsid w:val="00374D9E"/>
    <w:rsid w:val="00374E74"/>
    <w:rsid w:val="00375005"/>
    <w:rsid w:val="003750EC"/>
    <w:rsid w:val="0037514A"/>
    <w:rsid w:val="0037515C"/>
    <w:rsid w:val="00375256"/>
    <w:rsid w:val="003754FB"/>
    <w:rsid w:val="0037560B"/>
    <w:rsid w:val="00375956"/>
    <w:rsid w:val="00375A1C"/>
    <w:rsid w:val="00375DA3"/>
    <w:rsid w:val="00375DE8"/>
    <w:rsid w:val="003760E2"/>
    <w:rsid w:val="00376120"/>
    <w:rsid w:val="00376206"/>
    <w:rsid w:val="00376368"/>
    <w:rsid w:val="003768E7"/>
    <w:rsid w:val="00376A2D"/>
    <w:rsid w:val="00376CAA"/>
    <w:rsid w:val="00376D63"/>
    <w:rsid w:val="003771F2"/>
    <w:rsid w:val="0037736C"/>
    <w:rsid w:val="0037793A"/>
    <w:rsid w:val="00377ADE"/>
    <w:rsid w:val="00377B7B"/>
    <w:rsid w:val="00377D08"/>
    <w:rsid w:val="00377E48"/>
    <w:rsid w:val="00377F94"/>
    <w:rsid w:val="0038015E"/>
    <w:rsid w:val="003801A9"/>
    <w:rsid w:val="003803AD"/>
    <w:rsid w:val="0038081E"/>
    <w:rsid w:val="0038086B"/>
    <w:rsid w:val="003808BA"/>
    <w:rsid w:val="00380A8E"/>
    <w:rsid w:val="00380A91"/>
    <w:rsid w:val="00380DCF"/>
    <w:rsid w:val="00380E59"/>
    <w:rsid w:val="00380FE9"/>
    <w:rsid w:val="003812E5"/>
    <w:rsid w:val="00381685"/>
    <w:rsid w:val="003816FC"/>
    <w:rsid w:val="0038187D"/>
    <w:rsid w:val="0038193A"/>
    <w:rsid w:val="00381AEC"/>
    <w:rsid w:val="00381D28"/>
    <w:rsid w:val="00381EB9"/>
    <w:rsid w:val="00382082"/>
    <w:rsid w:val="003820B8"/>
    <w:rsid w:val="0038219B"/>
    <w:rsid w:val="00382262"/>
    <w:rsid w:val="003822DA"/>
    <w:rsid w:val="00382471"/>
    <w:rsid w:val="003824DF"/>
    <w:rsid w:val="003825DB"/>
    <w:rsid w:val="00382708"/>
    <w:rsid w:val="00382806"/>
    <w:rsid w:val="003828D6"/>
    <w:rsid w:val="00382AAB"/>
    <w:rsid w:val="00382AD0"/>
    <w:rsid w:val="00382C96"/>
    <w:rsid w:val="00382DF6"/>
    <w:rsid w:val="00382ED5"/>
    <w:rsid w:val="00383043"/>
    <w:rsid w:val="003831CC"/>
    <w:rsid w:val="0038349C"/>
    <w:rsid w:val="003834A1"/>
    <w:rsid w:val="003835E9"/>
    <w:rsid w:val="00383B6C"/>
    <w:rsid w:val="00383B8F"/>
    <w:rsid w:val="00383CDF"/>
    <w:rsid w:val="00383DD9"/>
    <w:rsid w:val="00383F93"/>
    <w:rsid w:val="00383FA6"/>
    <w:rsid w:val="00384279"/>
    <w:rsid w:val="003843D6"/>
    <w:rsid w:val="00384957"/>
    <w:rsid w:val="00384BCA"/>
    <w:rsid w:val="00384E19"/>
    <w:rsid w:val="00384E2D"/>
    <w:rsid w:val="00384E8E"/>
    <w:rsid w:val="0038578A"/>
    <w:rsid w:val="00385A82"/>
    <w:rsid w:val="00385F14"/>
    <w:rsid w:val="0038604F"/>
    <w:rsid w:val="003860D0"/>
    <w:rsid w:val="00386452"/>
    <w:rsid w:val="003864B6"/>
    <w:rsid w:val="003869DD"/>
    <w:rsid w:val="00386BCB"/>
    <w:rsid w:val="00386D2F"/>
    <w:rsid w:val="00386E83"/>
    <w:rsid w:val="00386F70"/>
    <w:rsid w:val="00386F88"/>
    <w:rsid w:val="003876CA"/>
    <w:rsid w:val="00387828"/>
    <w:rsid w:val="00387AB9"/>
    <w:rsid w:val="00387B77"/>
    <w:rsid w:val="00390073"/>
    <w:rsid w:val="003906A7"/>
    <w:rsid w:val="00390738"/>
    <w:rsid w:val="00390749"/>
    <w:rsid w:val="0039085D"/>
    <w:rsid w:val="0039097B"/>
    <w:rsid w:val="00390A41"/>
    <w:rsid w:val="00390A5E"/>
    <w:rsid w:val="00390CC5"/>
    <w:rsid w:val="0039150C"/>
    <w:rsid w:val="0039157D"/>
    <w:rsid w:val="0039171B"/>
    <w:rsid w:val="00391755"/>
    <w:rsid w:val="00391784"/>
    <w:rsid w:val="00391899"/>
    <w:rsid w:val="00391AE4"/>
    <w:rsid w:val="00391AE8"/>
    <w:rsid w:val="00391BED"/>
    <w:rsid w:val="00391CE2"/>
    <w:rsid w:val="00391F12"/>
    <w:rsid w:val="00391F79"/>
    <w:rsid w:val="0039210A"/>
    <w:rsid w:val="00392371"/>
    <w:rsid w:val="0039291D"/>
    <w:rsid w:val="00392A5A"/>
    <w:rsid w:val="00392B3E"/>
    <w:rsid w:val="00392CB3"/>
    <w:rsid w:val="00392D19"/>
    <w:rsid w:val="00392F04"/>
    <w:rsid w:val="003930A1"/>
    <w:rsid w:val="00393313"/>
    <w:rsid w:val="003934D3"/>
    <w:rsid w:val="003935D4"/>
    <w:rsid w:val="0039364B"/>
    <w:rsid w:val="00393693"/>
    <w:rsid w:val="00393877"/>
    <w:rsid w:val="00394279"/>
    <w:rsid w:val="0039464D"/>
    <w:rsid w:val="0039480E"/>
    <w:rsid w:val="003948B2"/>
    <w:rsid w:val="00394911"/>
    <w:rsid w:val="00394963"/>
    <w:rsid w:val="00394DD9"/>
    <w:rsid w:val="00394E86"/>
    <w:rsid w:val="0039519C"/>
    <w:rsid w:val="00395320"/>
    <w:rsid w:val="0039533C"/>
    <w:rsid w:val="00395446"/>
    <w:rsid w:val="00395B45"/>
    <w:rsid w:val="00395C43"/>
    <w:rsid w:val="00395CF8"/>
    <w:rsid w:val="00396008"/>
    <w:rsid w:val="00396105"/>
    <w:rsid w:val="003963B8"/>
    <w:rsid w:val="0039667A"/>
    <w:rsid w:val="00396826"/>
    <w:rsid w:val="003968EA"/>
    <w:rsid w:val="00396ABB"/>
    <w:rsid w:val="00396B1A"/>
    <w:rsid w:val="00396D40"/>
    <w:rsid w:val="00396DE3"/>
    <w:rsid w:val="00397433"/>
    <w:rsid w:val="003974E2"/>
    <w:rsid w:val="003975A1"/>
    <w:rsid w:val="00397697"/>
    <w:rsid w:val="00397B8D"/>
    <w:rsid w:val="00397E51"/>
    <w:rsid w:val="003A0005"/>
    <w:rsid w:val="003A056D"/>
    <w:rsid w:val="003A0761"/>
    <w:rsid w:val="003A0998"/>
    <w:rsid w:val="003A0D7C"/>
    <w:rsid w:val="003A149D"/>
    <w:rsid w:val="003A1D4D"/>
    <w:rsid w:val="003A20D8"/>
    <w:rsid w:val="003A23B2"/>
    <w:rsid w:val="003A28E5"/>
    <w:rsid w:val="003A2B2C"/>
    <w:rsid w:val="003A2BA6"/>
    <w:rsid w:val="003A2F52"/>
    <w:rsid w:val="003A317D"/>
    <w:rsid w:val="003A3185"/>
    <w:rsid w:val="003A3500"/>
    <w:rsid w:val="003A360B"/>
    <w:rsid w:val="003A389C"/>
    <w:rsid w:val="003A38E5"/>
    <w:rsid w:val="003A3952"/>
    <w:rsid w:val="003A39AA"/>
    <w:rsid w:val="003A3ACC"/>
    <w:rsid w:val="003A3DB3"/>
    <w:rsid w:val="003A3DE0"/>
    <w:rsid w:val="003A3E8A"/>
    <w:rsid w:val="003A4168"/>
    <w:rsid w:val="003A41EC"/>
    <w:rsid w:val="003A455A"/>
    <w:rsid w:val="003A4A6C"/>
    <w:rsid w:val="003A4CF1"/>
    <w:rsid w:val="003A4D17"/>
    <w:rsid w:val="003A4EC2"/>
    <w:rsid w:val="003A4F4C"/>
    <w:rsid w:val="003A4F9A"/>
    <w:rsid w:val="003A52BB"/>
    <w:rsid w:val="003A52C5"/>
    <w:rsid w:val="003A52F4"/>
    <w:rsid w:val="003A5318"/>
    <w:rsid w:val="003A53C2"/>
    <w:rsid w:val="003A547B"/>
    <w:rsid w:val="003A5630"/>
    <w:rsid w:val="003A56DB"/>
    <w:rsid w:val="003A57B5"/>
    <w:rsid w:val="003A58EB"/>
    <w:rsid w:val="003A5A57"/>
    <w:rsid w:val="003A5BC7"/>
    <w:rsid w:val="003A5DA1"/>
    <w:rsid w:val="003A5F2D"/>
    <w:rsid w:val="003A6047"/>
    <w:rsid w:val="003A627B"/>
    <w:rsid w:val="003A6509"/>
    <w:rsid w:val="003A67FC"/>
    <w:rsid w:val="003A6874"/>
    <w:rsid w:val="003A68D7"/>
    <w:rsid w:val="003A6ACE"/>
    <w:rsid w:val="003A6BCE"/>
    <w:rsid w:val="003A6CC4"/>
    <w:rsid w:val="003A6D0E"/>
    <w:rsid w:val="003A7032"/>
    <w:rsid w:val="003A70F5"/>
    <w:rsid w:val="003A72FF"/>
    <w:rsid w:val="003A7396"/>
    <w:rsid w:val="003A744D"/>
    <w:rsid w:val="003A7529"/>
    <w:rsid w:val="003A75EF"/>
    <w:rsid w:val="003A7681"/>
    <w:rsid w:val="003A76BB"/>
    <w:rsid w:val="003A7A20"/>
    <w:rsid w:val="003A7DEB"/>
    <w:rsid w:val="003B023C"/>
    <w:rsid w:val="003B0291"/>
    <w:rsid w:val="003B029F"/>
    <w:rsid w:val="003B02E5"/>
    <w:rsid w:val="003B03A3"/>
    <w:rsid w:val="003B03EE"/>
    <w:rsid w:val="003B052A"/>
    <w:rsid w:val="003B05AB"/>
    <w:rsid w:val="003B08A0"/>
    <w:rsid w:val="003B0B1F"/>
    <w:rsid w:val="003B0B88"/>
    <w:rsid w:val="003B0F8E"/>
    <w:rsid w:val="003B0FD4"/>
    <w:rsid w:val="003B0FEC"/>
    <w:rsid w:val="003B1601"/>
    <w:rsid w:val="003B165B"/>
    <w:rsid w:val="003B1A0A"/>
    <w:rsid w:val="003B1A3A"/>
    <w:rsid w:val="003B1A67"/>
    <w:rsid w:val="003B1DC1"/>
    <w:rsid w:val="003B1EB0"/>
    <w:rsid w:val="003B1F96"/>
    <w:rsid w:val="003B2371"/>
    <w:rsid w:val="003B23E1"/>
    <w:rsid w:val="003B2416"/>
    <w:rsid w:val="003B26F2"/>
    <w:rsid w:val="003B2859"/>
    <w:rsid w:val="003B287A"/>
    <w:rsid w:val="003B2947"/>
    <w:rsid w:val="003B2956"/>
    <w:rsid w:val="003B2C03"/>
    <w:rsid w:val="003B2C95"/>
    <w:rsid w:val="003B2CAB"/>
    <w:rsid w:val="003B2D52"/>
    <w:rsid w:val="003B30FE"/>
    <w:rsid w:val="003B37B0"/>
    <w:rsid w:val="003B3AB7"/>
    <w:rsid w:val="003B3ABA"/>
    <w:rsid w:val="003B3AE0"/>
    <w:rsid w:val="003B3DDB"/>
    <w:rsid w:val="003B41B2"/>
    <w:rsid w:val="003B433A"/>
    <w:rsid w:val="003B4390"/>
    <w:rsid w:val="003B43DF"/>
    <w:rsid w:val="003B43E9"/>
    <w:rsid w:val="003B44D7"/>
    <w:rsid w:val="003B45DC"/>
    <w:rsid w:val="003B467D"/>
    <w:rsid w:val="003B4803"/>
    <w:rsid w:val="003B4AD3"/>
    <w:rsid w:val="003B4C02"/>
    <w:rsid w:val="003B4D36"/>
    <w:rsid w:val="003B4D65"/>
    <w:rsid w:val="003B515E"/>
    <w:rsid w:val="003B51E5"/>
    <w:rsid w:val="003B56FB"/>
    <w:rsid w:val="003B590A"/>
    <w:rsid w:val="003B5B24"/>
    <w:rsid w:val="003B5F87"/>
    <w:rsid w:val="003B60FB"/>
    <w:rsid w:val="003B6397"/>
    <w:rsid w:val="003B6796"/>
    <w:rsid w:val="003B682F"/>
    <w:rsid w:val="003B69AB"/>
    <w:rsid w:val="003B6A27"/>
    <w:rsid w:val="003B6AE4"/>
    <w:rsid w:val="003B6AE8"/>
    <w:rsid w:val="003B6BFB"/>
    <w:rsid w:val="003B6CC1"/>
    <w:rsid w:val="003B6D1B"/>
    <w:rsid w:val="003B6D99"/>
    <w:rsid w:val="003B6F05"/>
    <w:rsid w:val="003B7175"/>
    <w:rsid w:val="003B725A"/>
    <w:rsid w:val="003B7720"/>
    <w:rsid w:val="003B79BE"/>
    <w:rsid w:val="003B7B39"/>
    <w:rsid w:val="003B7C9E"/>
    <w:rsid w:val="003B7E2F"/>
    <w:rsid w:val="003C018F"/>
    <w:rsid w:val="003C025E"/>
    <w:rsid w:val="003C0279"/>
    <w:rsid w:val="003C0A20"/>
    <w:rsid w:val="003C0B84"/>
    <w:rsid w:val="003C0C40"/>
    <w:rsid w:val="003C0D5C"/>
    <w:rsid w:val="003C0D7C"/>
    <w:rsid w:val="003C0E13"/>
    <w:rsid w:val="003C10BE"/>
    <w:rsid w:val="003C11F8"/>
    <w:rsid w:val="003C1324"/>
    <w:rsid w:val="003C14B9"/>
    <w:rsid w:val="003C18D9"/>
    <w:rsid w:val="003C1C45"/>
    <w:rsid w:val="003C1F4B"/>
    <w:rsid w:val="003C2279"/>
    <w:rsid w:val="003C2680"/>
    <w:rsid w:val="003C26AB"/>
    <w:rsid w:val="003C2725"/>
    <w:rsid w:val="003C27D1"/>
    <w:rsid w:val="003C2881"/>
    <w:rsid w:val="003C2987"/>
    <w:rsid w:val="003C2AF3"/>
    <w:rsid w:val="003C2B60"/>
    <w:rsid w:val="003C2CA3"/>
    <w:rsid w:val="003C2CB2"/>
    <w:rsid w:val="003C2E28"/>
    <w:rsid w:val="003C3297"/>
    <w:rsid w:val="003C3300"/>
    <w:rsid w:val="003C3A5F"/>
    <w:rsid w:val="003C3CD4"/>
    <w:rsid w:val="003C4081"/>
    <w:rsid w:val="003C40F1"/>
    <w:rsid w:val="003C4257"/>
    <w:rsid w:val="003C42AF"/>
    <w:rsid w:val="003C44FF"/>
    <w:rsid w:val="003C4DA8"/>
    <w:rsid w:val="003C4E02"/>
    <w:rsid w:val="003C4FCF"/>
    <w:rsid w:val="003C5017"/>
    <w:rsid w:val="003C50A4"/>
    <w:rsid w:val="003C53BA"/>
    <w:rsid w:val="003C5711"/>
    <w:rsid w:val="003C5751"/>
    <w:rsid w:val="003C57F2"/>
    <w:rsid w:val="003C5853"/>
    <w:rsid w:val="003C597A"/>
    <w:rsid w:val="003C5E94"/>
    <w:rsid w:val="003C6116"/>
    <w:rsid w:val="003C66A2"/>
    <w:rsid w:val="003C6983"/>
    <w:rsid w:val="003C69B7"/>
    <w:rsid w:val="003C6E0E"/>
    <w:rsid w:val="003C6E4F"/>
    <w:rsid w:val="003C6E5F"/>
    <w:rsid w:val="003C6FD7"/>
    <w:rsid w:val="003C7292"/>
    <w:rsid w:val="003C77A0"/>
    <w:rsid w:val="003C786B"/>
    <w:rsid w:val="003C790C"/>
    <w:rsid w:val="003C79F3"/>
    <w:rsid w:val="003C7C99"/>
    <w:rsid w:val="003D01AA"/>
    <w:rsid w:val="003D01FB"/>
    <w:rsid w:val="003D0215"/>
    <w:rsid w:val="003D036C"/>
    <w:rsid w:val="003D0906"/>
    <w:rsid w:val="003D0A0E"/>
    <w:rsid w:val="003D0ED3"/>
    <w:rsid w:val="003D121C"/>
    <w:rsid w:val="003D1370"/>
    <w:rsid w:val="003D1386"/>
    <w:rsid w:val="003D1420"/>
    <w:rsid w:val="003D1421"/>
    <w:rsid w:val="003D1431"/>
    <w:rsid w:val="003D158D"/>
    <w:rsid w:val="003D170B"/>
    <w:rsid w:val="003D1907"/>
    <w:rsid w:val="003D1B33"/>
    <w:rsid w:val="003D1C7C"/>
    <w:rsid w:val="003D1E64"/>
    <w:rsid w:val="003D1E9C"/>
    <w:rsid w:val="003D1ED4"/>
    <w:rsid w:val="003D2176"/>
    <w:rsid w:val="003D235D"/>
    <w:rsid w:val="003D2555"/>
    <w:rsid w:val="003D26E3"/>
    <w:rsid w:val="003D2A65"/>
    <w:rsid w:val="003D2C04"/>
    <w:rsid w:val="003D2CB3"/>
    <w:rsid w:val="003D2F1F"/>
    <w:rsid w:val="003D3308"/>
    <w:rsid w:val="003D35CC"/>
    <w:rsid w:val="003D3731"/>
    <w:rsid w:val="003D3A05"/>
    <w:rsid w:val="003D3B74"/>
    <w:rsid w:val="003D3C9C"/>
    <w:rsid w:val="003D3D28"/>
    <w:rsid w:val="003D3D94"/>
    <w:rsid w:val="003D4032"/>
    <w:rsid w:val="003D4090"/>
    <w:rsid w:val="003D42C1"/>
    <w:rsid w:val="003D437F"/>
    <w:rsid w:val="003D4499"/>
    <w:rsid w:val="003D45AE"/>
    <w:rsid w:val="003D45B7"/>
    <w:rsid w:val="003D46DB"/>
    <w:rsid w:val="003D4853"/>
    <w:rsid w:val="003D4B68"/>
    <w:rsid w:val="003D4C60"/>
    <w:rsid w:val="003D4F4C"/>
    <w:rsid w:val="003D4FF1"/>
    <w:rsid w:val="003D5204"/>
    <w:rsid w:val="003D54B0"/>
    <w:rsid w:val="003D570A"/>
    <w:rsid w:val="003D58BA"/>
    <w:rsid w:val="003D5B3A"/>
    <w:rsid w:val="003D5D6D"/>
    <w:rsid w:val="003D6004"/>
    <w:rsid w:val="003D65B3"/>
    <w:rsid w:val="003D6636"/>
    <w:rsid w:val="003D67FD"/>
    <w:rsid w:val="003D69C7"/>
    <w:rsid w:val="003D6ABE"/>
    <w:rsid w:val="003D6CD9"/>
    <w:rsid w:val="003D6DE1"/>
    <w:rsid w:val="003D6EDC"/>
    <w:rsid w:val="003D6FB2"/>
    <w:rsid w:val="003D744E"/>
    <w:rsid w:val="003D7564"/>
    <w:rsid w:val="003D7684"/>
    <w:rsid w:val="003D7813"/>
    <w:rsid w:val="003D79CC"/>
    <w:rsid w:val="003D7A2A"/>
    <w:rsid w:val="003D7AC9"/>
    <w:rsid w:val="003D7BE1"/>
    <w:rsid w:val="003D7CE5"/>
    <w:rsid w:val="003D7F59"/>
    <w:rsid w:val="003D7F5B"/>
    <w:rsid w:val="003D7F88"/>
    <w:rsid w:val="003E002C"/>
    <w:rsid w:val="003E00B4"/>
    <w:rsid w:val="003E0114"/>
    <w:rsid w:val="003E018C"/>
    <w:rsid w:val="003E01E0"/>
    <w:rsid w:val="003E021A"/>
    <w:rsid w:val="003E03FA"/>
    <w:rsid w:val="003E0697"/>
    <w:rsid w:val="003E0786"/>
    <w:rsid w:val="003E096B"/>
    <w:rsid w:val="003E0980"/>
    <w:rsid w:val="003E0A5E"/>
    <w:rsid w:val="003E0BEA"/>
    <w:rsid w:val="003E0E64"/>
    <w:rsid w:val="003E0F48"/>
    <w:rsid w:val="003E104A"/>
    <w:rsid w:val="003E12A5"/>
    <w:rsid w:val="003E13DD"/>
    <w:rsid w:val="003E15C1"/>
    <w:rsid w:val="003E1854"/>
    <w:rsid w:val="003E1A68"/>
    <w:rsid w:val="003E1DD4"/>
    <w:rsid w:val="003E1FBF"/>
    <w:rsid w:val="003E2043"/>
    <w:rsid w:val="003E2240"/>
    <w:rsid w:val="003E248B"/>
    <w:rsid w:val="003E250F"/>
    <w:rsid w:val="003E2681"/>
    <w:rsid w:val="003E2780"/>
    <w:rsid w:val="003E2AF2"/>
    <w:rsid w:val="003E2BD2"/>
    <w:rsid w:val="003E2C54"/>
    <w:rsid w:val="003E2D89"/>
    <w:rsid w:val="003E3073"/>
    <w:rsid w:val="003E3585"/>
    <w:rsid w:val="003E3BE3"/>
    <w:rsid w:val="003E3C83"/>
    <w:rsid w:val="003E3DD4"/>
    <w:rsid w:val="003E3DE6"/>
    <w:rsid w:val="003E3DFA"/>
    <w:rsid w:val="003E4025"/>
    <w:rsid w:val="003E43EF"/>
    <w:rsid w:val="003E4577"/>
    <w:rsid w:val="003E45FD"/>
    <w:rsid w:val="003E4CDE"/>
    <w:rsid w:val="003E4E66"/>
    <w:rsid w:val="003E50A4"/>
    <w:rsid w:val="003E51A3"/>
    <w:rsid w:val="003E524F"/>
    <w:rsid w:val="003E527A"/>
    <w:rsid w:val="003E5348"/>
    <w:rsid w:val="003E5548"/>
    <w:rsid w:val="003E557F"/>
    <w:rsid w:val="003E55AA"/>
    <w:rsid w:val="003E5955"/>
    <w:rsid w:val="003E595C"/>
    <w:rsid w:val="003E59EB"/>
    <w:rsid w:val="003E5A58"/>
    <w:rsid w:val="003E5AAB"/>
    <w:rsid w:val="003E5B5D"/>
    <w:rsid w:val="003E5D57"/>
    <w:rsid w:val="003E5D98"/>
    <w:rsid w:val="003E5EA0"/>
    <w:rsid w:val="003E5F27"/>
    <w:rsid w:val="003E624C"/>
    <w:rsid w:val="003E653F"/>
    <w:rsid w:val="003E654B"/>
    <w:rsid w:val="003E661D"/>
    <w:rsid w:val="003E672B"/>
    <w:rsid w:val="003E6773"/>
    <w:rsid w:val="003E67F4"/>
    <w:rsid w:val="003E6A83"/>
    <w:rsid w:val="003E6B41"/>
    <w:rsid w:val="003E7004"/>
    <w:rsid w:val="003E7137"/>
    <w:rsid w:val="003E7256"/>
    <w:rsid w:val="003E72B6"/>
    <w:rsid w:val="003E7794"/>
    <w:rsid w:val="003E78DB"/>
    <w:rsid w:val="003E7BFD"/>
    <w:rsid w:val="003E7C2C"/>
    <w:rsid w:val="003E7CE4"/>
    <w:rsid w:val="003E7DE0"/>
    <w:rsid w:val="003E7DE4"/>
    <w:rsid w:val="003E7EC8"/>
    <w:rsid w:val="003F0583"/>
    <w:rsid w:val="003F0757"/>
    <w:rsid w:val="003F0790"/>
    <w:rsid w:val="003F08B8"/>
    <w:rsid w:val="003F08C7"/>
    <w:rsid w:val="003F096E"/>
    <w:rsid w:val="003F09A3"/>
    <w:rsid w:val="003F0AF6"/>
    <w:rsid w:val="003F0C12"/>
    <w:rsid w:val="003F0E63"/>
    <w:rsid w:val="003F13A6"/>
    <w:rsid w:val="003F165C"/>
    <w:rsid w:val="003F1E42"/>
    <w:rsid w:val="003F2058"/>
    <w:rsid w:val="003F211D"/>
    <w:rsid w:val="003F2125"/>
    <w:rsid w:val="003F2192"/>
    <w:rsid w:val="003F232F"/>
    <w:rsid w:val="003F27A9"/>
    <w:rsid w:val="003F2810"/>
    <w:rsid w:val="003F2B3A"/>
    <w:rsid w:val="003F2CB3"/>
    <w:rsid w:val="003F2CD2"/>
    <w:rsid w:val="003F2D22"/>
    <w:rsid w:val="003F2D4C"/>
    <w:rsid w:val="003F2F7A"/>
    <w:rsid w:val="003F2FF6"/>
    <w:rsid w:val="003F3043"/>
    <w:rsid w:val="003F36D2"/>
    <w:rsid w:val="003F37C1"/>
    <w:rsid w:val="003F38B6"/>
    <w:rsid w:val="003F3924"/>
    <w:rsid w:val="003F39FB"/>
    <w:rsid w:val="003F3A6F"/>
    <w:rsid w:val="003F3CD2"/>
    <w:rsid w:val="003F3F3E"/>
    <w:rsid w:val="003F3F64"/>
    <w:rsid w:val="003F4128"/>
    <w:rsid w:val="003F458A"/>
    <w:rsid w:val="003F459E"/>
    <w:rsid w:val="003F471B"/>
    <w:rsid w:val="003F4AAE"/>
    <w:rsid w:val="003F4B95"/>
    <w:rsid w:val="003F4C80"/>
    <w:rsid w:val="003F4F90"/>
    <w:rsid w:val="003F5076"/>
    <w:rsid w:val="003F519D"/>
    <w:rsid w:val="003F5279"/>
    <w:rsid w:val="003F5AA2"/>
    <w:rsid w:val="003F5D76"/>
    <w:rsid w:val="003F5F28"/>
    <w:rsid w:val="003F62F0"/>
    <w:rsid w:val="003F6497"/>
    <w:rsid w:val="003F6717"/>
    <w:rsid w:val="003F67A9"/>
    <w:rsid w:val="003F67ED"/>
    <w:rsid w:val="003F6A82"/>
    <w:rsid w:val="003F6EEE"/>
    <w:rsid w:val="003F7033"/>
    <w:rsid w:val="003F70CD"/>
    <w:rsid w:val="003F752E"/>
    <w:rsid w:val="003F7561"/>
    <w:rsid w:val="003F75B4"/>
    <w:rsid w:val="003F7670"/>
    <w:rsid w:val="003F77DC"/>
    <w:rsid w:val="003F7802"/>
    <w:rsid w:val="003F7AD1"/>
    <w:rsid w:val="003F7C79"/>
    <w:rsid w:val="003F7F1D"/>
    <w:rsid w:val="003F7FC0"/>
    <w:rsid w:val="0040002B"/>
    <w:rsid w:val="0040006A"/>
    <w:rsid w:val="004002BA"/>
    <w:rsid w:val="00400389"/>
    <w:rsid w:val="0040045C"/>
    <w:rsid w:val="00400651"/>
    <w:rsid w:val="0040073A"/>
    <w:rsid w:val="0040091E"/>
    <w:rsid w:val="00400A3F"/>
    <w:rsid w:val="00400A49"/>
    <w:rsid w:val="00400A8C"/>
    <w:rsid w:val="00400B03"/>
    <w:rsid w:val="00400D01"/>
    <w:rsid w:val="00400FB9"/>
    <w:rsid w:val="004010C9"/>
    <w:rsid w:val="004015CD"/>
    <w:rsid w:val="00401847"/>
    <w:rsid w:val="004018C0"/>
    <w:rsid w:val="0040192E"/>
    <w:rsid w:val="004019DC"/>
    <w:rsid w:val="00401AD5"/>
    <w:rsid w:val="00401E94"/>
    <w:rsid w:val="0040200D"/>
    <w:rsid w:val="004020EC"/>
    <w:rsid w:val="00402119"/>
    <w:rsid w:val="00402182"/>
    <w:rsid w:val="00402419"/>
    <w:rsid w:val="004024E1"/>
    <w:rsid w:val="0040250A"/>
    <w:rsid w:val="00402654"/>
    <w:rsid w:val="004026F3"/>
    <w:rsid w:val="0040289D"/>
    <w:rsid w:val="004029AA"/>
    <w:rsid w:val="00402A50"/>
    <w:rsid w:val="00402B70"/>
    <w:rsid w:val="004032BB"/>
    <w:rsid w:val="0040340E"/>
    <w:rsid w:val="0040380B"/>
    <w:rsid w:val="0040399B"/>
    <w:rsid w:val="00403BFE"/>
    <w:rsid w:val="00403C77"/>
    <w:rsid w:val="00403D89"/>
    <w:rsid w:val="00403DD0"/>
    <w:rsid w:val="00404101"/>
    <w:rsid w:val="00404299"/>
    <w:rsid w:val="004042CE"/>
    <w:rsid w:val="00404344"/>
    <w:rsid w:val="00404491"/>
    <w:rsid w:val="004044C3"/>
    <w:rsid w:val="004045ED"/>
    <w:rsid w:val="00404831"/>
    <w:rsid w:val="00404A14"/>
    <w:rsid w:val="00404B78"/>
    <w:rsid w:val="00404BD0"/>
    <w:rsid w:val="00404BFD"/>
    <w:rsid w:val="00405008"/>
    <w:rsid w:val="004054A8"/>
    <w:rsid w:val="00405517"/>
    <w:rsid w:val="0040563F"/>
    <w:rsid w:val="004056BC"/>
    <w:rsid w:val="004056F5"/>
    <w:rsid w:val="00405A23"/>
    <w:rsid w:val="00405AB8"/>
    <w:rsid w:val="00405B96"/>
    <w:rsid w:val="00405E8A"/>
    <w:rsid w:val="004060F2"/>
    <w:rsid w:val="004060F9"/>
    <w:rsid w:val="004061DE"/>
    <w:rsid w:val="004063A5"/>
    <w:rsid w:val="004063A6"/>
    <w:rsid w:val="0040642F"/>
    <w:rsid w:val="004066D9"/>
    <w:rsid w:val="00406871"/>
    <w:rsid w:val="00406A05"/>
    <w:rsid w:val="00406ACA"/>
    <w:rsid w:val="00406E8D"/>
    <w:rsid w:val="00406FBE"/>
    <w:rsid w:val="0040710C"/>
    <w:rsid w:val="004071D7"/>
    <w:rsid w:val="004072A7"/>
    <w:rsid w:val="0040742C"/>
    <w:rsid w:val="0040762C"/>
    <w:rsid w:val="004076A0"/>
    <w:rsid w:val="0040777B"/>
    <w:rsid w:val="00407AB4"/>
    <w:rsid w:val="00407C87"/>
    <w:rsid w:val="00410011"/>
    <w:rsid w:val="004100D6"/>
    <w:rsid w:val="004101C0"/>
    <w:rsid w:val="004103C4"/>
    <w:rsid w:val="00410540"/>
    <w:rsid w:val="004108B2"/>
    <w:rsid w:val="004109D7"/>
    <w:rsid w:val="00410E27"/>
    <w:rsid w:val="00410E96"/>
    <w:rsid w:val="00410F02"/>
    <w:rsid w:val="00411354"/>
    <w:rsid w:val="00411389"/>
    <w:rsid w:val="00411789"/>
    <w:rsid w:val="004119C5"/>
    <w:rsid w:val="00411C08"/>
    <w:rsid w:val="00411E9C"/>
    <w:rsid w:val="00412204"/>
    <w:rsid w:val="00412215"/>
    <w:rsid w:val="00412363"/>
    <w:rsid w:val="0041240C"/>
    <w:rsid w:val="0041269C"/>
    <w:rsid w:val="004126AC"/>
    <w:rsid w:val="00412780"/>
    <w:rsid w:val="00412B36"/>
    <w:rsid w:val="00412B3E"/>
    <w:rsid w:val="00412C85"/>
    <w:rsid w:val="0041304D"/>
    <w:rsid w:val="004131B4"/>
    <w:rsid w:val="00413A0E"/>
    <w:rsid w:val="00413D5E"/>
    <w:rsid w:val="00413E77"/>
    <w:rsid w:val="00413FC8"/>
    <w:rsid w:val="00414368"/>
    <w:rsid w:val="00414553"/>
    <w:rsid w:val="0041493D"/>
    <w:rsid w:val="00414CAF"/>
    <w:rsid w:val="00414CB8"/>
    <w:rsid w:val="00414CCE"/>
    <w:rsid w:val="00414DDA"/>
    <w:rsid w:val="00415002"/>
    <w:rsid w:val="004159ED"/>
    <w:rsid w:val="00415ACF"/>
    <w:rsid w:val="00415CF6"/>
    <w:rsid w:val="00415DC9"/>
    <w:rsid w:val="00415EAB"/>
    <w:rsid w:val="00415F47"/>
    <w:rsid w:val="00416037"/>
    <w:rsid w:val="00416300"/>
    <w:rsid w:val="00416805"/>
    <w:rsid w:val="0041680E"/>
    <w:rsid w:val="00416878"/>
    <w:rsid w:val="00416907"/>
    <w:rsid w:val="00416BA5"/>
    <w:rsid w:val="00416C32"/>
    <w:rsid w:val="00416C53"/>
    <w:rsid w:val="00416DCF"/>
    <w:rsid w:val="00417084"/>
    <w:rsid w:val="004170A1"/>
    <w:rsid w:val="004170DE"/>
    <w:rsid w:val="004173C4"/>
    <w:rsid w:val="00417658"/>
    <w:rsid w:val="004176AD"/>
    <w:rsid w:val="00417A98"/>
    <w:rsid w:val="00417C4D"/>
    <w:rsid w:val="00417C7D"/>
    <w:rsid w:val="00417E81"/>
    <w:rsid w:val="00420022"/>
    <w:rsid w:val="00420084"/>
    <w:rsid w:val="00420165"/>
    <w:rsid w:val="004201D4"/>
    <w:rsid w:val="00420255"/>
    <w:rsid w:val="00420408"/>
    <w:rsid w:val="00420948"/>
    <w:rsid w:val="00420B6E"/>
    <w:rsid w:val="00420DC8"/>
    <w:rsid w:val="00420EA6"/>
    <w:rsid w:val="004214CE"/>
    <w:rsid w:val="00421563"/>
    <w:rsid w:val="00421821"/>
    <w:rsid w:val="0042182B"/>
    <w:rsid w:val="00421BD4"/>
    <w:rsid w:val="00421C84"/>
    <w:rsid w:val="00421D7C"/>
    <w:rsid w:val="00421E67"/>
    <w:rsid w:val="00421EB1"/>
    <w:rsid w:val="00421EBD"/>
    <w:rsid w:val="0042207D"/>
    <w:rsid w:val="00422530"/>
    <w:rsid w:val="004226CE"/>
    <w:rsid w:val="0042277F"/>
    <w:rsid w:val="00422D12"/>
    <w:rsid w:val="00422DB0"/>
    <w:rsid w:val="00422E6D"/>
    <w:rsid w:val="004230BD"/>
    <w:rsid w:val="0042332B"/>
    <w:rsid w:val="00423337"/>
    <w:rsid w:val="004235B2"/>
    <w:rsid w:val="004235EB"/>
    <w:rsid w:val="004235F4"/>
    <w:rsid w:val="0042387B"/>
    <w:rsid w:val="0042392E"/>
    <w:rsid w:val="0042396F"/>
    <w:rsid w:val="00423BB2"/>
    <w:rsid w:val="00423C7F"/>
    <w:rsid w:val="00423CD5"/>
    <w:rsid w:val="00423DA6"/>
    <w:rsid w:val="00423E86"/>
    <w:rsid w:val="00423F6C"/>
    <w:rsid w:val="00423F7F"/>
    <w:rsid w:val="00423FE9"/>
    <w:rsid w:val="004244F0"/>
    <w:rsid w:val="00424532"/>
    <w:rsid w:val="004247BC"/>
    <w:rsid w:val="00424ACC"/>
    <w:rsid w:val="00424B59"/>
    <w:rsid w:val="00424C87"/>
    <w:rsid w:val="00425046"/>
    <w:rsid w:val="00425163"/>
    <w:rsid w:val="00425317"/>
    <w:rsid w:val="0042560B"/>
    <w:rsid w:val="0042561B"/>
    <w:rsid w:val="00425661"/>
    <w:rsid w:val="00425735"/>
    <w:rsid w:val="00425749"/>
    <w:rsid w:val="00425839"/>
    <w:rsid w:val="004258FA"/>
    <w:rsid w:val="004259FC"/>
    <w:rsid w:val="00425B5C"/>
    <w:rsid w:val="00425D3B"/>
    <w:rsid w:val="00425F29"/>
    <w:rsid w:val="0042605E"/>
    <w:rsid w:val="00426540"/>
    <w:rsid w:val="00426597"/>
    <w:rsid w:val="0042668A"/>
    <w:rsid w:val="00426940"/>
    <w:rsid w:val="00426A13"/>
    <w:rsid w:val="00426B25"/>
    <w:rsid w:val="00426E2B"/>
    <w:rsid w:val="004271E1"/>
    <w:rsid w:val="0042723E"/>
    <w:rsid w:val="00427624"/>
    <w:rsid w:val="004276FF"/>
    <w:rsid w:val="00427886"/>
    <w:rsid w:val="004278BF"/>
    <w:rsid w:val="00427AFE"/>
    <w:rsid w:val="00427C67"/>
    <w:rsid w:val="00427D8F"/>
    <w:rsid w:val="00427E12"/>
    <w:rsid w:val="00430262"/>
    <w:rsid w:val="00430281"/>
    <w:rsid w:val="0043037A"/>
    <w:rsid w:val="00430521"/>
    <w:rsid w:val="00430602"/>
    <w:rsid w:val="00430683"/>
    <w:rsid w:val="00430701"/>
    <w:rsid w:val="00430776"/>
    <w:rsid w:val="004307F4"/>
    <w:rsid w:val="00430863"/>
    <w:rsid w:val="00430905"/>
    <w:rsid w:val="00430D56"/>
    <w:rsid w:val="00430DE7"/>
    <w:rsid w:val="00430F9D"/>
    <w:rsid w:val="0043100B"/>
    <w:rsid w:val="00431066"/>
    <w:rsid w:val="0043119E"/>
    <w:rsid w:val="004312DC"/>
    <w:rsid w:val="004313D9"/>
    <w:rsid w:val="0043155F"/>
    <w:rsid w:val="004316D8"/>
    <w:rsid w:val="00431734"/>
    <w:rsid w:val="004318DF"/>
    <w:rsid w:val="00431942"/>
    <w:rsid w:val="00431963"/>
    <w:rsid w:val="00431B64"/>
    <w:rsid w:val="00431DD3"/>
    <w:rsid w:val="00431FF7"/>
    <w:rsid w:val="0043248D"/>
    <w:rsid w:val="00432637"/>
    <w:rsid w:val="00432645"/>
    <w:rsid w:val="00432658"/>
    <w:rsid w:val="004328A5"/>
    <w:rsid w:val="00432D03"/>
    <w:rsid w:val="00432D5E"/>
    <w:rsid w:val="00432F86"/>
    <w:rsid w:val="00433019"/>
    <w:rsid w:val="0043308E"/>
    <w:rsid w:val="00433267"/>
    <w:rsid w:val="004332AA"/>
    <w:rsid w:val="004339A2"/>
    <w:rsid w:val="00433E4C"/>
    <w:rsid w:val="00433FBA"/>
    <w:rsid w:val="0043407F"/>
    <w:rsid w:val="0043415D"/>
    <w:rsid w:val="00434208"/>
    <w:rsid w:val="004349AB"/>
    <w:rsid w:val="00434A07"/>
    <w:rsid w:val="00434B76"/>
    <w:rsid w:val="00434B9F"/>
    <w:rsid w:val="00434FC7"/>
    <w:rsid w:val="0043528B"/>
    <w:rsid w:val="0043553D"/>
    <w:rsid w:val="00435617"/>
    <w:rsid w:val="00435637"/>
    <w:rsid w:val="00435679"/>
    <w:rsid w:val="0043580C"/>
    <w:rsid w:val="00435817"/>
    <w:rsid w:val="004359D2"/>
    <w:rsid w:val="00435A76"/>
    <w:rsid w:val="00436069"/>
    <w:rsid w:val="00436081"/>
    <w:rsid w:val="00436297"/>
    <w:rsid w:val="004362B8"/>
    <w:rsid w:val="004368B2"/>
    <w:rsid w:val="00436971"/>
    <w:rsid w:val="00436B63"/>
    <w:rsid w:val="00436B7E"/>
    <w:rsid w:val="00436D92"/>
    <w:rsid w:val="00436F4B"/>
    <w:rsid w:val="00436F8E"/>
    <w:rsid w:val="00437077"/>
    <w:rsid w:val="004374D9"/>
    <w:rsid w:val="004376C9"/>
    <w:rsid w:val="00437843"/>
    <w:rsid w:val="00437F15"/>
    <w:rsid w:val="00437F7E"/>
    <w:rsid w:val="00437FB3"/>
    <w:rsid w:val="004403CF"/>
    <w:rsid w:val="004405F2"/>
    <w:rsid w:val="00440813"/>
    <w:rsid w:val="004408FA"/>
    <w:rsid w:val="00440D6A"/>
    <w:rsid w:val="00440EDB"/>
    <w:rsid w:val="00441140"/>
    <w:rsid w:val="00441152"/>
    <w:rsid w:val="0044120E"/>
    <w:rsid w:val="00441350"/>
    <w:rsid w:val="00441401"/>
    <w:rsid w:val="00441441"/>
    <w:rsid w:val="00441466"/>
    <w:rsid w:val="00441885"/>
    <w:rsid w:val="004418E6"/>
    <w:rsid w:val="004419AD"/>
    <w:rsid w:val="00441A04"/>
    <w:rsid w:val="00441AC8"/>
    <w:rsid w:val="00441B30"/>
    <w:rsid w:val="00441B8B"/>
    <w:rsid w:val="00441C69"/>
    <w:rsid w:val="00441F8B"/>
    <w:rsid w:val="004422C6"/>
    <w:rsid w:val="0044265D"/>
    <w:rsid w:val="00442715"/>
    <w:rsid w:val="004427A0"/>
    <w:rsid w:val="0044285C"/>
    <w:rsid w:val="0044288F"/>
    <w:rsid w:val="00442B48"/>
    <w:rsid w:val="00442D56"/>
    <w:rsid w:val="00442EDF"/>
    <w:rsid w:val="00442FFC"/>
    <w:rsid w:val="00443134"/>
    <w:rsid w:val="004432CD"/>
    <w:rsid w:val="00443334"/>
    <w:rsid w:val="00443465"/>
    <w:rsid w:val="004434BB"/>
    <w:rsid w:val="00443774"/>
    <w:rsid w:val="00443932"/>
    <w:rsid w:val="00443A47"/>
    <w:rsid w:val="00443B95"/>
    <w:rsid w:val="00443CF8"/>
    <w:rsid w:val="00443D68"/>
    <w:rsid w:val="00443DA0"/>
    <w:rsid w:val="004443C6"/>
    <w:rsid w:val="0044448F"/>
    <w:rsid w:val="004445F4"/>
    <w:rsid w:val="00444697"/>
    <w:rsid w:val="00444971"/>
    <w:rsid w:val="00444A40"/>
    <w:rsid w:val="00444A7F"/>
    <w:rsid w:val="00444CC5"/>
    <w:rsid w:val="00444F5E"/>
    <w:rsid w:val="004453BA"/>
    <w:rsid w:val="00445614"/>
    <w:rsid w:val="004456D9"/>
    <w:rsid w:val="004457C4"/>
    <w:rsid w:val="004458CE"/>
    <w:rsid w:val="004459A2"/>
    <w:rsid w:val="00445B49"/>
    <w:rsid w:val="00445B5A"/>
    <w:rsid w:val="00445B62"/>
    <w:rsid w:val="00445B72"/>
    <w:rsid w:val="00445CE6"/>
    <w:rsid w:val="00445D38"/>
    <w:rsid w:val="00445F73"/>
    <w:rsid w:val="004460DE"/>
    <w:rsid w:val="00446694"/>
    <w:rsid w:val="00446B7C"/>
    <w:rsid w:val="0044704A"/>
    <w:rsid w:val="00447166"/>
    <w:rsid w:val="00447317"/>
    <w:rsid w:val="0044741E"/>
    <w:rsid w:val="00447462"/>
    <w:rsid w:val="0044761E"/>
    <w:rsid w:val="0044766B"/>
    <w:rsid w:val="00447737"/>
    <w:rsid w:val="0044773A"/>
    <w:rsid w:val="00447954"/>
    <w:rsid w:val="00447ACD"/>
    <w:rsid w:val="00447CE0"/>
    <w:rsid w:val="004502ED"/>
    <w:rsid w:val="00450836"/>
    <w:rsid w:val="00450AF9"/>
    <w:rsid w:val="00450B78"/>
    <w:rsid w:val="00451245"/>
    <w:rsid w:val="0045133A"/>
    <w:rsid w:val="004513D5"/>
    <w:rsid w:val="004517C4"/>
    <w:rsid w:val="004517EF"/>
    <w:rsid w:val="00451944"/>
    <w:rsid w:val="00451A07"/>
    <w:rsid w:val="00451AC2"/>
    <w:rsid w:val="00451BCC"/>
    <w:rsid w:val="00451C37"/>
    <w:rsid w:val="00452304"/>
    <w:rsid w:val="00452633"/>
    <w:rsid w:val="00452947"/>
    <w:rsid w:val="00452BBC"/>
    <w:rsid w:val="00452BF0"/>
    <w:rsid w:val="00452F29"/>
    <w:rsid w:val="004530C5"/>
    <w:rsid w:val="00453105"/>
    <w:rsid w:val="004533C4"/>
    <w:rsid w:val="00453495"/>
    <w:rsid w:val="00453542"/>
    <w:rsid w:val="004537A6"/>
    <w:rsid w:val="00453AF5"/>
    <w:rsid w:val="00453C9A"/>
    <w:rsid w:val="00453D45"/>
    <w:rsid w:val="0045407A"/>
    <w:rsid w:val="004542B3"/>
    <w:rsid w:val="004542F1"/>
    <w:rsid w:val="004543A5"/>
    <w:rsid w:val="00454513"/>
    <w:rsid w:val="00454AD2"/>
    <w:rsid w:val="00454B3E"/>
    <w:rsid w:val="00454C4C"/>
    <w:rsid w:val="00454CC4"/>
    <w:rsid w:val="00454D31"/>
    <w:rsid w:val="00454D38"/>
    <w:rsid w:val="00454D4E"/>
    <w:rsid w:val="00455011"/>
    <w:rsid w:val="00455121"/>
    <w:rsid w:val="00455290"/>
    <w:rsid w:val="00455440"/>
    <w:rsid w:val="004554E4"/>
    <w:rsid w:val="0045569A"/>
    <w:rsid w:val="00455908"/>
    <w:rsid w:val="00455997"/>
    <w:rsid w:val="004559AB"/>
    <w:rsid w:val="00455A3D"/>
    <w:rsid w:val="00455C31"/>
    <w:rsid w:val="00455D3E"/>
    <w:rsid w:val="00455E5D"/>
    <w:rsid w:val="00455E85"/>
    <w:rsid w:val="00455EBE"/>
    <w:rsid w:val="00455F8A"/>
    <w:rsid w:val="004564AE"/>
    <w:rsid w:val="004565BB"/>
    <w:rsid w:val="0045686A"/>
    <w:rsid w:val="00456D06"/>
    <w:rsid w:val="00456EDC"/>
    <w:rsid w:val="00456FBF"/>
    <w:rsid w:val="0045718B"/>
    <w:rsid w:val="00457191"/>
    <w:rsid w:val="004573EC"/>
    <w:rsid w:val="0045744E"/>
    <w:rsid w:val="0045745E"/>
    <w:rsid w:val="004578AE"/>
    <w:rsid w:val="00457B7C"/>
    <w:rsid w:val="00460201"/>
    <w:rsid w:val="00460379"/>
    <w:rsid w:val="0046040E"/>
    <w:rsid w:val="004604E4"/>
    <w:rsid w:val="004608B7"/>
    <w:rsid w:val="00460C62"/>
    <w:rsid w:val="00460CE7"/>
    <w:rsid w:val="0046113C"/>
    <w:rsid w:val="00461171"/>
    <w:rsid w:val="004614A8"/>
    <w:rsid w:val="00461718"/>
    <w:rsid w:val="00461D93"/>
    <w:rsid w:val="00461EDF"/>
    <w:rsid w:val="00462286"/>
    <w:rsid w:val="004624AB"/>
    <w:rsid w:val="00462B39"/>
    <w:rsid w:val="00462CFE"/>
    <w:rsid w:val="004633FD"/>
    <w:rsid w:val="00463434"/>
    <w:rsid w:val="00463844"/>
    <w:rsid w:val="004638BE"/>
    <w:rsid w:val="00463936"/>
    <w:rsid w:val="004639F7"/>
    <w:rsid w:val="00463D0A"/>
    <w:rsid w:val="00464206"/>
    <w:rsid w:val="0046432D"/>
    <w:rsid w:val="004643F3"/>
    <w:rsid w:val="004646A7"/>
    <w:rsid w:val="00464705"/>
    <w:rsid w:val="00464837"/>
    <w:rsid w:val="0046495F"/>
    <w:rsid w:val="00464CC4"/>
    <w:rsid w:val="00464E02"/>
    <w:rsid w:val="00464E4C"/>
    <w:rsid w:val="004651BC"/>
    <w:rsid w:val="004651F3"/>
    <w:rsid w:val="004653A6"/>
    <w:rsid w:val="00465633"/>
    <w:rsid w:val="00465A11"/>
    <w:rsid w:val="00465C26"/>
    <w:rsid w:val="00465D33"/>
    <w:rsid w:val="004661A1"/>
    <w:rsid w:val="0046666A"/>
    <w:rsid w:val="004666F2"/>
    <w:rsid w:val="00466C8E"/>
    <w:rsid w:val="00466D81"/>
    <w:rsid w:val="00466EAF"/>
    <w:rsid w:val="00466F25"/>
    <w:rsid w:val="00466FA5"/>
    <w:rsid w:val="00467381"/>
    <w:rsid w:val="004673E2"/>
    <w:rsid w:val="0046755E"/>
    <w:rsid w:val="004675AF"/>
    <w:rsid w:val="004675D3"/>
    <w:rsid w:val="004678D3"/>
    <w:rsid w:val="0046792E"/>
    <w:rsid w:val="00467B84"/>
    <w:rsid w:val="00467D8B"/>
    <w:rsid w:val="00467E46"/>
    <w:rsid w:val="004703BB"/>
    <w:rsid w:val="00470513"/>
    <w:rsid w:val="004705F5"/>
    <w:rsid w:val="0047060D"/>
    <w:rsid w:val="00470667"/>
    <w:rsid w:val="00470676"/>
    <w:rsid w:val="0047099F"/>
    <w:rsid w:val="00470C7A"/>
    <w:rsid w:val="00471011"/>
    <w:rsid w:val="00471093"/>
    <w:rsid w:val="0047114E"/>
    <w:rsid w:val="004712B1"/>
    <w:rsid w:val="004712FF"/>
    <w:rsid w:val="00471420"/>
    <w:rsid w:val="00471448"/>
    <w:rsid w:val="00471467"/>
    <w:rsid w:val="00471518"/>
    <w:rsid w:val="00471714"/>
    <w:rsid w:val="0047171A"/>
    <w:rsid w:val="0047171B"/>
    <w:rsid w:val="00471A16"/>
    <w:rsid w:val="00471F5D"/>
    <w:rsid w:val="00471FFC"/>
    <w:rsid w:val="00472288"/>
    <w:rsid w:val="00472475"/>
    <w:rsid w:val="004728BB"/>
    <w:rsid w:val="00472B06"/>
    <w:rsid w:val="00472E16"/>
    <w:rsid w:val="00472FBA"/>
    <w:rsid w:val="00473106"/>
    <w:rsid w:val="0047313E"/>
    <w:rsid w:val="00473230"/>
    <w:rsid w:val="004734C8"/>
    <w:rsid w:val="00473580"/>
    <w:rsid w:val="00473A01"/>
    <w:rsid w:val="00473AA6"/>
    <w:rsid w:val="00473C22"/>
    <w:rsid w:val="00473CBF"/>
    <w:rsid w:val="00473D14"/>
    <w:rsid w:val="00473D72"/>
    <w:rsid w:val="00473DF0"/>
    <w:rsid w:val="00473E03"/>
    <w:rsid w:val="00473EA3"/>
    <w:rsid w:val="00473F6F"/>
    <w:rsid w:val="0047408E"/>
    <w:rsid w:val="0047417D"/>
    <w:rsid w:val="0047438B"/>
    <w:rsid w:val="004743A3"/>
    <w:rsid w:val="004743CD"/>
    <w:rsid w:val="004743DE"/>
    <w:rsid w:val="00474589"/>
    <w:rsid w:val="0047459E"/>
    <w:rsid w:val="004746F1"/>
    <w:rsid w:val="00474946"/>
    <w:rsid w:val="00474999"/>
    <w:rsid w:val="00474A9F"/>
    <w:rsid w:val="00474C5E"/>
    <w:rsid w:val="00474D99"/>
    <w:rsid w:val="00474FE8"/>
    <w:rsid w:val="00475288"/>
    <w:rsid w:val="00475474"/>
    <w:rsid w:val="00475515"/>
    <w:rsid w:val="00475565"/>
    <w:rsid w:val="00475713"/>
    <w:rsid w:val="00475749"/>
    <w:rsid w:val="00475A16"/>
    <w:rsid w:val="00475A17"/>
    <w:rsid w:val="00475BF8"/>
    <w:rsid w:val="00475C4E"/>
    <w:rsid w:val="00475C5D"/>
    <w:rsid w:val="00475D54"/>
    <w:rsid w:val="00475DB2"/>
    <w:rsid w:val="00475F51"/>
    <w:rsid w:val="00475F57"/>
    <w:rsid w:val="004760B2"/>
    <w:rsid w:val="0047634F"/>
    <w:rsid w:val="004765E4"/>
    <w:rsid w:val="00476761"/>
    <w:rsid w:val="004767AE"/>
    <w:rsid w:val="004767CF"/>
    <w:rsid w:val="00476B0E"/>
    <w:rsid w:val="00476BAF"/>
    <w:rsid w:val="00476DC3"/>
    <w:rsid w:val="00477184"/>
    <w:rsid w:val="00477574"/>
    <w:rsid w:val="00477AE9"/>
    <w:rsid w:val="00477E15"/>
    <w:rsid w:val="0048008D"/>
    <w:rsid w:val="004800CE"/>
    <w:rsid w:val="004801E3"/>
    <w:rsid w:val="0048021C"/>
    <w:rsid w:val="00480224"/>
    <w:rsid w:val="00480564"/>
    <w:rsid w:val="00480CB1"/>
    <w:rsid w:val="00480D13"/>
    <w:rsid w:val="00480F08"/>
    <w:rsid w:val="00481453"/>
    <w:rsid w:val="004814CF"/>
    <w:rsid w:val="004815B8"/>
    <w:rsid w:val="0048169B"/>
    <w:rsid w:val="00481831"/>
    <w:rsid w:val="00481B38"/>
    <w:rsid w:val="00481C39"/>
    <w:rsid w:val="00481CA7"/>
    <w:rsid w:val="00481D9D"/>
    <w:rsid w:val="00481E08"/>
    <w:rsid w:val="004820EE"/>
    <w:rsid w:val="0048267C"/>
    <w:rsid w:val="004826BD"/>
    <w:rsid w:val="004829E4"/>
    <w:rsid w:val="00482B84"/>
    <w:rsid w:val="00482D99"/>
    <w:rsid w:val="00482E00"/>
    <w:rsid w:val="00482F83"/>
    <w:rsid w:val="00483045"/>
    <w:rsid w:val="0048304C"/>
    <w:rsid w:val="00483351"/>
    <w:rsid w:val="00483480"/>
    <w:rsid w:val="00483A53"/>
    <w:rsid w:val="00484069"/>
    <w:rsid w:val="0048412A"/>
    <w:rsid w:val="00484163"/>
    <w:rsid w:val="00484264"/>
    <w:rsid w:val="004842B3"/>
    <w:rsid w:val="0048468D"/>
    <w:rsid w:val="0048487B"/>
    <w:rsid w:val="004849EB"/>
    <w:rsid w:val="00484A51"/>
    <w:rsid w:val="00484A9F"/>
    <w:rsid w:val="00484DB0"/>
    <w:rsid w:val="0048529A"/>
    <w:rsid w:val="0048531D"/>
    <w:rsid w:val="004854FD"/>
    <w:rsid w:val="004856A5"/>
    <w:rsid w:val="00485834"/>
    <w:rsid w:val="00485EEE"/>
    <w:rsid w:val="0048623F"/>
    <w:rsid w:val="004862F4"/>
    <w:rsid w:val="00486364"/>
    <w:rsid w:val="004866E4"/>
    <w:rsid w:val="004868F2"/>
    <w:rsid w:val="00486BB6"/>
    <w:rsid w:val="00486D84"/>
    <w:rsid w:val="00486F0F"/>
    <w:rsid w:val="00487011"/>
    <w:rsid w:val="0048704C"/>
    <w:rsid w:val="004870F5"/>
    <w:rsid w:val="00487163"/>
    <w:rsid w:val="004878AA"/>
    <w:rsid w:val="00487A96"/>
    <w:rsid w:val="00487D53"/>
    <w:rsid w:val="00487F1F"/>
    <w:rsid w:val="00487FC5"/>
    <w:rsid w:val="0049006F"/>
    <w:rsid w:val="00490256"/>
    <w:rsid w:val="00490589"/>
    <w:rsid w:val="004907B7"/>
    <w:rsid w:val="00490B32"/>
    <w:rsid w:val="00490B3D"/>
    <w:rsid w:val="00490D80"/>
    <w:rsid w:val="00490EBA"/>
    <w:rsid w:val="0049131F"/>
    <w:rsid w:val="0049135A"/>
    <w:rsid w:val="004915B3"/>
    <w:rsid w:val="00491631"/>
    <w:rsid w:val="0049170C"/>
    <w:rsid w:val="004917C6"/>
    <w:rsid w:val="00491AE0"/>
    <w:rsid w:val="00491D55"/>
    <w:rsid w:val="00491E35"/>
    <w:rsid w:val="004920C4"/>
    <w:rsid w:val="0049227E"/>
    <w:rsid w:val="0049239B"/>
    <w:rsid w:val="00492685"/>
    <w:rsid w:val="004926FD"/>
    <w:rsid w:val="004928FA"/>
    <w:rsid w:val="0049296D"/>
    <w:rsid w:val="00492E9D"/>
    <w:rsid w:val="00493234"/>
    <w:rsid w:val="004933AB"/>
    <w:rsid w:val="0049342F"/>
    <w:rsid w:val="00493800"/>
    <w:rsid w:val="004938CB"/>
    <w:rsid w:val="00493960"/>
    <w:rsid w:val="00493AD4"/>
    <w:rsid w:val="00493ADF"/>
    <w:rsid w:val="00493B7E"/>
    <w:rsid w:val="00493BCB"/>
    <w:rsid w:val="00493E05"/>
    <w:rsid w:val="00493F69"/>
    <w:rsid w:val="00494136"/>
    <w:rsid w:val="004942A4"/>
    <w:rsid w:val="004945B3"/>
    <w:rsid w:val="00494818"/>
    <w:rsid w:val="00494B95"/>
    <w:rsid w:val="00494E18"/>
    <w:rsid w:val="00494E46"/>
    <w:rsid w:val="00495226"/>
    <w:rsid w:val="0049525A"/>
    <w:rsid w:val="004955F3"/>
    <w:rsid w:val="00495663"/>
    <w:rsid w:val="0049587B"/>
    <w:rsid w:val="004958AB"/>
    <w:rsid w:val="00495AA0"/>
    <w:rsid w:val="00495C2C"/>
    <w:rsid w:val="00495EC9"/>
    <w:rsid w:val="00495ECF"/>
    <w:rsid w:val="0049643E"/>
    <w:rsid w:val="0049655D"/>
    <w:rsid w:val="00496570"/>
    <w:rsid w:val="0049696D"/>
    <w:rsid w:val="00496BC6"/>
    <w:rsid w:val="00496BED"/>
    <w:rsid w:val="00496EE4"/>
    <w:rsid w:val="004970D9"/>
    <w:rsid w:val="00497123"/>
    <w:rsid w:val="00497134"/>
    <w:rsid w:val="00497206"/>
    <w:rsid w:val="004973FE"/>
    <w:rsid w:val="004974D8"/>
    <w:rsid w:val="00497725"/>
    <w:rsid w:val="0049772A"/>
    <w:rsid w:val="00497A5B"/>
    <w:rsid w:val="00497D8F"/>
    <w:rsid w:val="00497EB6"/>
    <w:rsid w:val="00497F9D"/>
    <w:rsid w:val="004A025D"/>
    <w:rsid w:val="004A038F"/>
    <w:rsid w:val="004A0577"/>
    <w:rsid w:val="004A05A4"/>
    <w:rsid w:val="004A0AE5"/>
    <w:rsid w:val="004A0B09"/>
    <w:rsid w:val="004A0E57"/>
    <w:rsid w:val="004A0FCA"/>
    <w:rsid w:val="004A1245"/>
    <w:rsid w:val="004A1438"/>
    <w:rsid w:val="004A1540"/>
    <w:rsid w:val="004A1873"/>
    <w:rsid w:val="004A18D5"/>
    <w:rsid w:val="004A1CC5"/>
    <w:rsid w:val="004A1E15"/>
    <w:rsid w:val="004A1FB6"/>
    <w:rsid w:val="004A2264"/>
    <w:rsid w:val="004A22C8"/>
    <w:rsid w:val="004A22CD"/>
    <w:rsid w:val="004A2311"/>
    <w:rsid w:val="004A23D6"/>
    <w:rsid w:val="004A251F"/>
    <w:rsid w:val="004A2599"/>
    <w:rsid w:val="004A26FD"/>
    <w:rsid w:val="004A2761"/>
    <w:rsid w:val="004A295D"/>
    <w:rsid w:val="004A29A2"/>
    <w:rsid w:val="004A29B1"/>
    <w:rsid w:val="004A2C7C"/>
    <w:rsid w:val="004A2DDF"/>
    <w:rsid w:val="004A2EB6"/>
    <w:rsid w:val="004A2FA3"/>
    <w:rsid w:val="004A31DE"/>
    <w:rsid w:val="004A328C"/>
    <w:rsid w:val="004A32B1"/>
    <w:rsid w:val="004A33C2"/>
    <w:rsid w:val="004A3491"/>
    <w:rsid w:val="004A3B66"/>
    <w:rsid w:val="004A3B93"/>
    <w:rsid w:val="004A3D8B"/>
    <w:rsid w:val="004A3DB6"/>
    <w:rsid w:val="004A3F40"/>
    <w:rsid w:val="004A43A4"/>
    <w:rsid w:val="004A4503"/>
    <w:rsid w:val="004A4558"/>
    <w:rsid w:val="004A4586"/>
    <w:rsid w:val="004A49A2"/>
    <w:rsid w:val="004A4B17"/>
    <w:rsid w:val="004A4E5A"/>
    <w:rsid w:val="004A4FA5"/>
    <w:rsid w:val="004A50E7"/>
    <w:rsid w:val="004A549D"/>
    <w:rsid w:val="004A5B36"/>
    <w:rsid w:val="004A5E9B"/>
    <w:rsid w:val="004A5FEF"/>
    <w:rsid w:val="004A6074"/>
    <w:rsid w:val="004A62AA"/>
    <w:rsid w:val="004A62C7"/>
    <w:rsid w:val="004A6320"/>
    <w:rsid w:val="004A6422"/>
    <w:rsid w:val="004A6A2D"/>
    <w:rsid w:val="004A6B40"/>
    <w:rsid w:val="004A6B63"/>
    <w:rsid w:val="004A6E5D"/>
    <w:rsid w:val="004A7024"/>
    <w:rsid w:val="004A70BE"/>
    <w:rsid w:val="004A7124"/>
    <w:rsid w:val="004A7274"/>
    <w:rsid w:val="004A72C3"/>
    <w:rsid w:val="004A7446"/>
    <w:rsid w:val="004A752A"/>
    <w:rsid w:val="004A78A7"/>
    <w:rsid w:val="004A7A79"/>
    <w:rsid w:val="004A7B1A"/>
    <w:rsid w:val="004A7E52"/>
    <w:rsid w:val="004A7E8E"/>
    <w:rsid w:val="004A7EF2"/>
    <w:rsid w:val="004B01DB"/>
    <w:rsid w:val="004B0471"/>
    <w:rsid w:val="004B0A4E"/>
    <w:rsid w:val="004B0B18"/>
    <w:rsid w:val="004B0B49"/>
    <w:rsid w:val="004B0D23"/>
    <w:rsid w:val="004B105C"/>
    <w:rsid w:val="004B10AC"/>
    <w:rsid w:val="004B151E"/>
    <w:rsid w:val="004B1565"/>
    <w:rsid w:val="004B16EC"/>
    <w:rsid w:val="004B18B9"/>
    <w:rsid w:val="004B1A52"/>
    <w:rsid w:val="004B1B57"/>
    <w:rsid w:val="004B1DE0"/>
    <w:rsid w:val="004B1F6F"/>
    <w:rsid w:val="004B20B4"/>
    <w:rsid w:val="004B230A"/>
    <w:rsid w:val="004B2691"/>
    <w:rsid w:val="004B277B"/>
    <w:rsid w:val="004B2801"/>
    <w:rsid w:val="004B2983"/>
    <w:rsid w:val="004B2A33"/>
    <w:rsid w:val="004B2BCE"/>
    <w:rsid w:val="004B2FB4"/>
    <w:rsid w:val="004B3118"/>
    <w:rsid w:val="004B3165"/>
    <w:rsid w:val="004B3534"/>
    <w:rsid w:val="004B366B"/>
    <w:rsid w:val="004B3C50"/>
    <w:rsid w:val="004B3C6D"/>
    <w:rsid w:val="004B3D4B"/>
    <w:rsid w:val="004B43A4"/>
    <w:rsid w:val="004B44FF"/>
    <w:rsid w:val="004B4C22"/>
    <w:rsid w:val="004B4E6F"/>
    <w:rsid w:val="004B52D6"/>
    <w:rsid w:val="004B52EF"/>
    <w:rsid w:val="004B5485"/>
    <w:rsid w:val="004B591F"/>
    <w:rsid w:val="004B59C8"/>
    <w:rsid w:val="004B59D5"/>
    <w:rsid w:val="004B5B1A"/>
    <w:rsid w:val="004B5BF7"/>
    <w:rsid w:val="004B5E14"/>
    <w:rsid w:val="004B5E49"/>
    <w:rsid w:val="004B61E0"/>
    <w:rsid w:val="004B632D"/>
    <w:rsid w:val="004B6407"/>
    <w:rsid w:val="004B6757"/>
    <w:rsid w:val="004B6882"/>
    <w:rsid w:val="004B689C"/>
    <w:rsid w:val="004B6A0C"/>
    <w:rsid w:val="004B6BE9"/>
    <w:rsid w:val="004B6BEC"/>
    <w:rsid w:val="004B6FCC"/>
    <w:rsid w:val="004B6FD8"/>
    <w:rsid w:val="004B7354"/>
    <w:rsid w:val="004B753E"/>
    <w:rsid w:val="004B765C"/>
    <w:rsid w:val="004B767F"/>
    <w:rsid w:val="004B77E0"/>
    <w:rsid w:val="004B77EF"/>
    <w:rsid w:val="004B77F4"/>
    <w:rsid w:val="004B7814"/>
    <w:rsid w:val="004B7D65"/>
    <w:rsid w:val="004B7EB3"/>
    <w:rsid w:val="004B7F09"/>
    <w:rsid w:val="004C002D"/>
    <w:rsid w:val="004C0497"/>
    <w:rsid w:val="004C0713"/>
    <w:rsid w:val="004C0972"/>
    <w:rsid w:val="004C0D09"/>
    <w:rsid w:val="004C0F79"/>
    <w:rsid w:val="004C0FD4"/>
    <w:rsid w:val="004C101B"/>
    <w:rsid w:val="004C1222"/>
    <w:rsid w:val="004C132F"/>
    <w:rsid w:val="004C134D"/>
    <w:rsid w:val="004C149E"/>
    <w:rsid w:val="004C14CF"/>
    <w:rsid w:val="004C1820"/>
    <w:rsid w:val="004C189B"/>
    <w:rsid w:val="004C18D4"/>
    <w:rsid w:val="004C190F"/>
    <w:rsid w:val="004C1A82"/>
    <w:rsid w:val="004C1DBA"/>
    <w:rsid w:val="004C1DE4"/>
    <w:rsid w:val="004C1FC1"/>
    <w:rsid w:val="004C271C"/>
    <w:rsid w:val="004C2784"/>
    <w:rsid w:val="004C2930"/>
    <w:rsid w:val="004C2AC8"/>
    <w:rsid w:val="004C2D27"/>
    <w:rsid w:val="004C2F31"/>
    <w:rsid w:val="004C3124"/>
    <w:rsid w:val="004C3ACB"/>
    <w:rsid w:val="004C4382"/>
    <w:rsid w:val="004C4438"/>
    <w:rsid w:val="004C47EB"/>
    <w:rsid w:val="004C47FA"/>
    <w:rsid w:val="004C4902"/>
    <w:rsid w:val="004C4A59"/>
    <w:rsid w:val="004C5040"/>
    <w:rsid w:val="004C5106"/>
    <w:rsid w:val="004C521E"/>
    <w:rsid w:val="004C548F"/>
    <w:rsid w:val="004C567A"/>
    <w:rsid w:val="004C5893"/>
    <w:rsid w:val="004C5910"/>
    <w:rsid w:val="004C5B79"/>
    <w:rsid w:val="004C62E8"/>
    <w:rsid w:val="004C63A2"/>
    <w:rsid w:val="004C646F"/>
    <w:rsid w:val="004C672B"/>
    <w:rsid w:val="004C680D"/>
    <w:rsid w:val="004C68D9"/>
    <w:rsid w:val="004C6C7C"/>
    <w:rsid w:val="004C6D86"/>
    <w:rsid w:val="004C6EF6"/>
    <w:rsid w:val="004C6F65"/>
    <w:rsid w:val="004C7398"/>
    <w:rsid w:val="004C74E4"/>
    <w:rsid w:val="004C75A7"/>
    <w:rsid w:val="004C7683"/>
    <w:rsid w:val="004C76DE"/>
    <w:rsid w:val="004C778B"/>
    <w:rsid w:val="004C7A17"/>
    <w:rsid w:val="004C7B7B"/>
    <w:rsid w:val="004D05D3"/>
    <w:rsid w:val="004D06C5"/>
    <w:rsid w:val="004D09EF"/>
    <w:rsid w:val="004D0B11"/>
    <w:rsid w:val="004D0BA4"/>
    <w:rsid w:val="004D0C9F"/>
    <w:rsid w:val="004D106C"/>
    <w:rsid w:val="004D112B"/>
    <w:rsid w:val="004D15B9"/>
    <w:rsid w:val="004D161D"/>
    <w:rsid w:val="004D1965"/>
    <w:rsid w:val="004D19EF"/>
    <w:rsid w:val="004D1FCF"/>
    <w:rsid w:val="004D21CA"/>
    <w:rsid w:val="004D2560"/>
    <w:rsid w:val="004D260C"/>
    <w:rsid w:val="004D263E"/>
    <w:rsid w:val="004D26D5"/>
    <w:rsid w:val="004D29FB"/>
    <w:rsid w:val="004D2A08"/>
    <w:rsid w:val="004D2B76"/>
    <w:rsid w:val="004D2C13"/>
    <w:rsid w:val="004D2D0D"/>
    <w:rsid w:val="004D3182"/>
    <w:rsid w:val="004D32A2"/>
    <w:rsid w:val="004D3411"/>
    <w:rsid w:val="004D3430"/>
    <w:rsid w:val="004D34CD"/>
    <w:rsid w:val="004D3755"/>
    <w:rsid w:val="004D3886"/>
    <w:rsid w:val="004D3A61"/>
    <w:rsid w:val="004D3F07"/>
    <w:rsid w:val="004D4117"/>
    <w:rsid w:val="004D42BB"/>
    <w:rsid w:val="004D45EF"/>
    <w:rsid w:val="004D4750"/>
    <w:rsid w:val="004D4806"/>
    <w:rsid w:val="004D4914"/>
    <w:rsid w:val="004D4A08"/>
    <w:rsid w:val="004D4AF4"/>
    <w:rsid w:val="004D4ED0"/>
    <w:rsid w:val="004D51B2"/>
    <w:rsid w:val="004D5247"/>
    <w:rsid w:val="004D53C4"/>
    <w:rsid w:val="004D57AC"/>
    <w:rsid w:val="004D59B0"/>
    <w:rsid w:val="004D5A7A"/>
    <w:rsid w:val="004D5CB8"/>
    <w:rsid w:val="004D61B2"/>
    <w:rsid w:val="004D620D"/>
    <w:rsid w:val="004D62B5"/>
    <w:rsid w:val="004D63C5"/>
    <w:rsid w:val="004D63F4"/>
    <w:rsid w:val="004D65D5"/>
    <w:rsid w:val="004D661A"/>
    <w:rsid w:val="004D6B93"/>
    <w:rsid w:val="004D6D77"/>
    <w:rsid w:val="004D6D79"/>
    <w:rsid w:val="004D6EA0"/>
    <w:rsid w:val="004D6FA1"/>
    <w:rsid w:val="004D6FA5"/>
    <w:rsid w:val="004D72FE"/>
    <w:rsid w:val="004D75D4"/>
    <w:rsid w:val="004D76ED"/>
    <w:rsid w:val="004D7752"/>
    <w:rsid w:val="004D7F9F"/>
    <w:rsid w:val="004E001C"/>
    <w:rsid w:val="004E0088"/>
    <w:rsid w:val="004E0179"/>
    <w:rsid w:val="004E01B3"/>
    <w:rsid w:val="004E03EA"/>
    <w:rsid w:val="004E0418"/>
    <w:rsid w:val="004E042D"/>
    <w:rsid w:val="004E06B0"/>
    <w:rsid w:val="004E0821"/>
    <w:rsid w:val="004E0F69"/>
    <w:rsid w:val="004E0FF9"/>
    <w:rsid w:val="004E132A"/>
    <w:rsid w:val="004E13A6"/>
    <w:rsid w:val="004E1A9D"/>
    <w:rsid w:val="004E1B13"/>
    <w:rsid w:val="004E1BCE"/>
    <w:rsid w:val="004E2540"/>
    <w:rsid w:val="004E2686"/>
    <w:rsid w:val="004E27B1"/>
    <w:rsid w:val="004E2857"/>
    <w:rsid w:val="004E28DA"/>
    <w:rsid w:val="004E29EC"/>
    <w:rsid w:val="004E2ADC"/>
    <w:rsid w:val="004E2C9A"/>
    <w:rsid w:val="004E2D07"/>
    <w:rsid w:val="004E2D1D"/>
    <w:rsid w:val="004E2F55"/>
    <w:rsid w:val="004E2FB6"/>
    <w:rsid w:val="004E3351"/>
    <w:rsid w:val="004E3462"/>
    <w:rsid w:val="004E3504"/>
    <w:rsid w:val="004E3536"/>
    <w:rsid w:val="004E3537"/>
    <w:rsid w:val="004E3ACA"/>
    <w:rsid w:val="004E3BDF"/>
    <w:rsid w:val="004E4000"/>
    <w:rsid w:val="004E435D"/>
    <w:rsid w:val="004E453F"/>
    <w:rsid w:val="004E46FA"/>
    <w:rsid w:val="004E47EC"/>
    <w:rsid w:val="004E484A"/>
    <w:rsid w:val="004E4926"/>
    <w:rsid w:val="004E495B"/>
    <w:rsid w:val="004E4F2D"/>
    <w:rsid w:val="004E4F45"/>
    <w:rsid w:val="004E4FA1"/>
    <w:rsid w:val="004E520A"/>
    <w:rsid w:val="004E52F6"/>
    <w:rsid w:val="004E5525"/>
    <w:rsid w:val="004E57AB"/>
    <w:rsid w:val="004E5815"/>
    <w:rsid w:val="004E58BB"/>
    <w:rsid w:val="004E5A11"/>
    <w:rsid w:val="004E5B9A"/>
    <w:rsid w:val="004E5CA9"/>
    <w:rsid w:val="004E5CB3"/>
    <w:rsid w:val="004E5D56"/>
    <w:rsid w:val="004E5E46"/>
    <w:rsid w:val="004E5E9F"/>
    <w:rsid w:val="004E615E"/>
    <w:rsid w:val="004E61D2"/>
    <w:rsid w:val="004E6270"/>
    <w:rsid w:val="004E648A"/>
    <w:rsid w:val="004E66F3"/>
    <w:rsid w:val="004E674C"/>
    <w:rsid w:val="004E6B77"/>
    <w:rsid w:val="004E6C52"/>
    <w:rsid w:val="004E6C66"/>
    <w:rsid w:val="004E6E11"/>
    <w:rsid w:val="004E6F10"/>
    <w:rsid w:val="004E6F57"/>
    <w:rsid w:val="004E7017"/>
    <w:rsid w:val="004E716A"/>
    <w:rsid w:val="004E7534"/>
    <w:rsid w:val="004E755B"/>
    <w:rsid w:val="004E757C"/>
    <w:rsid w:val="004E759C"/>
    <w:rsid w:val="004E7658"/>
    <w:rsid w:val="004E78E8"/>
    <w:rsid w:val="004E7E83"/>
    <w:rsid w:val="004E7F40"/>
    <w:rsid w:val="004F001A"/>
    <w:rsid w:val="004F049A"/>
    <w:rsid w:val="004F057E"/>
    <w:rsid w:val="004F0824"/>
    <w:rsid w:val="004F0B64"/>
    <w:rsid w:val="004F0F50"/>
    <w:rsid w:val="004F119A"/>
    <w:rsid w:val="004F1213"/>
    <w:rsid w:val="004F159B"/>
    <w:rsid w:val="004F1624"/>
    <w:rsid w:val="004F16A7"/>
    <w:rsid w:val="004F1917"/>
    <w:rsid w:val="004F1DF9"/>
    <w:rsid w:val="004F200B"/>
    <w:rsid w:val="004F240C"/>
    <w:rsid w:val="004F265A"/>
    <w:rsid w:val="004F2701"/>
    <w:rsid w:val="004F2776"/>
    <w:rsid w:val="004F2887"/>
    <w:rsid w:val="004F288C"/>
    <w:rsid w:val="004F2977"/>
    <w:rsid w:val="004F29CD"/>
    <w:rsid w:val="004F29F2"/>
    <w:rsid w:val="004F29FC"/>
    <w:rsid w:val="004F2C04"/>
    <w:rsid w:val="004F2EC4"/>
    <w:rsid w:val="004F3512"/>
    <w:rsid w:val="004F35C5"/>
    <w:rsid w:val="004F3A66"/>
    <w:rsid w:val="004F3C05"/>
    <w:rsid w:val="004F422D"/>
    <w:rsid w:val="004F431F"/>
    <w:rsid w:val="004F4335"/>
    <w:rsid w:val="004F45AD"/>
    <w:rsid w:val="004F47CA"/>
    <w:rsid w:val="004F4939"/>
    <w:rsid w:val="004F4967"/>
    <w:rsid w:val="004F4A94"/>
    <w:rsid w:val="004F4AE3"/>
    <w:rsid w:val="004F4BE0"/>
    <w:rsid w:val="004F4C04"/>
    <w:rsid w:val="004F4C5E"/>
    <w:rsid w:val="004F4DCC"/>
    <w:rsid w:val="004F4E9C"/>
    <w:rsid w:val="004F5050"/>
    <w:rsid w:val="004F5153"/>
    <w:rsid w:val="004F515D"/>
    <w:rsid w:val="004F524E"/>
    <w:rsid w:val="004F52B9"/>
    <w:rsid w:val="004F5419"/>
    <w:rsid w:val="004F5686"/>
    <w:rsid w:val="004F57B5"/>
    <w:rsid w:val="004F5899"/>
    <w:rsid w:val="004F5AB3"/>
    <w:rsid w:val="004F5B28"/>
    <w:rsid w:val="004F5B66"/>
    <w:rsid w:val="004F5BC5"/>
    <w:rsid w:val="004F5D81"/>
    <w:rsid w:val="004F5D98"/>
    <w:rsid w:val="004F5E88"/>
    <w:rsid w:val="004F6046"/>
    <w:rsid w:val="004F6066"/>
    <w:rsid w:val="004F60E2"/>
    <w:rsid w:val="004F628B"/>
    <w:rsid w:val="004F66B8"/>
    <w:rsid w:val="004F66CF"/>
    <w:rsid w:val="004F676D"/>
    <w:rsid w:val="004F68AB"/>
    <w:rsid w:val="004F694F"/>
    <w:rsid w:val="004F6994"/>
    <w:rsid w:val="004F6C21"/>
    <w:rsid w:val="004F6C26"/>
    <w:rsid w:val="004F6EED"/>
    <w:rsid w:val="004F6F52"/>
    <w:rsid w:val="004F70B2"/>
    <w:rsid w:val="004F70BE"/>
    <w:rsid w:val="004F7166"/>
    <w:rsid w:val="004F7338"/>
    <w:rsid w:val="004F75E5"/>
    <w:rsid w:val="004F7731"/>
    <w:rsid w:val="004F7849"/>
    <w:rsid w:val="004F7D11"/>
    <w:rsid w:val="004F7F0C"/>
    <w:rsid w:val="00500002"/>
    <w:rsid w:val="0050014E"/>
    <w:rsid w:val="005003C1"/>
    <w:rsid w:val="005006E3"/>
    <w:rsid w:val="005008DC"/>
    <w:rsid w:val="00500942"/>
    <w:rsid w:val="00500968"/>
    <w:rsid w:val="00500D03"/>
    <w:rsid w:val="00500ED9"/>
    <w:rsid w:val="0050112A"/>
    <w:rsid w:val="00501179"/>
    <w:rsid w:val="00501305"/>
    <w:rsid w:val="005015FD"/>
    <w:rsid w:val="0050166C"/>
    <w:rsid w:val="00502010"/>
    <w:rsid w:val="00502229"/>
    <w:rsid w:val="005022DC"/>
    <w:rsid w:val="0050241F"/>
    <w:rsid w:val="00502509"/>
    <w:rsid w:val="00502774"/>
    <w:rsid w:val="005028BF"/>
    <w:rsid w:val="005028D9"/>
    <w:rsid w:val="005029CB"/>
    <w:rsid w:val="00502BF3"/>
    <w:rsid w:val="00502D61"/>
    <w:rsid w:val="005031F8"/>
    <w:rsid w:val="00503693"/>
    <w:rsid w:val="00503898"/>
    <w:rsid w:val="0050392A"/>
    <w:rsid w:val="00503964"/>
    <w:rsid w:val="00503A2C"/>
    <w:rsid w:val="00503A94"/>
    <w:rsid w:val="00503B22"/>
    <w:rsid w:val="00503CBA"/>
    <w:rsid w:val="00503D2F"/>
    <w:rsid w:val="00503D5F"/>
    <w:rsid w:val="005041B5"/>
    <w:rsid w:val="005046EB"/>
    <w:rsid w:val="00504835"/>
    <w:rsid w:val="005048CF"/>
    <w:rsid w:val="00504A55"/>
    <w:rsid w:val="00504B97"/>
    <w:rsid w:val="00504BAA"/>
    <w:rsid w:val="005050B7"/>
    <w:rsid w:val="005050ED"/>
    <w:rsid w:val="005057E0"/>
    <w:rsid w:val="005058B6"/>
    <w:rsid w:val="005058CD"/>
    <w:rsid w:val="0050593F"/>
    <w:rsid w:val="00505A85"/>
    <w:rsid w:val="00505B6E"/>
    <w:rsid w:val="00505E30"/>
    <w:rsid w:val="00505E31"/>
    <w:rsid w:val="00505F96"/>
    <w:rsid w:val="00506020"/>
    <w:rsid w:val="005061EF"/>
    <w:rsid w:val="00506344"/>
    <w:rsid w:val="00506424"/>
    <w:rsid w:val="005066BE"/>
    <w:rsid w:val="00506892"/>
    <w:rsid w:val="00506987"/>
    <w:rsid w:val="00506B2A"/>
    <w:rsid w:val="00506B7B"/>
    <w:rsid w:val="00506F6F"/>
    <w:rsid w:val="0050707E"/>
    <w:rsid w:val="0050749A"/>
    <w:rsid w:val="00507518"/>
    <w:rsid w:val="00507553"/>
    <w:rsid w:val="005076DE"/>
    <w:rsid w:val="00507862"/>
    <w:rsid w:val="0050787C"/>
    <w:rsid w:val="00507886"/>
    <w:rsid w:val="00507A76"/>
    <w:rsid w:val="00507B8F"/>
    <w:rsid w:val="00507C4E"/>
    <w:rsid w:val="00507DE3"/>
    <w:rsid w:val="005101A3"/>
    <w:rsid w:val="005101B2"/>
    <w:rsid w:val="005102EA"/>
    <w:rsid w:val="0051042E"/>
    <w:rsid w:val="00510452"/>
    <w:rsid w:val="00510579"/>
    <w:rsid w:val="00510AAD"/>
    <w:rsid w:val="00510B38"/>
    <w:rsid w:val="00510B4F"/>
    <w:rsid w:val="00510C3A"/>
    <w:rsid w:val="005110C6"/>
    <w:rsid w:val="0051112C"/>
    <w:rsid w:val="005112E9"/>
    <w:rsid w:val="00511317"/>
    <w:rsid w:val="00511605"/>
    <w:rsid w:val="0051172F"/>
    <w:rsid w:val="00511804"/>
    <w:rsid w:val="0051182C"/>
    <w:rsid w:val="0051189E"/>
    <w:rsid w:val="005118C0"/>
    <w:rsid w:val="005119C3"/>
    <w:rsid w:val="00511BEF"/>
    <w:rsid w:val="00511C25"/>
    <w:rsid w:val="00511DE5"/>
    <w:rsid w:val="00511F48"/>
    <w:rsid w:val="00511FAF"/>
    <w:rsid w:val="005122E3"/>
    <w:rsid w:val="00512421"/>
    <w:rsid w:val="00512514"/>
    <w:rsid w:val="00512613"/>
    <w:rsid w:val="005126A2"/>
    <w:rsid w:val="00512964"/>
    <w:rsid w:val="005129E3"/>
    <w:rsid w:val="00512BD6"/>
    <w:rsid w:val="00512C1C"/>
    <w:rsid w:val="00512CCF"/>
    <w:rsid w:val="00512E46"/>
    <w:rsid w:val="00513030"/>
    <w:rsid w:val="005130C2"/>
    <w:rsid w:val="00513BEC"/>
    <w:rsid w:val="00513EFF"/>
    <w:rsid w:val="00513FA9"/>
    <w:rsid w:val="00514034"/>
    <w:rsid w:val="00514493"/>
    <w:rsid w:val="0051450C"/>
    <w:rsid w:val="005148D8"/>
    <w:rsid w:val="0051491D"/>
    <w:rsid w:val="00514C00"/>
    <w:rsid w:val="00514D25"/>
    <w:rsid w:val="00514DE8"/>
    <w:rsid w:val="00514EC2"/>
    <w:rsid w:val="00514ECA"/>
    <w:rsid w:val="00514F5C"/>
    <w:rsid w:val="00514FEA"/>
    <w:rsid w:val="005153BC"/>
    <w:rsid w:val="005154F5"/>
    <w:rsid w:val="00515AB0"/>
    <w:rsid w:val="00515B3A"/>
    <w:rsid w:val="00515BB4"/>
    <w:rsid w:val="00515DD1"/>
    <w:rsid w:val="00515E89"/>
    <w:rsid w:val="00516832"/>
    <w:rsid w:val="0051691B"/>
    <w:rsid w:val="00516A6F"/>
    <w:rsid w:val="00516AA8"/>
    <w:rsid w:val="00516B27"/>
    <w:rsid w:val="00516C39"/>
    <w:rsid w:val="00516CBF"/>
    <w:rsid w:val="00517001"/>
    <w:rsid w:val="00517282"/>
    <w:rsid w:val="005173AA"/>
    <w:rsid w:val="005173EE"/>
    <w:rsid w:val="0051795C"/>
    <w:rsid w:val="00517D8D"/>
    <w:rsid w:val="00517E99"/>
    <w:rsid w:val="00517ECE"/>
    <w:rsid w:val="00517F16"/>
    <w:rsid w:val="00517FF1"/>
    <w:rsid w:val="005200F5"/>
    <w:rsid w:val="005202DB"/>
    <w:rsid w:val="0052039B"/>
    <w:rsid w:val="005203F8"/>
    <w:rsid w:val="005205D5"/>
    <w:rsid w:val="0052065F"/>
    <w:rsid w:val="005206E1"/>
    <w:rsid w:val="0052072E"/>
    <w:rsid w:val="0052092D"/>
    <w:rsid w:val="00520CBB"/>
    <w:rsid w:val="00520CCB"/>
    <w:rsid w:val="00521112"/>
    <w:rsid w:val="00521499"/>
    <w:rsid w:val="0052180E"/>
    <w:rsid w:val="00521875"/>
    <w:rsid w:val="005219EA"/>
    <w:rsid w:val="005219F9"/>
    <w:rsid w:val="00521A39"/>
    <w:rsid w:val="00521DC7"/>
    <w:rsid w:val="00521F69"/>
    <w:rsid w:val="00522057"/>
    <w:rsid w:val="00522100"/>
    <w:rsid w:val="00522148"/>
    <w:rsid w:val="00522259"/>
    <w:rsid w:val="0052242A"/>
    <w:rsid w:val="00522631"/>
    <w:rsid w:val="0052284C"/>
    <w:rsid w:val="005228AA"/>
    <w:rsid w:val="0052290C"/>
    <w:rsid w:val="00522AD0"/>
    <w:rsid w:val="00522E53"/>
    <w:rsid w:val="00522E78"/>
    <w:rsid w:val="00522F9E"/>
    <w:rsid w:val="0052305A"/>
    <w:rsid w:val="005232E1"/>
    <w:rsid w:val="005234DC"/>
    <w:rsid w:val="005236DD"/>
    <w:rsid w:val="005236DF"/>
    <w:rsid w:val="00523806"/>
    <w:rsid w:val="00523AC5"/>
    <w:rsid w:val="00523B6B"/>
    <w:rsid w:val="00523B9A"/>
    <w:rsid w:val="00523C9C"/>
    <w:rsid w:val="00524306"/>
    <w:rsid w:val="00524582"/>
    <w:rsid w:val="00524889"/>
    <w:rsid w:val="00524CE7"/>
    <w:rsid w:val="005253DF"/>
    <w:rsid w:val="005254F3"/>
    <w:rsid w:val="00525550"/>
    <w:rsid w:val="0052582D"/>
    <w:rsid w:val="00525870"/>
    <w:rsid w:val="00525B04"/>
    <w:rsid w:val="00525DC2"/>
    <w:rsid w:val="00525E36"/>
    <w:rsid w:val="00526127"/>
    <w:rsid w:val="005265F1"/>
    <w:rsid w:val="005266A9"/>
    <w:rsid w:val="005266B7"/>
    <w:rsid w:val="0052671A"/>
    <w:rsid w:val="00526853"/>
    <w:rsid w:val="00526BBE"/>
    <w:rsid w:val="00526CB5"/>
    <w:rsid w:val="00526DFE"/>
    <w:rsid w:val="00526EC2"/>
    <w:rsid w:val="00526EFD"/>
    <w:rsid w:val="0052701F"/>
    <w:rsid w:val="005271FB"/>
    <w:rsid w:val="00527232"/>
    <w:rsid w:val="005272AE"/>
    <w:rsid w:val="005272C1"/>
    <w:rsid w:val="005272CD"/>
    <w:rsid w:val="00527435"/>
    <w:rsid w:val="0052754C"/>
    <w:rsid w:val="005275B8"/>
    <w:rsid w:val="00527A28"/>
    <w:rsid w:val="00527A2D"/>
    <w:rsid w:val="00527B19"/>
    <w:rsid w:val="00527B55"/>
    <w:rsid w:val="00527BCB"/>
    <w:rsid w:val="00527E1A"/>
    <w:rsid w:val="00527E3B"/>
    <w:rsid w:val="00527F19"/>
    <w:rsid w:val="005302F4"/>
    <w:rsid w:val="00530675"/>
    <w:rsid w:val="0053078B"/>
    <w:rsid w:val="00530E88"/>
    <w:rsid w:val="00530F1E"/>
    <w:rsid w:val="0053100F"/>
    <w:rsid w:val="00531131"/>
    <w:rsid w:val="00531308"/>
    <w:rsid w:val="0053136E"/>
    <w:rsid w:val="0053147C"/>
    <w:rsid w:val="005314C4"/>
    <w:rsid w:val="005316A4"/>
    <w:rsid w:val="00531900"/>
    <w:rsid w:val="005319B5"/>
    <w:rsid w:val="00531E46"/>
    <w:rsid w:val="00531FE9"/>
    <w:rsid w:val="00532CB0"/>
    <w:rsid w:val="005331C3"/>
    <w:rsid w:val="0053381F"/>
    <w:rsid w:val="00533B07"/>
    <w:rsid w:val="00533B4F"/>
    <w:rsid w:val="00533D39"/>
    <w:rsid w:val="00533D4F"/>
    <w:rsid w:val="00534138"/>
    <w:rsid w:val="00534399"/>
    <w:rsid w:val="00534498"/>
    <w:rsid w:val="005345A9"/>
    <w:rsid w:val="00534624"/>
    <w:rsid w:val="0053470B"/>
    <w:rsid w:val="0053473D"/>
    <w:rsid w:val="005347AD"/>
    <w:rsid w:val="00534807"/>
    <w:rsid w:val="00534850"/>
    <w:rsid w:val="00534C56"/>
    <w:rsid w:val="00534D01"/>
    <w:rsid w:val="00534E54"/>
    <w:rsid w:val="00534F2C"/>
    <w:rsid w:val="0053503F"/>
    <w:rsid w:val="0053512A"/>
    <w:rsid w:val="00535236"/>
    <w:rsid w:val="00535253"/>
    <w:rsid w:val="00535281"/>
    <w:rsid w:val="00535A25"/>
    <w:rsid w:val="00535FE5"/>
    <w:rsid w:val="00536335"/>
    <w:rsid w:val="00536369"/>
    <w:rsid w:val="005366EA"/>
    <w:rsid w:val="0053671B"/>
    <w:rsid w:val="005369C8"/>
    <w:rsid w:val="00536B20"/>
    <w:rsid w:val="00536D22"/>
    <w:rsid w:val="00536FE1"/>
    <w:rsid w:val="00537341"/>
    <w:rsid w:val="0053761E"/>
    <w:rsid w:val="005376FA"/>
    <w:rsid w:val="00537B36"/>
    <w:rsid w:val="00537CE4"/>
    <w:rsid w:val="00537D5C"/>
    <w:rsid w:val="00537F70"/>
    <w:rsid w:val="0054000E"/>
    <w:rsid w:val="005400B2"/>
    <w:rsid w:val="00540270"/>
    <w:rsid w:val="005402E2"/>
    <w:rsid w:val="00540375"/>
    <w:rsid w:val="005403F2"/>
    <w:rsid w:val="00540570"/>
    <w:rsid w:val="005407FA"/>
    <w:rsid w:val="00540A06"/>
    <w:rsid w:val="00540DBA"/>
    <w:rsid w:val="00540E05"/>
    <w:rsid w:val="00540FFC"/>
    <w:rsid w:val="00541058"/>
    <w:rsid w:val="005413C2"/>
    <w:rsid w:val="005413F1"/>
    <w:rsid w:val="005414A8"/>
    <w:rsid w:val="005414DA"/>
    <w:rsid w:val="00541558"/>
    <w:rsid w:val="005415D9"/>
    <w:rsid w:val="00541719"/>
    <w:rsid w:val="00541758"/>
    <w:rsid w:val="00541DC6"/>
    <w:rsid w:val="00541EB5"/>
    <w:rsid w:val="005420D0"/>
    <w:rsid w:val="005422C4"/>
    <w:rsid w:val="005423DE"/>
    <w:rsid w:val="0054249E"/>
    <w:rsid w:val="005425E0"/>
    <w:rsid w:val="005425F2"/>
    <w:rsid w:val="00542812"/>
    <w:rsid w:val="00542C19"/>
    <w:rsid w:val="00542F33"/>
    <w:rsid w:val="0054393D"/>
    <w:rsid w:val="005439F8"/>
    <w:rsid w:val="00543D6E"/>
    <w:rsid w:val="00543FE7"/>
    <w:rsid w:val="005442DD"/>
    <w:rsid w:val="00544563"/>
    <w:rsid w:val="0054460C"/>
    <w:rsid w:val="00544659"/>
    <w:rsid w:val="00544AB3"/>
    <w:rsid w:val="00544BA1"/>
    <w:rsid w:val="00544EE5"/>
    <w:rsid w:val="00545118"/>
    <w:rsid w:val="00545196"/>
    <w:rsid w:val="005451AF"/>
    <w:rsid w:val="005451CB"/>
    <w:rsid w:val="005454AD"/>
    <w:rsid w:val="005455AA"/>
    <w:rsid w:val="00545AB8"/>
    <w:rsid w:val="00545AC0"/>
    <w:rsid w:val="00545D21"/>
    <w:rsid w:val="00545D3B"/>
    <w:rsid w:val="0054613F"/>
    <w:rsid w:val="00546187"/>
    <w:rsid w:val="00546238"/>
    <w:rsid w:val="005463D7"/>
    <w:rsid w:val="00546545"/>
    <w:rsid w:val="005467AC"/>
    <w:rsid w:val="00546804"/>
    <w:rsid w:val="00546930"/>
    <w:rsid w:val="00546981"/>
    <w:rsid w:val="00546A1A"/>
    <w:rsid w:val="00546DB0"/>
    <w:rsid w:val="00546E5C"/>
    <w:rsid w:val="00547197"/>
    <w:rsid w:val="0054736D"/>
    <w:rsid w:val="005473DD"/>
    <w:rsid w:val="0054744D"/>
    <w:rsid w:val="0054747C"/>
    <w:rsid w:val="00547497"/>
    <w:rsid w:val="00547577"/>
    <w:rsid w:val="005476E5"/>
    <w:rsid w:val="00547A81"/>
    <w:rsid w:val="00547C21"/>
    <w:rsid w:val="00547DF3"/>
    <w:rsid w:val="00547F7B"/>
    <w:rsid w:val="00547F7C"/>
    <w:rsid w:val="00547FE2"/>
    <w:rsid w:val="0055009C"/>
    <w:rsid w:val="00550115"/>
    <w:rsid w:val="005501B5"/>
    <w:rsid w:val="00550219"/>
    <w:rsid w:val="00550496"/>
    <w:rsid w:val="005507D8"/>
    <w:rsid w:val="005508CD"/>
    <w:rsid w:val="00550A12"/>
    <w:rsid w:val="00550A82"/>
    <w:rsid w:val="00550AFE"/>
    <w:rsid w:val="00550B94"/>
    <w:rsid w:val="00550DD8"/>
    <w:rsid w:val="00550EF2"/>
    <w:rsid w:val="00550F34"/>
    <w:rsid w:val="005519BA"/>
    <w:rsid w:val="00551A44"/>
    <w:rsid w:val="00551A63"/>
    <w:rsid w:val="00551AC8"/>
    <w:rsid w:val="00551E99"/>
    <w:rsid w:val="00551ECD"/>
    <w:rsid w:val="005520F0"/>
    <w:rsid w:val="005521B0"/>
    <w:rsid w:val="005523F9"/>
    <w:rsid w:val="0055241D"/>
    <w:rsid w:val="00552480"/>
    <w:rsid w:val="005524DB"/>
    <w:rsid w:val="00552600"/>
    <w:rsid w:val="00552676"/>
    <w:rsid w:val="00552832"/>
    <w:rsid w:val="00552B1E"/>
    <w:rsid w:val="00552C7C"/>
    <w:rsid w:val="00552C81"/>
    <w:rsid w:val="00552FDE"/>
    <w:rsid w:val="00552FEB"/>
    <w:rsid w:val="005532DF"/>
    <w:rsid w:val="005535B0"/>
    <w:rsid w:val="0055378E"/>
    <w:rsid w:val="00553A63"/>
    <w:rsid w:val="00553C80"/>
    <w:rsid w:val="00553D02"/>
    <w:rsid w:val="00553E2A"/>
    <w:rsid w:val="005540BF"/>
    <w:rsid w:val="00554228"/>
    <w:rsid w:val="005543AF"/>
    <w:rsid w:val="0055449F"/>
    <w:rsid w:val="005544AD"/>
    <w:rsid w:val="00554620"/>
    <w:rsid w:val="0055485D"/>
    <w:rsid w:val="00554995"/>
    <w:rsid w:val="00554AB3"/>
    <w:rsid w:val="00554B0E"/>
    <w:rsid w:val="00554B80"/>
    <w:rsid w:val="00554C90"/>
    <w:rsid w:val="00554D1D"/>
    <w:rsid w:val="00554D82"/>
    <w:rsid w:val="00554F49"/>
    <w:rsid w:val="005550AB"/>
    <w:rsid w:val="00555444"/>
    <w:rsid w:val="0055551D"/>
    <w:rsid w:val="00555587"/>
    <w:rsid w:val="00555832"/>
    <w:rsid w:val="005558E7"/>
    <w:rsid w:val="005559A2"/>
    <w:rsid w:val="00555A60"/>
    <w:rsid w:val="00555ED5"/>
    <w:rsid w:val="00556003"/>
    <w:rsid w:val="00556362"/>
    <w:rsid w:val="00556526"/>
    <w:rsid w:val="00556596"/>
    <w:rsid w:val="00556619"/>
    <w:rsid w:val="00556832"/>
    <w:rsid w:val="00556AD1"/>
    <w:rsid w:val="00556E54"/>
    <w:rsid w:val="00556F49"/>
    <w:rsid w:val="00556FA3"/>
    <w:rsid w:val="0055730C"/>
    <w:rsid w:val="00557527"/>
    <w:rsid w:val="005579A3"/>
    <w:rsid w:val="00557B7A"/>
    <w:rsid w:val="00557C87"/>
    <w:rsid w:val="00557F0F"/>
    <w:rsid w:val="00557F85"/>
    <w:rsid w:val="00557F96"/>
    <w:rsid w:val="005606DC"/>
    <w:rsid w:val="00560923"/>
    <w:rsid w:val="0056099E"/>
    <w:rsid w:val="00560AB1"/>
    <w:rsid w:val="00560B20"/>
    <w:rsid w:val="00560E22"/>
    <w:rsid w:val="005611CC"/>
    <w:rsid w:val="005611F0"/>
    <w:rsid w:val="005614E5"/>
    <w:rsid w:val="005618D6"/>
    <w:rsid w:val="005619A0"/>
    <w:rsid w:val="005619BC"/>
    <w:rsid w:val="00561ABD"/>
    <w:rsid w:val="00561AF3"/>
    <w:rsid w:val="00561D46"/>
    <w:rsid w:val="00562121"/>
    <w:rsid w:val="00562189"/>
    <w:rsid w:val="0056222B"/>
    <w:rsid w:val="00562473"/>
    <w:rsid w:val="005624B1"/>
    <w:rsid w:val="005624DE"/>
    <w:rsid w:val="0056260C"/>
    <w:rsid w:val="0056289A"/>
    <w:rsid w:val="00562915"/>
    <w:rsid w:val="00562A09"/>
    <w:rsid w:val="00562A62"/>
    <w:rsid w:val="005630D7"/>
    <w:rsid w:val="005635B8"/>
    <w:rsid w:val="0056392F"/>
    <w:rsid w:val="00563989"/>
    <w:rsid w:val="00563A7B"/>
    <w:rsid w:val="00563C99"/>
    <w:rsid w:val="00563F1D"/>
    <w:rsid w:val="0056410B"/>
    <w:rsid w:val="00564285"/>
    <w:rsid w:val="00564672"/>
    <w:rsid w:val="00564959"/>
    <w:rsid w:val="00564BB1"/>
    <w:rsid w:val="00564CDC"/>
    <w:rsid w:val="00564DBC"/>
    <w:rsid w:val="00564F8D"/>
    <w:rsid w:val="0056501F"/>
    <w:rsid w:val="0056504A"/>
    <w:rsid w:val="005650E9"/>
    <w:rsid w:val="00565157"/>
    <w:rsid w:val="00565410"/>
    <w:rsid w:val="00565939"/>
    <w:rsid w:val="00565CE5"/>
    <w:rsid w:val="00565F42"/>
    <w:rsid w:val="005660BA"/>
    <w:rsid w:val="005662DC"/>
    <w:rsid w:val="00566530"/>
    <w:rsid w:val="005666FD"/>
    <w:rsid w:val="005666FE"/>
    <w:rsid w:val="00566A06"/>
    <w:rsid w:val="00566B9E"/>
    <w:rsid w:val="00566BCE"/>
    <w:rsid w:val="00566CB0"/>
    <w:rsid w:val="0056703E"/>
    <w:rsid w:val="005670DD"/>
    <w:rsid w:val="005670E9"/>
    <w:rsid w:val="00567307"/>
    <w:rsid w:val="00567621"/>
    <w:rsid w:val="0056769F"/>
    <w:rsid w:val="005676A8"/>
    <w:rsid w:val="005677B6"/>
    <w:rsid w:val="0056782D"/>
    <w:rsid w:val="00567C9E"/>
    <w:rsid w:val="00567CEC"/>
    <w:rsid w:val="00567E1E"/>
    <w:rsid w:val="005701F2"/>
    <w:rsid w:val="00570311"/>
    <w:rsid w:val="005703EF"/>
    <w:rsid w:val="00570524"/>
    <w:rsid w:val="00570743"/>
    <w:rsid w:val="00570818"/>
    <w:rsid w:val="00570895"/>
    <w:rsid w:val="00570B28"/>
    <w:rsid w:val="00570B79"/>
    <w:rsid w:val="00570EDC"/>
    <w:rsid w:val="00571026"/>
    <w:rsid w:val="00571046"/>
    <w:rsid w:val="00571286"/>
    <w:rsid w:val="005712F6"/>
    <w:rsid w:val="00571336"/>
    <w:rsid w:val="005713AB"/>
    <w:rsid w:val="00571825"/>
    <w:rsid w:val="005719B7"/>
    <w:rsid w:val="00571B46"/>
    <w:rsid w:val="00571C53"/>
    <w:rsid w:val="00571F0A"/>
    <w:rsid w:val="005722F3"/>
    <w:rsid w:val="00572345"/>
    <w:rsid w:val="00572428"/>
    <w:rsid w:val="0057261C"/>
    <w:rsid w:val="00572691"/>
    <w:rsid w:val="0057293D"/>
    <w:rsid w:val="00572D06"/>
    <w:rsid w:val="00572FE8"/>
    <w:rsid w:val="0057315F"/>
    <w:rsid w:val="0057318E"/>
    <w:rsid w:val="00573723"/>
    <w:rsid w:val="0057382E"/>
    <w:rsid w:val="00573A28"/>
    <w:rsid w:val="00573BC9"/>
    <w:rsid w:val="00573E64"/>
    <w:rsid w:val="00573EA0"/>
    <w:rsid w:val="00573F89"/>
    <w:rsid w:val="00574073"/>
    <w:rsid w:val="00574330"/>
    <w:rsid w:val="005743D3"/>
    <w:rsid w:val="005743FB"/>
    <w:rsid w:val="0057440B"/>
    <w:rsid w:val="00574492"/>
    <w:rsid w:val="0057466A"/>
    <w:rsid w:val="005747A8"/>
    <w:rsid w:val="00575070"/>
    <w:rsid w:val="0057515E"/>
    <w:rsid w:val="00575997"/>
    <w:rsid w:val="00575BD7"/>
    <w:rsid w:val="00575BE0"/>
    <w:rsid w:val="00575E8B"/>
    <w:rsid w:val="0057621B"/>
    <w:rsid w:val="00576361"/>
    <w:rsid w:val="005763E7"/>
    <w:rsid w:val="005764A4"/>
    <w:rsid w:val="005764F2"/>
    <w:rsid w:val="00576770"/>
    <w:rsid w:val="00576861"/>
    <w:rsid w:val="005769B9"/>
    <w:rsid w:val="00576A0E"/>
    <w:rsid w:val="00576A3D"/>
    <w:rsid w:val="00576AF9"/>
    <w:rsid w:val="00576C0A"/>
    <w:rsid w:val="00576E40"/>
    <w:rsid w:val="005771F5"/>
    <w:rsid w:val="005772EE"/>
    <w:rsid w:val="005773BE"/>
    <w:rsid w:val="00577413"/>
    <w:rsid w:val="00577491"/>
    <w:rsid w:val="005774AB"/>
    <w:rsid w:val="005775F4"/>
    <w:rsid w:val="00577AD2"/>
    <w:rsid w:val="00577AFE"/>
    <w:rsid w:val="00577BC0"/>
    <w:rsid w:val="00577BC5"/>
    <w:rsid w:val="00577BEB"/>
    <w:rsid w:val="00577C22"/>
    <w:rsid w:val="00577C88"/>
    <w:rsid w:val="00577F77"/>
    <w:rsid w:val="00580132"/>
    <w:rsid w:val="0058025F"/>
    <w:rsid w:val="0058028F"/>
    <w:rsid w:val="0058044E"/>
    <w:rsid w:val="00580686"/>
    <w:rsid w:val="005806D5"/>
    <w:rsid w:val="005807EF"/>
    <w:rsid w:val="00580A5C"/>
    <w:rsid w:val="00580A63"/>
    <w:rsid w:val="00580D8C"/>
    <w:rsid w:val="00580DFC"/>
    <w:rsid w:val="00581067"/>
    <w:rsid w:val="00581276"/>
    <w:rsid w:val="005813AF"/>
    <w:rsid w:val="00581466"/>
    <w:rsid w:val="00581568"/>
    <w:rsid w:val="005815B6"/>
    <w:rsid w:val="00581823"/>
    <w:rsid w:val="00581852"/>
    <w:rsid w:val="00581B05"/>
    <w:rsid w:val="00581C1C"/>
    <w:rsid w:val="00581C4A"/>
    <w:rsid w:val="00581D72"/>
    <w:rsid w:val="00582247"/>
    <w:rsid w:val="0058272E"/>
    <w:rsid w:val="00582756"/>
    <w:rsid w:val="00582864"/>
    <w:rsid w:val="00582898"/>
    <w:rsid w:val="0058290F"/>
    <w:rsid w:val="00582E7A"/>
    <w:rsid w:val="00583075"/>
    <w:rsid w:val="005830E4"/>
    <w:rsid w:val="00583768"/>
    <w:rsid w:val="0058396D"/>
    <w:rsid w:val="00583A26"/>
    <w:rsid w:val="00583C20"/>
    <w:rsid w:val="00583DE6"/>
    <w:rsid w:val="00583ECA"/>
    <w:rsid w:val="005840F1"/>
    <w:rsid w:val="00584475"/>
    <w:rsid w:val="005845CC"/>
    <w:rsid w:val="005845FE"/>
    <w:rsid w:val="005847A2"/>
    <w:rsid w:val="005848CF"/>
    <w:rsid w:val="00584BD4"/>
    <w:rsid w:val="00584C88"/>
    <w:rsid w:val="00584ED3"/>
    <w:rsid w:val="00585177"/>
    <w:rsid w:val="00585245"/>
    <w:rsid w:val="005852AC"/>
    <w:rsid w:val="005852D2"/>
    <w:rsid w:val="00585875"/>
    <w:rsid w:val="00585A39"/>
    <w:rsid w:val="00585BA6"/>
    <w:rsid w:val="00585CF1"/>
    <w:rsid w:val="00585D19"/>
    <w:rsid w:val="005864A7"/>
    <w:rsid w:val="005864E2"/>
    <w:rsid w:val="00586589"/>
    <w:rsid w:val="0058674A"/>
    <w:rsid w:val="00586DA9"/>
    <w:rsid w:val="0058704C"/>
    <w:rsid w:val="005870FE"/>
    <w:rsid w:val="00587262"/>
    <w:rsid w:val="005874A9"/>
    <w:rsid w:val="005874C5"/>
    <w:rsid w:val="00587618"/>
    <w:rsid w:val="00587657"/>
    <w:rsid w:val="00587A36"/>
    <w:rsid w:val="00587B87"/>
    <w:rsid w:val="00587EC8"/>
    <w:rsid w:val="005900DB"/>
    <w:rsid w:val="005901DF"/>
    <w:rsid w:val="00590572"/>
    <w:rsid w:val="00590987"/>
    <w:rsid w:val="005909BE"/>
    <w:rsid w:val="00590A8E"/>
    <w:rsid w:val="00590B58"/>
    <w:rsid w:val="00590BBA"/>
    <w:rsid w:val="00590D12"/>
    <w:rsid w:val="00590D99"/>
    <w:rsid w:val="00590FCB"/>
    <w:rsid w:val="005914E8"/>
    <w:rsid w:val="005916A1"/>
    <w:rsid w:val="00591981"/>
    <w:rsid w:val="00591C22"/>
    <w:rsid w:val="00591CF9"/>
    <w:rsid w:val="00591EE0"/>
    <w:rsid w:val="00591FBA"/>
    <w:rsid w:val="0059215C"/>
    <w:rsid w:val="005921B8"/>
    <w:rsid w:val="0059249E"/>
    <w:rsid w:val="0059259B"/>
    <w:rsid w:val="0059269D"/>
    <w:rsid w:val="005926BA"/>
    <w:rsid w:val="00592786"/>
    <w:rsid w:val="00592837"/>
    <w:rsid w:val="00592BBC"/>
    <w:rsid w:val="00592E5F"/>
    <w:rsid w:val="0059320D"/>
    <w:rsid w:val="005934B1"/>
    <w:rsid w:val="00593620"/>
    <w:rsid w:val="00593800"/>
    <w:rsid w:val="0059390E"/>
    <w:rsid w:val="0059392C"/>
    <w:rsid w:val="00593AB6"/>
    <w:rsid w:val="00593AD0"/>
    <w:rsid w:val="00593B15"/>
    <w:rsid w:val="00593C2C"/>
    <w:rsid w:val="00593D9E"/>
    <w:rsid w:val="00593ED4"/>
    <w:rsid w:val="005940C1"/>
    <w:rsid w:val="00594151"/>
    <w:rsid w:val="00594547"/>
    <w:rsid w:val="005946F4"/>
    <w:rsid w:val="0059470E"/>
    <w:rsid w:val="005948A9"/>
    <w:rsid w:val="0059507B"/>
    <w:rsid w:val="0059527B"/>
    <w:rsid w:val="005952A2"/>
    <w:rsid w:val="00595568"/>
    <w:rsid w:val="00595CE5"/>
    <w:rsid w:val="00595D9D"/>
    <w:rsid w:val="00595DFF"/>
    <w:rsid w:val="00595FEF"/>
    <w:rsid w:val="00596007"/>
    <w:rsid w:val="0059603B"/>
    <w:rsid w:val="00596255"/>
    <w:rsid w:val="0059638D"/>
    <w:rsid w:val="005964E2"/>
    <w:rsid w:val="00596DC5"/>
    <w:rsid w:val="00596E60"/>
    <w:rsid w:val="00596F3F"/>
    <w:rsid w:val="0059720A"/>
    <w:rsid w:val="00597403"/>
    <w:rsid w:val="00597646"/>
    <w:rsid w:val="00597849"/>
    <w:rsid w:val="0059786B"/>
    <w:rsid w:val="00597ADD"/>
    <w:rsid w:val="005A0491"/>
    <w:rsid w:val="005A0767"/>
    <w:rsid w:val="005A0814"/>
    <w:rsid w:val="005A0D91"/>
    <w:rsid w:val="005A0FD2"/>
    <w:rsid w:val="005A1840"/>
    <w:rsid w:val="005A1922"/>
    <w:rsid w:val="005A1A09"/>
    <w:rsid w:val="005A1C65"/>
    <w:rsid w:val="005A1CC8"/>
    <w:rsid w:val="005A1E24"/>
    <w:rsid w:val="005A1E31"/>
    <w:rsid w:val="005A1F65"/>
    <w:rsid w:val="005A1FAC"/>
    <w:rsid w:val="005A21E1"/>
    <w:rsid w:val="005A247E"/>
    <w:rsid w:val="005A2501"/>
    <w:rsid w:val="005A288A"/>
    <w:rsid w:val="005A291A"/>
    <w:rsid w:val="005A2950"/>
    <w:rsid w:val="005A2B3D"/>
    <w:rsid w:val="005A2B6B"/>
    <w:rsid w:val="005A30C5"/>
    <w:rsid w:val="005A3134"/>
    <w:rsid w:val="005A337F"/>
    <w:rsid w:val="005A345C"/>
    <w:rsid w:val="005A3485"/>
    <w:rsid w:val="005A373C"/>
    <w:rsid w:val="005A3747"/>
    <w:rsid w:val="005A3A9C"/>
    <w:rsid w:val="005A3B19"/>
    <w:rsid w:val="005A3BE7"/>
    <w:rsid w:val="005A3F6A"/>
    <w:rsid w:val="005A4580"/>
    <w:rsid w:val="005A48B4"/>
    <w:rsid w:val="005A4B54"/>
    <w:rsid w:val="005A4D3E"/>
    <w:rsid w:val="005A53F4"/>
    <w:rsid w:val="005A5792"/>
    <w:rsid w:val="005A57B2"/>
    <w:rsid w:val="005A588B"/>
    <w:rsid w:val="005A5A51"/>
    <w:rsid w:val="005A5B26"/>
    <w:rsid w:val="005A5B32"/>
    <w:rsid w:val="005A602B"/>
    <w:rsid w:val="005A6497"/>
    <w:rsid w:val="005A649D"/>
    <w:rsid w:val="005A654F"/>
    <w:rsid w:val="005A67E0"/>
    <w:rsid w:val="005A6A04"/>
    <w:rsid w:val="005A6A7D"/>
    <w:rsid w:val="005A6BCB"/>
    <w:rsid w:val="005A6F13"/>
    <w:rsid w:val="005A6F3F"/>
    <w:rsid w:val="005A746F"/>
    <w:rsid w:val="005A77AA"/>
    <w:rsid w:val="005A7949"/>
    <w:rsid w:val="005A7BA5"/>
    <w:rsid w:val="005A7D8B"/>
    <w:rsid w:val="005A7DF7"/>
    <w:rsid w:val="005A7FBD"/>
    <w:rsid w:val="005B00D2"/>
    <w:rsid w:val="005B03A0"/>
    <w:rsid w:val="005B059C"/>
    <w:rsid w:val="005B083B"/>
    <w:rsid w:val="005B09A7"/>
    <w:rsid w:val="005B0A4F"/>
    <w:rsid w:val="005B0B8D"/>
    <w:rsid w:val="005B0E80"/>
    <w:rsid w:val="005B0F40"/>
    <w:rsid w:val="005B110E"/>
    <w:rsid w:val="005B12F6"/>
    <w:rsid w:val="005B1332"/>
    <w:rsid w:val="005B13FF"/>
    <w:rsid w:val="005B19D2"/>
    <w:rsid w:val="005B1A69"/>
    <w:rsid w:val="005B1BD2"/>
    <w:rsid w:val="005B2205"/>
    <w:rsid w:val="005B25A6"/>
    <w:rsid w:val="005B25D3"/>
    <w:rsid w:val="005B262D"/>
    <w:rsid w:val="005B26D2"/>
    <w:rsid w:val="005B273C"/>
    <w:rsid w:val="005B293F"/>
    <w:rsid w:val="005B29BF"/>
    <w:rsid w:val="005B2ABB"/>
    <w:rsid w:val="005B2AE3"/>
    <w:rsid w:val="005B2AE4"/>
    <w:rsid w:val="005B2C43"/>
    <w:rsid w:val="005B2F6D"/>
    <w:rsid w:val="005B3011"/>
    <w:rsid w:val="005B31EA"/>
    <w:rsid w:val="005B3545"/>
    <w:rsid w:val="005B35B4"/>
    <w:rsid w:val="005B37F2"/>
    <w:rsid w:val="005B3837"/>
    <w:rsid w:val="005B38CB"/>
    <w:rsid w:val="005B38D2"/>
    <w:rsid w:val="005B38D9"/>
    <w:rsid w:val="005B3939"/>
    <w:rsid w:val="005B3B58"/>
    <w:rsid w:val="005B3C26"/>
    <w:rsid w:val="005B3D21"/>
    <w:rsid w:val="005B3D22"/>
    <w:rsid w:val="005B3F5B"/>
    <w:rsid w:val="005B423C"/>
    <w:rsid w:val="005B43C7"/>
    <w:rsid w:val="005B43F5"/>
    <w:rsid w:val="005B4539"/>
    <w:rsid w:val="005B466C"/>
    <w:rsid w:val="005B467A"/>
    <w:rsid w:val="005B47C9"/>
    <w:rsid w:val="005B4A93"/>
    <w:rsid w:val="005B5378"/>
    <w:rsid w:val="005B5757"/>
    <w:rsid w:val="005B5ADF"/>
    <w:rsid w:val="005B5C5E"/>
    <w:rsid w:val="005B5CF9"/>
    <w:rsid w:val="005B5F80"/>
    <w:rsid w:val="005B6202"/>
    <w:rsid w:val="005B629F"/>
    <w:rsid w:val="005B62AE"/>
    <w:rsid w:val="005B6763"/>
    <w:rsid w:val="005B6BBE"/>
    <w:rsid w:val="005B6BC8"/>
    <w:rsid w:val="005B6DAD"/>
    <w:rsid w:val="005B6DDC"/>
    <w:rsid w:val="005B6E24"/>
    <w:rsid w:val="005B6E4A"/>
    <w:rsid w:val="005B6E89"/>
    <w:rsid w:val="005B7004"/>
    <w:rsid w:val="005B7059"/>
    <w:rsid w:val="005B7304"/>
    <w:rsid w:val="005B7319"/>
    <w:rsid w:val="005B75A3"/>
    <w:rsid w:val="005B77F1"/>
    <w:rsid w:val="005B7A49"/>
    <w:rsid w:val="005B7A85"/>
    <w:rsid w:val="005B7AC5"/>
    <w:rsid w:val="005B7BB8"/>
    <w:rsid w:val="005B7C05"/>
    <w:rsid w:val="005B7E5C"/>
    <w:rsid w:val="005C009F"/>
    <w:rsid w:val="005C016A"/>
    <w:rsid w:val="005C0180"/>
    <w:rsid w:val="005C04F0"/>
    <w:rsid w:val="005C0925"/>
    <w:rsid w:val="005C099D"/>
    <w:rsid w:val="005C0A0C"/>
    <w:rsid w:val="005C0A52"/>
    <w:rsid w:val="005C0BB0"/>
    <w:rsid w:val="005C0C00"/>
    <w:rsid w:val="005C0C2D"/>
    <w:rsid w:val="005C1005"/>
    <w:rsid w:val="005C1165"/>
    <w:rsid w:val="005C11D2"/>
    <w:rsid w:val="005C1420"/>
    <w:rsid w:val="005C169B"/>
    <w:rsid w:val="005C1AB6"/>
    <w:rsid w:val="005C1AD5"/>
    <w:rsid w:val="005C1B09"/>
    <w:rsid w:val="005C1BCC"/>
    <w:rsid w:val="005C1CA4"/>
    <w:rsid w:val="005C1D26"/>
    <w:rsid w:val="005C1E47"/>
    <w:rsid w:val="005C1E75"/>
    <w:rsid w:val="005C2002"/>
    <w:rsid w:val="005C217B"/>
    <w:rsid w:val="005C22C9"/>
    <w:rsid w:val="005C25DB"/>
    <w:rsid w:val="005C2966"/>
    <w:rsid w:val="005C2AAF"/>
    <w:rsid w:val="005C2D18"/>
    <w:rsid w:val="005C305A"/>
    <w:rsid w:val="005C3237"/>
    <w:rsid w:val="005C32D7"/>
    <w:rsid w:val="005C3388"/>
    <w:rsid w:val="005C3407"/>
    <w:rsid w:val="005C34B0"/>
    <w:rsid w:val="005C35B1"/>
    <w:rsid w:val="005C3759"/>
    <w:rsid w:val="005C387B"/>
    <w:rsid w:val="005C39EB"/>
    <w:rsid w:val="005C4043"/>
    <w:rsid w:val="005C4515"/>
    <w:rsid w:val="005C4615"/>
    <w:rsid w:val="005C484E"/>
    <w:rsid w:val="005C485D"/>
    <w:rsid w:val="005C4BA5"/>
    <w:rsid w:val="005C4C5B"/>
    <w:rsid w:val="005C4D72"/>
    <w:rsid w:val="005C4E19"/>
    <w:rsid w:val="005C4E9D"/>
    <w:rsid w:val="005C4F95"/>
    <w:rsid w:val="005C4FAF"/>
    <w:rsid w:val="005C51B6"/>
    <w:rsid w:val="005C53D7"/>
    <w:rsid w:val="005C53EC"/>
    <w:rsid w:val="005C5895"/>
    <w:rsid w:val="005C5A40"/>
    <w:rsid w:val="005C5AE7"/>
    <w:rsid w:val="005C5D2C"/>
    <w:rsid w:val="005C609F"/>
    <w:rsid w:val="005C6212"/>
    <w:rsid w:val="005C64FF"/>
    <w:rsid w:val="005C6592"/>
    <w:rsid w:val="005C6594"/>
    <w:rsid w:val="005C67BF"/>
    <w:rsid w:val="005C6808"/>
    <w:rsid w:val="005C6CA7"/>
    <w:rsid w:val="005C6EF3"/>
    <w:rsid w:val="005C733C"/>
    <w:rsid w:val="005C739A"/>
    <w:rsid w:val="005C73F0"/>
    <w:rsid w:val="005C755F"/>
    <w:rsid w:val="005C76B7"/>
    <w:rsid w:val="005C782D"/>
    <w:rsid w:val="005C7926"/>
    <w:rsid w:val="005C79C8"/>
    <w:rsid w:val="005C7C27"/>
    <w:rsid w:val="005C7E17"/>
    <w:rsid w:val="005C7E1A"/>
    <w:rsid w:val="005C7E8A"/>
    <w:rsid w:val="005C7F66"/>
    <w:rsid w:val="005D002E"/>
    <w:rsid w:val="005D00A2"/>
    <w:rsid w:val="005D0135"/>
    <w:rsid w:val="005D01CA"/>
    <w:rsid w:val="005D01EF"/>
    <w:rsid w:val="005D073B"/>
    <w:rsid w:val="005D0808"/>
    <w:rsid w:val="005D0891"/>
    <w:rsid w:val="005D0987"/>
    <w:rsid w:val="005D0C55"/>
    <w:rsid w:val="005D0E84"/>
    <w:rsid w:val="005D0EAC"/>
    <w:rsid w:val="005D0EDC"/>
    <w:rsid w:val="005D0F31"/>
    <w:rsid w:val="005D0F41"/>
    <w:rsid w:val="005D113F"/>
    <w:rsid w:val="005D12CF"/>
    <w:rsid w:val="005D1378"/>
    <w:rsid w:val="005D1571"/>
    <w:rsid w:val="005D1693"/>
    <w:rsid w:val="005D18D8"/>
    <w:rsid w:val="005D19B7"/>
    <w:rsid w:val="005D1A90"/>
    <w:rsid w:val="005D1AFB"/>
    <w:rsid w:val="005D1AFD"/>
    <w:rsid w:val="005D1B0D"/>
    <w:rsid w:val="005D1B21"/>
    <w:rsid w:val="005D1B4A"/>
    <w:rsid w:val="005D1BF1"/>
    <w:rsid w:val="005D1C56"/>
    <w:rsid w:val="005D1E7F"/>
    <w:rsid w:val="005D2116"/>
    <w:rsid w:val="005D26C4"/>
    <w:rsid w:val="005D2719"/>
    <w:rsid w:val="005D2B9A"/>
    <w:rsid w:val="005D2EA5"/>
    <w:rsid w:val="005D2F3C"/>
    <w:rsid w:val="005D3418"/>
    <w:rsid w:val="005D3A75"/>
    <w:rsid w:val="005D3C52"/>
    <w:rsid w:val="005D3E2F"/>
    <w:rsid w:val="005D3F4A"/>
    <w:rsid w:val="005D40FB"/>
    <w:rsid w:val="005D43A4"/>
    <w:rsid w:val="005D4909"/>
    <w:rsid w:val="005D4C3F"/>
    <w:rsid w:val="005D4EC9"/>
    <w:rsid w:val="005D50FD"/>
    <w:rsid w:val="005D53BB"/>
    <w:rsid w:val="005D58C3"/>
    <w:rsid w:val="005D5ACD"/>
    <w:rsid w:val="005D5E6B"/>
    <w:rsid w:val="005D621B"/>
    <w:rsid w:val="005D6231"/>
    <w:rsid w:val="005D63C7"/>
    <w:rsid w:val="005D6543"/>
    <w:rsid w:val="005D6B5A"/>
    <w:rsid w:val="005D71AD"/>
    <w:rsid w:val="005D7285"/>
    <w:rsid w:val="005D7537"/>
    <w:rsid w:val="005D79E0"/>
    <w:rsid w:val="005D7E2C"/>
    <w:rsid w:val="005D7EB3"/>
    <w:rsid w:val="005E01AA"/>
    <w:rsid w:val="005E01C1"/>
    <w:rsid w:val="005E0423"/>
    <w:rsid w:val="005E0509"/>
    <w:rsid w:val="005E052D"/>
    <w:rsid w:val="005E067A"/>
    <w:rsid w:val="005E07D8"/>
    <w:rsid w:val="005E08B0"/>
    <w:rsid w:val="005E08FE"/>
    <w:rsid w:val="005E09EB"/>
    <w:rsid w:val="005E0BEB"/>
    <w:rsid w:val="005E0CCC"/>
    <w:rsid w:val="005E0DF1"/>
    <w:rsid w:val="005E0E1C"/>
    <w:rsid w:val="005E1018"/>
    <w:rsid w:val="005E129B"/>
    <w:rsid w:val="005E1587"/>
    <w:rsid w:val="005E163D"/>
    <w:rsid w:val="005E1704"/>
    <w:rsid w:val="005E1DB7"/>
    <w:rsid w:val="005E1F2B"/>
    <w:rsid w:val="005E2078"/>
    <w:rsid w:val="005E2894"/>
    <w:rsid w:val="005E289F"/>
    <w:rsid w:val="005E2AEF"/>
    <w:rsid w:val="005E303B"/>
    <w:rsid w:val="005E330C"/>
    <w:rsid w:val="005E3389"/>
    <w:rsid w:val="005E362D"/>
    <w:rsid w:val="005E3AB8"/>
    <w:rsid w:val="005E3AE1"/>
    <w:rsid w:val="005E3D80"/>
    <w:rsid w:val="005E3E43"/>
    <w:rsid w:val="005E4163"/>
    <w:rsid w:val="005E44C3"/>
    <w:rsid w:val="005E48E7"/>
    <w:rsid w:val="005E49A4"/>
    <w:rsid w:val="005E4B37"/>
    <w:rsid w:val="005E4E81"/>
    <w:rsid w:val="005E519E"/>
    <w:rsid w:val="005E53BF"/>
    <w:rsid w:val="005E5571"/>
    <w:rsid w:val="005E55CA"/>
    <w:rsid w:val="005E5653"/>
    <w:rsid w:val="005E59BF"/>
    <w:rsid w:val="005E5C3D"/>
    <w:rsid w:val="005E5D49"/>
    <w:rsid w:val="005E6119"/>
    <w:rsid w:val="005E61EC"/>
    <w:rsid w:val="005E6527"/>
    <w:rsid w:val="005E6698"/>
    <w:rsid w:val="005E67F6"/>
    <w:rsid w:val="005E6A89"/>
    <w:rsid w:val="005E6B7D"/>
    <w:rsid w:val="005E6CDC"/>
    <w:rsid w:val="005E6ED9"/>
    <w:rsid w:val="005E707C"/>
    <w:rsid w:val="005E721B"/>
    <w:rsid w:val="005E7961"/>
    <w:rsid w:val="005E7989"/>
    <w:rsid w:val="005E7BF9"/>
    <w:rsid w:val="005F0017"/>
    <w:rsid w:val="005F071F"/>
    <w:rsid w:val="005F07C2"/>
    <w:rsid w:val="005F0EAD"/>
    <w:rsid w:val="005F0F77"/>
    <w:rsid w:val="005F1255"/>
    <w:rsid w:val="005F1293"/>
    <w:rsid w:val="005F136A"/>
    <w:rsid w:val="005F15FA"/>
    <w:rsid w:val="005F16F3"/>
    <w:rsid w:val="005F1772"/>
    <w:rsid w:val="005F1A31"/>
    <w:rsid w:val="005F1A53"/>
    <w:rsid w:val="005F1BDB"/>
    <w:rsid w:val="005F1EDF"/>
    <w:rsid w:val="005F1F98"/>
    <w:rsid w:val="005F20E7"/>
    <w:rsid w:val="005F21D4"/>
    <w:rsid w:val="005F2212"/>
    <w:rsid w:val="005F2368"/>
    <w:rsid w:val="005F237C"/>
    <w:rsid w:val="005F2402"/>
    <w:rsid w:val="005F2510"/>
    <w:rsid w:val="005F25C8"/>
    <w:rsid w:val="005F2AD0"/>
    <w:rsid w:val="005F2C26"/>
    <w:rsid w:val="005F2D65"/>
    <w:rsid w:val="005F2F82"/>
    <w:rsid w:val="005F305C"/>
    <w:rsid w:val="005F33A6"/>
    <w:rsid w:val="005F3594"/>
    <w:rsid w:val="005F35F4"/>
    <w:rsid w:val="005F36AA"/>
    <w:rsid w:val="005F36C4"/>
    <w:rsid w:val="005F3732"/>
    <w:rsid w:val="005F37A1"/>
    <w:rsid w:val="005F3819"/>
    <w:rsid w:val="005F38C3"/>
    <w:rsid w:val="005F39FA"/>
    <w:rsid w:val="005F3A23"/>
    <w:rsid w:val="005F3D9F"/>
    <w:rsid w:val="005F3F3F"/>
    <w:rsid w:val="005F4098"/>
    <w:rsid w:val="005F464C"/>
    <w:rsid w:val="005F47D9"/>
    <w:rsid w:val="005F492F"/>
    <w:rsid w:val="005F4BCA"/>
    <w:rsid w:val="005F4DC8"/>
    <w:rsid w:val="005F4E0F"/>
    <w:rsid w:val="005F501B"/>
    <w:rsid w:val="005F5029"/>
    <w:rsid w:val="005F527A"/>
    <w:rsid w:val="005F52B6"/>
    <w:rsid w:val="005F53EF"/>
    <w:rsid w:val="005F54DF"/>
    <w:rsid w:val="005F5585"/>
    <w:rsid w:val="005F55CA"/>
    <w:rsid w:val="005F59A6"/>
    <w:rsid w:val="005F5A04"/>
    <w:rsid w:val="005F5B8D"/>
    <w:rsid w:val="005F5BAA"/>
    <w:rsid w:val="005F5D4A"/>
    <w:rsid w:val="005F5E3D"/>
    <w:rsid w:val="005F5E8C"/>
    <w:rsid w:val="005F62F2"/>
    <w:rsid w:val="005F64DA"/>
    <w:rsid w:val="005F6542"/>
    <w:rsid w:val="005F65F9"/>
    <w:rsid w:val="005F6756"/>
    <w:rsid w:val="005F67CD"/>
    <w:rsid w:val="005F686C"/>
    <w:rsid w:val="005F6892"/>
    <w:rsid w:val="005F6A12"/>
    <w:rsid w:val="005F6A28"/>
    <w:rsid w:val="005F6BC1"/>
    <w:rsid w:val="005F6C06"/>
    <w:rsid w:val="005F6D77"/>
    <w:rsid w:val="005F6E0F"/>
    <w:rsid w:val="005F6EB5"/>
    <w:rsid w:val="005F6F51"/>
    <w:rsid w:val="005F73BA"/>
    <w:rsid w:val="005F73C2"/>
    <w:rsid w:val="005F754C"/>
    <w:rsid w:val="005F7557"/>
    <w:rsid w:val="005F7801"/>
    <w:rsid w:val="005F7891"/>
    <w:rsid w:val="005F79C4"/>
    <w:rsid w:val="005F7E9B"/>
    <w:rsid w:val="00600251"/>
    <w:rsid w:val="006002CC"/>
    <w:rsid w:val="00600444"/>
    <w:rsid w:val="0060068D"/>
    <w:rsid w:val="00600BCC"/>
    <w:rsid w:val="00600C87"/>
    <w:rsid w:val="00600ED3"/>
    <w:rsid w:val="00600F26"/>
    <w:rsid w:val="0060134C"/>
    <w:rsid w:val="0060135F"/>
    <w:rsid w:val="0060159A"/>
    <w:rsid w:val="006015E1"/>
    <w:rsid w:val="0060163F"/>
    <w:rsid w:val="006017C7"/>
    <w:rsid w:val="00601908"/>
    <w:rsid w:val="00601B59"/>
    <w:rsid w:val="00601B83"/>
    <w:rsid w:val="00601C17"/>
    <w:rsid w:val="00601C28"/>
    <w:rsid w:val="00601CD3"/>
    <w:rsid w:val="00601D1A"/>
    <w:rsid w:val="00601DB7"/>
    <w:rsid w:val="00602362"/>
    <w:rsid w:val="00602425"/>
    <w:rsid w:val="006026D0"/>
    <w:rsid w:val="00602A87"/>
    <w:rsid w:val="00602F3D"/>
    <w:rsid w:val="0060336D"/>
    <w:rsid w:val="00603388"/>
    <w:rsid w:val="006036D7"/>
    <w:rsid w:val="006037D8"/>
    <w:rsid w:val="00603834"/>
    <w:rsid w:val="00603AE8"/>
    <w:rsid w:val="00603E68"/>
    <w:rsid w:val="006042AC"/>
    <w:rsid w:val="0060444A"/>
    <w:rsid w:val="00604770"/>
    <w:rsid w:val="00604F51"/>
    <w:rsid w:val="0060509E"/>
    <w:rsid w:val="00605187"/>
    <w:rsid w:val="006051E8"/>
    <w:rsid w:val="006052B6"/>
    <w:rsid w:val="0060539C"/>
    <w:rsid w:val="006053CF"/>
    <w:rsid w:val="0060560D"/>
    <w:rsid w:val="00605771"/>
    <w:rsid w:val="00605A15"/>
    <w:rsid w:val="00605B8D"/>
    <w:rsid w:val="00605B90"/>
    <w:rsid w:val="00605C84"/>
    <w:rsid w:val="00605FFC"/>
    <w:rsid w:val="00606083"/>
    <w:rsid w:val="00606143"/>
    <w:rsid w:val="0060617E"/>
    <w:rsid w:val="00606533"/>
    <w:rsid w:val="00606A72"/>
    <w:rsid w:val="006070ED"/>
    <w:rsid w:val="0060712C"/>
    <w:rsid w:val="00607290"/>
    <w:rsid w:val="0060733C"/>
    <w:rsid w:val="00607424"/>
    <w:rsid w:val="006079C9"/>
    <w:rsid w:val="00607B22"/>
    <w:rsid w:val="00607B33"/>
    <w:rsid w:val="00607C71"/>
    <w:rsid w:val="00607DBA"/>
    <w:rsid w:val="00607F24"/>
    <w:rsid w:val="00607FC9"/>
    <w:rsid w:val="006101E3"/>
    <w:rsid w:val="006103B8"/>
    <w:rsid w:val="006104AF"/>
    <w:rsid w:val="006104C8"/>
    <w:rsid w:val="0061068B"/>
    <w:rsid w:val="00610930"/>
    <w:rsid w:val="00610AD6"/>
    <w:rsid w:val="00610BDF"/>
    <w:rsid w:val="00610C89"/>
    <w:rsid w:val="00610CF2"/>
    <w:rsid w:val="00610DE1"/>
    <w:rsid w:val="006112D3"/>
    <w:rsid w:val="00611303"/>
    <w:rsid w:val="0061139A"/>
    <w:rsid w:val="006113AD"/>
    <w:rsid w:val="006115F7"/>
    <w:rsid w:val="0061185F"/>
    <w:rsid w:val="00611A5E"/>
    <w:rsid w:val="00611BC0"/>
    <w:rsid w:val="00611C08"/>
    <w:rsid w:val="006122CC"/>
    <w:rsid w:val="006126CC"/>
    <w:rsid w:val="00612718"/>
    <w:rsid w:val="00612756"/>
    <w:rsid w:val="006128CC"/>
    <w:rsid w:val="006129BA"/>
    <w:rsid w:val="00612B9D"/>
    <w:rsid w:val="00612C8D"/>
    <w:rsid w:val="00612CC0"/>
    <w:rsid w:val="00613077"/>
    <w:rsid w:val="006132AC"/>
    <w:rsid w:val="00613411"/>
    <w:rsid w:val="0061353E"/>
    <w:rsid w:val="00613540"/>
    <w:rsid w:val="00613550"/>
    <w:rsid w:val="00613774"/>
    <w:rsid w:val="00613917"/>
    <w:rsid w:val="0061399E"/>
    <w:rsid w:val="006139E5"/>
    <w:rsid w:val="00613A6F"/>
    <w:rsid w:val="00613AD5"/>
    <w:rsid w:val="00613D97"/>
    <w:rsid w:val="0061402D"/>
    <w:rsid w:val="0061420E"/>
    <w:rsid w:val="00614232"/>
    <w:rsid w:val="00614450"/>
    <w:rsid w:val="00614783"/>
    <w:rsid w:val="006147B2"/>
    <w:rsid w:val="00614837"/>
    <w:rsid w:val="00614B52"/>
    <w:rsid w:val="00614CFE"/>
    <w:rsid w:val="00614DCF"/>
    <w:rsid w:val="00614DF1"/>
    <w:rsid w:val="00614F3F"/>
    <w:rsid w:val="006151F8"/>
    <w:rsid w:val="0061543E"/>
    <w:rsid w:val="0061547B"/>
    <w:rsid w:val="00615500"/>
    <w:rsid w:val="00615832"/>
    <w:rsid w:val="00615E19"/>
    <w:rsid w:val="00616082"/>
    <w:rsid w:val="006162A1"/>
    <w:rsid w:val="006163B2"/>
    <w:rsid w:val="0061672E"/>
    <w:rsid w:val="0061693C"/>
    <w:rsid w:val="00616BCE"/>
    <w:rsid w:val="00616C34"/>
    <w:rsid w:val="00616D74"/>
    <w:rsid w:val="00617014"/>
    <w:rsid w:val="00617127"/>
    <w:rsid w:val="0061726C"/>
    <w:rsid w:val="00617373"/>
    <w:rsid w:val="0061739B"/>
    <w:rsid w:val="006173FA"/>
    <w:rsid w:val="00617914"/>
    <w:rsid w:val="00617A80"/>
    <w:rsid w:val="00617AB6"/>
    <w:rsid w:val="00617AE7"/>
    <w:rsid w:val="00617BEC"/>
    <w:rsid w:val="00617D06"/>
    <w:rsid w:val="00617D40"/>
    <w:rsid w:val="00617DC0"/>
    <w:rsid w:val="00617DCD"/>
    <w:rsid w:val="00617FB0"/>
    <w:rsid w:val="0062041A"/>
    <w:rsid w:val="006204C2"/>
    <w:rsid w:val="006204C7"/>
    <w:rsid w:val="006206BA"/>
    <w:rsid w:val="00620742"/>
    <w:rsid w:val="00620A76"/>
    <w:rsid w:val="00620D9A"/>
    <w:rsid w:val="00620E19"/>
    <w:rsid w:val="00620F12"/>
    <w:rsid w:val="006210C6"/>
    <w:rsid w:val="0062133C"/>
    <w:rsid w:val="006213EA"/>
    <w:rsid w:val="00621482"/>
    <w:rsid w:val="006216A0"/>
    <w:rsid w:val="0062173C"/>
    <w:rsid w:val="00621B1E"/>
    <w:rsid w:val="00621B3A"/>
    <w:rsid w:val="00621B56"/>
    <w:rsid w:val="00621CE3"/>
    <w:rsid w:val="00621F62"/>
    <w:rsid w:val="00621F98"/>
    <w:rsid w:val="00622059"/>
    <w:rsid w:val="0062205F"/>
    <w:rsid w:val="00622431"/>
    <w:rsid w:val="00622450"/>
    <w:rsid w:val="00622865"/>
    <w:rsid w:val="00622B71"/>
    <w:rsid w:val="00623143"/>
    <w:rsid w:val="006233F2"/>
    <w:rsid w:val="00623432"/>
    <w:rsid w:val="00623754"/>
    <w:rsid w:val="00623C4D"/>
    <w:rsid w:val="00623CF5"/>
    <w:rsid w:val="0062405F"/>
    <w:rsid w:val="006241F4"/>
    <w:rsid w:val="006245C1"/>
    <w:rsid w:val="00624644"/>
    <w:rsid w:val="006246AB"/>
    <w:rsid w:val="00624779"/>
    <w:rsid w:val="00624857"/>
    <w:rsid w:val="006248D6"/>
    <w:rsid w:val="00624999"/>
    <w:rsid w:val="006249DE"/>
    <w:rsid w:val="00624DF9"/>
    <w:rsid w:val="00624E6B"/>
    <w:rsid w:val="006253CA"/>
    <w:rsid w:val="006254B3"/>
    <w:rsid w:val="0062550E"/>
    <w:rsid w:val="00625A05"/>
    <w:rsid w:val="00625ADB"/>
    <w:rsid w:val="006261A2"/>
    <w:rsid w:val="00626214"/>
    <w:rsid w:val="0062686D"/>
    <w:rsid w:val="00626ADD"/>
    <w:rsid w:val="00626B17"/>
    <w:rsid w:val="00626F8E"/>
    <w:rsid w:val="00627089"/>
    <w:rsid w:val="006275DC"/>
    <w:rsid w:val="00627A16"/>
    <w:rsid w:val="00627AF0"/>
    <w:rsid w:val="00627B75"/>
    <w:rsid w:val="00627B80"/>
    <w:rsid w:val="00627F6F"/>
    <w:rsid w:val="00630020"/>
    <w:rsid w:val="00630243"/>
    <w:rsid w:val="0063037F"/>
    <w:rsid w:val="00630661"/>
    <w:rsid w:val="006307C1"/>
    <w:rsid w:val="006309A1"/>
    <w:rsid w:val="00630A01"/>
    <w:rsid w:val="00630F2A"/>
    <w:rsid w:val="00631073"/>
    <w:rsid w:val="006310E7"/>
    <w:rsid w:val="0063113E"/>
    <w:rsid w:val="006311AE"/>
    <w:rsid w:val="00631270"/>
    <w:rsid w:val="00631538"/>
    <w:rsid w:val="006315B3"/>
    <w:rsid w:val="00631952"/>
    <w:rsid w:val="00631C6A"/>
    <w:rsid w:val="00631D38"/>
    <w:rsid w:val="00631E36"/>
    <w:rsid w:val="00631EBC"/>
    <w:rsid w:val="0063207D"/>
    <w:rsid w:val="00632193"/>
    <w:rsid w:val="006321A4"/>
    <w:rsid w:val="0063237E"/>
    <w:rsid w:val="00632431"/>
    <w:rsid w:val="0063248A"/>
    <w:rsid w:val="006325BB"/>
    <w:rsid w:val="006325F4"/>
    <w:rsid w:val="00632C18"/>
    <w:rsid w:val="00632ED9"/>
    <w:rsid w:val="00632F0D"/>
    <w:rsid w:val="00632F8C"/>
    <w:rsid w:val="006330AD"/>
    <w:rsid w:val="0063325E"/>
    <w:rsid w:val="0063327E"/>
    <w:rsid w:val="006335A4"/>
    <w:rsid w:val="00633794"/>
    <w:rsid w:val="00633972"/>
    <w:rsid w:val="00633CB2"/>
    <w:rsid w:val="00633D6E"/>
    <w:rsid w:val="00633FFD"/>
    <w:rsid w:val="006340D8"/>
    <w:rsid w:val="006345C7"/>
    <w:rsid w:val="006346E3"/>
    <w:rsid w:val="0063484C"/>
    <w:rsid w:val="0063495F"/>
    <w:rsid w:val="006349AD"/>
    <w:rsid w:val="00634C86"/>
    <w:rsid w:val="00634E6D"/>
    <w:rsid w:val="00634EC2"/>
    <w:rsid w:val="00634FDA"/>
    <w:rsid w:val="00635277"/>
    <w:rsid w:val="00635365"/>
    <w:rsid w:val="006353C1"/>
    <w:rsid w:val="00635418"/>
    <w:rsid w:val="00635487"/>
    <w:rsid w:val="006355CE"/>
    <w:rsid w:val="006357D0"/>
    <w:rsid w:val="006359D2"/>
    <w:rsid w:val="00635FBE"/>
    <w:rsid w:val="006361BE"/>
    <w:rsid w:val="00636213"/>
    <w:rsid w:val="00636889"/>
    <w:rsid w:val="0063690F"/>
    <w:rsid w:val="006369A9"/>
    <w:rsid w:val="00636CDE"/>
    <w:rsid w:val="00636CEC"/>
    <w:rsid w:val="00636DE2"/>
    <w:rsid w:val="0063704B"/>
    <w:rsid w:val="006370B2"/>
    <w:rsid w:val="006371B4"/>
    <w:rsid w:val="00637258"/>
    <w:rsid w:val="0063758E"/>
    <w:rsid w:val="00637673"/>
    <w:rsid w:val="0063788A"/>
    <w:rsid w:val="0063792C"/>
    <w:rsid w:val="0063793F"/>
    <w:rsid w:val="00637BCA"/>
    <w:rsid w:val="00637E23"/>
    <w:rsid w:val="006404BA"/>
    <w:rsid w:val="00640763"/>
    <w:rsid w:val="00640765"/>
    <w:rsid w:val="00640837"/>
    <w:rsid w:val="00640916"/>
    <w:rsid w:val="006409AE"/>
    <w:rsid w:val="00640A4E"/>
    <w:rsid w:val="00640CA5"/>
    <w:rsid w:val="00640D01"/>
    <w:rsid w:val="00640F7F"/>
    <w:rsid w:val="00641053"/>
    <w:rsid w:val="0064142B"/>
    <w:rsid w:val="0064157C"/>
    <w:rsid w:val="0064196C"/>
    <w:rsid w:val="00641B10"/>
    <w:rsid w:val="00641CCE"/>
    <w:rsid w:val="00641E6D"/>
    <w:rsid w:val="00642271"/>
    <w:rsid w:val="006422F1"/>
    <w:rsid w:val="00642499"/>
    <w:rsid w:val="006424EB"/>
    <w:rsid w:val="006427F7"/>
    <w:rsid w:val="00642883"/>
    <w:rsid w:val="00642960"/>
    <w:rsid w:val="00642B1B"/>
    <w:rsid w:val="00642B60"/>
    <w:rsid w:val="00642D20"/>
    <w:rsid w:val="00642DE0"/>
    <w:rsid w:val="00642DF5"/>
    <w:rsid w:val="00642E19"/>
    <w:rsid w:val="00642F39"/>
    <w:rsid w:val="006430C0"/>
    <w:rsid w:val="006431EC"/>
    <w:rsid w:val="006434D0"/>
    <w:rsid w:val="00643638"/>
    <w:rsid w:val="00643699"/>
    <w:rsid w:val="00643A5B"/>
    <w:rsid w:val="00643D16"/>
    <w:rsid w:val="00643E65"/>
    <w:rsid w:val="00643FAF"/>
    <w:rsid w:val="0064436A"/>
    <w:rsid w:val="0064451C"/>
    <w:rsid w:val="006447E4"/>
    <w:rsid w:val="00644D33"/>
    <w:rsid w:val="00644FAE"/>
    <w:rsid w:val="00645027"/>
    <w:rsid w:val="00645153"/>
    <w:rsid w:val="006453F6"/>
    <w:rsid w:val="0064543B"/>
    <w:rsid w:val="00645CA3"/>
    <w:rsid w:val="00645CCF"/>
    <w:rsid w:val="00645CEA"/>
    <w:rsid w:val="00645E52"/>
    <w:rsid w:val="006460F9"/>
    <w:rsid w:val="006463C3"/>
    <w:rsid w:val="006464AD"/>
    <w:rsid w:val="006464D4"/>
    <w:rsid w:val="00646502"/>
    <w:rsid w:val="0064694F"/>
    <w:rsid w:val="006469C9"/>
    <w:rsid w:val="00646ACE"/>
    <w:rsid w:val="00646C4B"/>
    <w:rsid w:val="00646C79"/>
    <w:rsid w:val="00646EF2"/>
    <w:rsid w:val="00646F19"/>
    <w:rsid w:val="0064706A"/>
    <w:rsid w:val="00647101"/>
    <w:rsid w:val="00647111"/>
    <w:rsid w:val="00647330"/>
    <w:rsid w:val="0064733F"/>
    <w:rsid w:val="00647445"/>
    <w:rsid w:val="00647824"/>
    <w:rsid w:val="006478AA"/>
    <w:rsid w:val="006479BF"/>
    <w:rsid w:val="00647A6E"/>
    <w:rsid w:val="00647D2C"/>
    <w:rsid w:val="00647E6F"/>
    <w:rsid w:val="00647E97"/>
    <w:rsid w:val="00647FB6"/>
    <w:rsid w:val="00650197"/>
    <w:rsid w:val="00650343"/>
    <w:rsid w:val="006503BF"/>
    <w:rsid w:val="0065063A"/>
    <w:rsid w:val="0065074D"/>
    <w:rsid w:val="00650A1C"/>
    <w:rsid w:val="00650A5F"/>
    <w:rsid w:val="00650BA8"/>
    <w:rsid w:val="00650CA9"/>
    <w:rsid w:val="00650D6B"/>
    <w:rsid w:val="00650DAF"/>
    <w:rsid w:val="00650E73"/>
    <w:rsid w:val="00650E88"/>
    <w:rsid w:val="00650F1D"/>
    <w:rsid w:val="00651032"/>
    <w:rsid w:val="00651387"/>
    <w:rsid w:val="006513BF"/>
    <w:rsid w:val="00651420"/>
    <w:rsid w:val="0065172F"/>
    <w:rsid w:val="00651906"/>
    <w:rsid w:val="00651C69"/>
    <w:rsid w:val="00651D4A"/>
    <w:rsid w:val="00651D4F"/>
    <w:rsid w:val="00651E39"/>
    <w:rsid w:val="0065283F"/>
    <w:rsid w:val="00652A4A"/>
    <w:rsid w:val="00652B2E"/>
    <w:rsid w:val="00652B42"/>
    <w:rsid w:val="00652CC7"/>
    <w:rsid w:val="00652D6D"/>
    <w:rsid w:val="00652F01"/>
    <w:rsid w:val="0065308F"/>
    <w:rsid w:val="006531E6"/>
    <w:rsid w:val="00653209"/>
    <w:rsid w:val="0065334C"/>
    <w:rsid w:val="00653377"/>
    <w:rsid w:val="006534C9"/>
    <w:rsid w:val="006534F8"/>
    <w:rsid w:val="006536DE"/>
    <w:rsid w:val="00653A09"/>
    <w:rsid w:val="00653A0C"/>
    <w:rsid w:val="00653A43"/>
    <w:rsid w:val="00653A69"/>
    <w:rsid w:val="00653BF0"/>
    <w:rsid w:val="00653C65"/>
    <w:rsid w:val="00653DEB"/>
    <w:rsid w:val="00653E00"/>
    <w:rsid w:val="00653EF8"/>
    <w:rsid w:val="00653F13"/>
    <w:rsid w:val="00653F76"/>
    <w:rsid w:val="00654552"/>
    <w:rsid w:val="0065467C"/>
    <w:rsid w:val="006547CE"/>
    <w:rsid w:val="006547EE"/>
    <w:rsid w:val="00654891"/>
    <w:rsid w:val="00654B5C"/>
    <w:rsid w:val="00654BD6"/>
    <w:rsid w:val="00654BE7"/>
    <w:rsid w:val="00654C05"/>
    <w:rsid w:val="00654C6B"/>
    <w:rsid w:val="00654F9A"/>
    <w:rsid w:val="00654FFA"/>
    <w:rsid w:val="00655358"/>
    <w:rsid w:val="006553A0"/>
    <w:rsid w:val="0065552F"/>
    <w:rsid w:val="00655663"/>
    <w:rsid w:val="00655865"/>
    <w:rsid w:val="0065586B"/>
    <w:rsid w:val="006559CF"/>
    <w:rsid w:val="00655C36"/>
    <w:rsid w:val="00655D8D"/>
    <w:rsid w:val="00655FBF"/>
    <w:rsid w:val="00656262"/>
    <w:rsid w:val="00656338"/>
    <w:rsid w:val="00656423"/>
    <w:rsid w:val="0065648D"/>
    <w:rsid w:val="0065654A"/>
    <w:rsid w:val="00656551"/>
    <w:rsid w:val="00656593"/>
    <w:rsid w:val="00656A40"/>
    <w:rsid w:val="00656CBA"/>
    <w:rsid w:val="00656E36"/>
    <w:rsid w:val="00657269"/>
    <w:rsid w:val="006572A8"/>
    <w:rsid w:val="00657332"/>
    <w:rsid w:val="00657415"/>
    <w:rsid w:val="00657843"/>
    <w:rsid w:val="006578BB"/>
    <w:rsid w:val="006578C6"/>
    <w:rsid w:val="00657B3F"/>
    <w:rsid w:val="00657BA3"/>
    <w:rsid w:val="00657C2B"/>
    <w:rsid w:val="006604E4"/>
    <w:rsid w:val="006605C3"/>
    <w:rsid w:val="006605C5"/>
    <w:rsid w:val="00660767"/>
    <w:rsid w:val="00660B66"/>
    <w:rsid w:val="00660B7E"/>
    <w:rsid w:val="00660CBF"/>
    <w:rsid w:val="00660E36"/>
    <w:rsid w:val="00660F87"/>
    <w:rsid w:val="00661117"/>
    <w:rsid w:val="006611FD"/>
    <w:rsid w:val="00661270"/>
    <w:rsid w:val="00661458"/>
    <w:rsid w:val="00661756"/>
    <w:rsid w:val="00661B8B"/>
    <w:rsid w:val="00661BB5"/>
    <w:rsid w:val="00661D59"/>
    <w:rsid w:val="0066206E"/>
    <w:rsid w:val="006620FF"/>
    <w:rsid w:val="00662208"/>
    <w:rsid w:val="0066221F"/>
    <w:rsid w:val="006625C1"/>
    <w:rsid w:val="0066287B"/>
    <w:rsid w:val="006628DF"/>
    <w:rsid w:val="00662974"/>
    <w:rsid w:val="00662976"/>
    <w:rsid w:val="00662AD9"/>
    <w:rsid w:val="00662B65"/>
    <w:rsid w:val="00662B79"/>
    <w:rsid w:val="00662CD9"/>
    <w:rsid w:val="00662E50"/>
    <w:rsid w:val="00662FB7"/>
    <w:rsid w:val="00663187"/>
    <w:rsid w:val="00663249"/>
    <w:rsid w:val="0066324B"/>
    <w:rsid w:val="006632AB"/>
    <w:rsid w:val="0066337F"/>
    <w:rsid w:val="006633A1"/>
    <w:rsid w:val="00663682"/>
    <w:rsid w:val="00663683"/>
    <w:rsid w:val="00663BD2"/>
    <w:rsid w:val="00663D41"/>
    <w:rsid w:val="00663D46"/>
    <w:rsid w:val="00663D48"/>
    <w:rsid w:val="00663ED7"/>
    <w:rsid w:val="006640EF"/>
    <w:rsid w:val="00664312"/>
    <w:rsid w:val="00664918"/>
    <w:rsid w:val="006649A3"/>
    <w:rsid w:val="00664C24"/>
    <w:rsid w:val="00664E07"/>
    <w:rsid w:val="00664F85"/>
    <w:rsid w:val="00665282"/>
    <w:rsid w:val="006652D6"/>
    <w:rsid w:val="006653F1"/>
    <w:rsid w:val="00665504"/>
    <w:rsid w:val="00665563"/>
    <w:rsid w:val="00665707"/>
    <w:rsid w:val="00665872"/>
    <w:rsid w:val="00665BC4"/>
    <w:rsid w:val="00665D7F"/>
    <w:rsid w:val="0066617E"/>
    <w:rsid w:val="006661C9"/>
    <w:rsid w:val="00666480"/>
    <w:rsid w:val="006664EB"/>
    <w:rsid w:val="00666857"/>
    <w:rsid w:val="00666E10"/>
    <w:rsid w:val="00666E41"/>
    <w:rsid w:val="00666E4B"/>
    <w:rsid w:val="00666F68"/>
    <w:rsid w:val="0066730B"/>
    <w:rsid w:val="00667372"/>
    <w:rsid w:val="006673C7"/>
    <w:rsid w:val="006673CD"/>
    <w:rsid w:val="0066743C"/>
    <w:rsid w:val="006676F9"/>
    <w:rsid w:val="00667749"/>
    <w:rsid w:val="006677D6"/>
    <w:rsid w:val="0066780D"/>
    <w:rsid w:val="00667BF6"/>
    <w:rsid w:val="00667D48"/>
    <w:rsid w:val="0067022D"/>
    <w:rsid w:val="006703FA"/>
    <w:rsid w:val="00670607"/>
    <w:rsid w:val="00670656"/>
    <w:rsid w:val="006709C5"/>
    <w:rsid w:val="00670AE2"/>
    <w:rsid w:val="00670C4F"/>
    <w:rsid w:val="00670C6B"/>
    <w:rsid w:val="00670DC9"/>
    <w:rsid w:val="00670E82"/>
    <w:rsid w:val="00670EFE"/>
    <w:rsid w:val="00670F00"/>
    <w:rsid w:val="00670FA9"/>
    <w:rsid w:val="00670FEA"/>
    <w:rsid w:val="00671466"/>
    <w:rsid w:val="0067149A"/>
    <w:rsid w:val="006716C6"/>
    <w:rsid w:val="006717AE"/>
    <w:rsid w:val="006718A5"/>
    <w:rsid w:val="006718ED"/>
    <w:rsid w:val="006721AE"/>
    <w:rsid w:val="006724D8"/>
    <w:rsid w:val="0067258C"/>
    <w:rsid w:val="00672662"/>
    <w:rsid w:val="00672805"/>
    <w:rsid w:val="00672BB9"/>
    <w:rsid w:val="00672BE1"/>
    <w:rsid w:val="00672D56"/>
    <w:rsid w:val="00672EA0"/>
    <w:rsid w:val="006732CC"/>
    <w:rsid w:val="00673463"/>
    <w:rsid w:val="006734A4"/>
    <w:rsid w:val="0067350C"/>
    <w:rsid w:val="0067355A"/>
    <w:rsid w:val="00673597"/>
    <w:rsid w:val="006737E7"/>
    <w:rsid w:val="00673BE0"/>
    <w:rsid w:val="00673CA4"/>
    <w:rsid w:val="00673CF9"/>
    <w:rsid w:val="00673E5E"/>
    <w:rsid w:val="00673EC0"/>
    <w:rsid w:val="00674056"/>
    <w:rsid w:val="0067434D"/>
    <w:rsid w:val="006747F5"/>
    <w:rsid w:val="00674867"/>
    <w:rsid w:val="00674A42"/>
    <w:rsid w:val="00674A59"/>
    <w:rsid w:val="00674B0C"/>
    <w:rsid w:val="00674CA7"/>
    <w:rsid w:val="00674E6F"/>
    <w:rsid w:val="006750E7"/>
    <w:rsid w:val="006751BD"/>
    <w:rsid w:val="006752EB"/>
    <w:rsid w:val="006753B9"/>
    <w:rsid w:val="00675511"/>
    <w:rsid w:val="0067579F"/>
    <w:rsid w:val="006757FB"/>
    <w:rsid w:val="00675862"/>
    <w:rsid w:val="0067589B"/>
    <w:rsid w:val="0067590F"/>
    <w:rsid w:val="00675BBA"/>
    <w:rsid w:val="00675CF2"/>
    <w:rsid w:val="0067608F"/>
    <w:rsid w:val="006760C4"/>
    <w:rsid w:val="0067639F"/>
    <w:rsid w:val="006764F1"/>
    <w:rsid w:val="00676A20"/>
    <w:rsid w:val="00676AAA"/>
    <w:rsid w:val="00676F21"/>
    <w:rsid w:val="00676F7E"/>
    <w:rsid w:val="0067733E"/>
    <w:rsid w:val="0067733F"/>
    <w:rsid w:val="00677412"/>
    <w:rsid w:val="00677497"/>
    <w:rsid w:val="006775F5"/>
    <w:rsid w:val="00677852"/>
    <w:rsid w:val="00677891"/>
    <w:rsid w:val="00677BBC"/>
    <w:rsid w:val="00677BFA"/>
    <w:rsid w:val="00680015"/>
    <w:rsid w:val="006800E3"/>
    <w:rsid w:val="00680458"/>
    <w:rsid w:val="0068087E"/>
    <w:rsid w:val="00680945"/>
    <w:rsid w:val="00680AAF"/>
    <w:rsid w:val="00680B32"/>
    <w:rsid w:val="00680CD1"/>
    <w:rsid w:val="00680DB2"/>
    <w:rsid w:val="00680E5A"/>
    <w:rsid w:val="00680E7B"/>
    <w:rsid w:val="00680F18"/>
    <w:rsid w:val="0068102D"/>
    <w:rsid w:val="00681106"/>
    <w:rsid w:val="006811B5"/>
    <w:rsid w:val="006813DC"/>
    <w:rsid w:val="00681413"/>
    <w:rsid w:val="00681527"/>
    <w:rsid w:val="0068153D"/>
    <w:rsid w:val="006815F3"/>
    <w:rsid w:val="006817CA"/>
    <w:rsid w:val="00681801"/>
    <w:rsid w:val="006818C8"/>
    <w:rsid w:val="00681ADA"/>
    <w:rsid w:val="00681C41"/>
    <w:rsid w:val="00681DD4"/>
    <w:rsid w:val="006820CE"/>
    <w:rsid w:val="006820DE"/>
    <w:rsid w:val="006821A9"/>
    <w:rsid w:val="006822DE"/>
    <w:rsid w:val="006823AC"/>
    <w:rsid w:val="006826DE"/>
    <w:rsid w:val="00682745"/>
    <w:rsid w:val="00682819"/>
    <w:rsid w:val="00682C01"/>
    <w:rsid w:val="00682CBD"/>
    <w:rsid w:val="00682DD2"/>
    <w:rsid w:val="00682E34"/>
    <w:rsid w:val="00683044"/>
    <w:rsid w:val="00683092"/>
    <w:rsid w:val="006832DE"/>
    <w:rsid w:val="0068336A"/>
    <w:rsid w:val="00683566"/>
    <w:rsid w:val="00683625"/>
    <w:rsid w:val="0068363D"/>
    <w:rsid w:val="006836F9"/>
    <w:rsid w:val="0068376C"/>
    <w:rsid w:val="006839BC"/>
    <w:rsid w:val="00683A11"/>
    <w:rsid w:val="00683EE8"/>
    <w:rsid w:val="00683EFE"/>
    <w:rsid w:val="00683F9C"/>
    <w:rsid w:val="00684011"/>
    <w:rsid w:val="00684335"/>
    <w:rsid w:val="006843A6"/>
    <w:rsid w:val="00684454"/>
    <w:rsid w:val="00684678"/>
    <w:rsid w:val="00684740"/>
    <w:rsid w:val="00684A1D"/>
    <w:rsid w:val="00684FEE"/>
    <w:rsid w:val="0068591D"/>
    <w:rsid w:val="00685C33"/>
    <w:rsid w:val="00685DA5"/>
    <w:rsid w:val="00685E81"/>
    <w:rsid w:val="00685E84"/>
    <w:rsid w:val="00685EBF"/>
    <w:rsid w:val="006861DE"/>
    <w:rsid w:val="006862E1"/>
    <w:rsid w:val="00686315"/>
    <w:rsid w:val="00686336"/>
    <w:rsid w:val="00686543"/>
    <w:rsid w:val="00686870"/>
    <w:rsid w:val="00686A4A"/>
    <w:rsid w:val="00686AE1"/>
    <w:rsid w:val="00686B63"/>
    <w:rsid w:val="00686C1A"/>
    <w:rsid w:val="00686CD0"/>
    <w:rsid w:val="00686D91"/>
    <w:rsid w:val="00686D94"/>
    <w:rsid w:val="00686E70"/>
    <w:rsid w:val="00687080"/>
    <w:rsid w:val="006873F2"/>
    <w:rsid w:val="00687449"/>
    <w:rsid w:val="0068758C"/>
    <w:rsid w:val="0068789F"/>
    <w:rsid w:val="0068798B"/>
    <w:rsid w:val="006879FD"/>
    <w:rsid w:val="00687B48"/>
    <w:rsid w:val="00687C1D"/>
    <w:rsid w:val="00687D25"/>
    <w:rsid w:val="00687DB1"/>
    <w:rsid w:val="0069017B"/>
    <w:rsid w:val="006904BF"/>
    <w:rsid w:val="00690760"/>
    <w:rsid w:val="00690954"/>
    <w:rsid w:val="00690ADB"/>
    <w:rsid w:val="00690BCE"/>
    <w:rsid w:val="00690C11"/>
    <w:rsid w:val="00690D12"/>
    <w:rsid w:val="00690ECA"/>
    <w:rsid w:val="00690EED"/>
    <w:rsid w:val="00690F2F"/>
    <w:rsid w:val="00691093"/>
    <w:rsid w:val="0069114E"/>
    <w:rsid w:val="00691156"/>
    <w:rsid w:val="00691241"/>
    <w:rsid w:val="00691484"/>
    <w:rsid w:val="0069148D"/>
    <w:rsid w:val="00691696"/>
    <w:rsid w:val="00691739"/>
    <w:rsid w:val="006918DE"/>
    <w:rsid w:val="00691988"/>
    <w:rsid w:val="006919CD"/>
    <w:rsid w:val="00691AA0"/>
    <w:rsid w:val="00691B23"/>
    <w:rsid w:val="00691B4C"/>
    <w:rsid w:val="00691CD6"/>
    <w:rsid w:val="00691CEC"/>
    <w:rsid w:val="00692125"/>
    <w:rsid w:val="00692462"/>
    <w:rsid w:val="006925A3"/>
    <w:rsid w:val="006926F3"/>
    <w:rsid w:val="0069298C"/>
    <w:rsid w:val="00692A57"/>
    <w:rsid w:val="00692C55"/>
    <w:rsid w:val="00692C64"/>
    <w:rsid w:val="00692D00"/>
    <w:rsid w:val="00692D91"/>
    <w:rsid w:val="00692F18"/>
    <w:rsid w:val="00692F1C"/>
    <w:rsid w:val="0069301B"/>
    <w:rsid w:val="006930B0"/>
    <w:rsid w:val="00693299"/>
    <w:rsid w:val="00693837"/>
    <w:rsid w:val="006939A2"/>
    <w:rsid w:val="00693AAB"/>
    <w:rsid w:val="00693FF5"/>
    <w:rsid w:val="00694BD0"/>
    <w:rsid w:val="00694F82"/>
    <w:rsid w:val="0069501C"/>
    <w:rsid w:val="006950C1"/>
    <w:rsid w:val="006950C9"/>
    <w:rsid w:val="00695167"/>
    <w:rsid w:val="006952B4"/>
    <w:rsid w:val="00695479"/>
    <w:rsid w:val="00695494"/>
    <w:rsid w:val="006954D1"/>
    <w:rsid w:val="00695680"/>
    <w:rsid w:val="00695F1B"/>
    <w:rsid w:val="00695F65"/>
    <w:rsid w:val="00696425"/>
    <w:rsid w:val="0069668F"/>
    <w:rsid w:val="0069672F"/>
    <w:rsid w:val="0069685B"/>
    <w:rsid w:val="00696B1D"/>
    <w:rsid w:val="00696B68"/>
    <w:rsid w:val="00696C9E"/>
    <w:rsid w:val="00696D00"/>
    <w:rsid w:val="00696E6E"/>
    <w:rsid w:val="0069726D"/>
    <w:rsid w:val="00697643"/>
    <w:rsid w:val="00697675"/>
    <w:rsid w:val="00697848"/>
    <w:rsid w:val="006979B3"/>
    <w:rsid w:val="00697B20"/>
    <w:rsid w:val="00697DAF"/>
    <w:rsid w:val="00697E25"/>
    <w:rsid w:val="006A020C"/>
    <w:rsid w:val="006A08D6"/>
    <w:rsid w:val="006A0979"/>
    <w:rsid w:val="006A0B9C"/>
    <w:rsid w:val="006A0CC9"/>
    <w:rsid w:val="006A0F11"/>
    <w:rsid w:val="006A1118"/>
    <w:rsid w:val="006A1154"/>
    <w:rsid w:val="006A1156"/>
    <w:rsid w:val="006A1334"/>
    <w:rsid w:val="006A14B2"/>
    <w:rsid w:val="006A17ED"/>
    <w:rsid w:val="006A1811"/>
    <w:rsid w:val="006A19FD"/>
    <w:rsid w:val="006A1AB8"/>
    <w:rsid w:val="006A1B50"/>
    <w:rsid w:val="006A1B77"/>
    <w:rsid w:val="006A1B8F"/>
    <w:rsid w:val="006A1C31"/>
    <w:rsid w:val="006A1D1F"/>
    <w:rsid w:val="006A1D65"/>
    <w:rsid w:val="006A2064"/>
    <w:rsid w:val="006A2268"/>
    <w:rsid w:val="006A22C7"/>
    <w:rsid w:val="006A2304"/>
    <w:rsid w:val="006A2321"/>
    <w:rsid w:val="006A247E"/>
    <w:rsid w:val="006A25A1"/>
    <w:rsid w:val="006A25DC"/>
    <w:rsid w:val="006A2605"/>
    <w:rsid w:val="006A263D"/>
    <w:rsid w:val="006A267D"/>
    <w:rsid w:val="006A2933"/>
    <w:rsid w:val="006A2FEA"/>
    <w:rsid w:val="006A313D"/>
    <w:rsid w:val="006A31AE"/>
    <w:rsid w:val="006A3324"/>
    <w:rsid w:val="006A35A9"/>
    <w:rsid w:val="006A3E5A"/>
    <w:rsid w:val="006A4277"/>
    <w:rsid w:val="006A470F"/>
    <w:rsid w:val="006A473A"/>
    <w:rsid w:val="006A47B9"/>
    <w:rsid w:val="006A4878"/>
    <w:rsid w:val="006A4E02"/>
    <w:rsid w:val="006A5282"/>
    <w:rsid w:val="006A5473"/>
    <w:rsid w:val="006A55B4"/>
    <w:rsid w:val="006A5AD8"/>
    <w:rsid w:val="006A6128"/>
    <w:rsid w:val="006A68A2"/>
    <w:rsid w:val="006A6A85"/>
    <w:rsid w:val="006A6B87"/>
    <w:rsid w:val="006A6C80"/>
    <w:rsid w:val="006A6E46"/>
    <w:rsid w:val="006A6E66"/>
    <w:rsid w:val="006A6EA0"/>
    <w:rsid w:val="006A71A4"/>
    <w:rsid w:val="006A72D1"/>
    <w:rsid w:val="006A74FD"/>
    <w:rsid w:val="006A76D1"/>
    <w:rsid w:val="006A7AF2"/>
    <w:rsid w:val="006A7C54"/>
    <w:rsid w:val="006A7E5E"/>
    <w:rsid w:val="006A7FA2"/>
    <w:rsid w:val="006B00A9"/>
    <w:rsid w:val="006B05F0"/>
    <w:rsid w:val="006B0728"/>
    <w:rsid w:val="006B07C6"/>
    <w:rsid w:val="006B091D"/>
    <w:rsid w:val="006B09F2"/>
    <w:rsid w:val="006B0ABF"/>
    <w:rsid w:val="006B0ADB"/>
    <w:rsid w:val="006B0C10"/>
    <w:rsid w:val="006B0C49"/>
    <w:rsid w:val="006B0C65"/>
    <w:rsid w:val="006B0D91"/>
    <w:rsid w:val="006B110F"/>
    <w:rsid w:val="006B11DF"/>
    <w:rsid w:val="006B161E"/>
    <w:rsid w:val="006B1655"/>
    <w:rsid w:val="006B16E7"/>
    <w:rsid w:val="006B16F6"/>
    <w:rsid w:val="006B17AF"/>
    <w:rsid w:val="006B193F"/>
    <w:rsid w:val="006B1A04"/>
    <w:rsid w:val="006B1CF6"/>
    <w:rsid w:val="006B1ECB"/>
    <w:rsid w:val="006B1FBC"/>
    <w:rsid w:val="006B22D3"/>
    <w:rsid w:val="006B2430"/>
    <w:rsid w:val="006B2593"/>
    <w:rsid w:val="006B2613"/>
    <w:rsid w:val="006B289F"/>
    <w:rsid w:val="006B2AD5"/>
    <w:rsid w:val="006B2D88"/>
    <w:rsid w:val="006B2D8F"/>
    <w:rsid w:val="006B2E30"/>
    <w:rsid w:val="006B3285"/>
    <w:rsid w:val="006B3443"/>
    <w:rsid w:val="006B34C6"/>
    <w:rsid w:val="006B37C3"/>
    <w:rsid w:val="006B38F5"/>
    <w:rsid w:val="006B3C27"/>
    <w:rsid w:val="006B3D21"/>
    <w:rsid w:val="006B3D38"/>
    <w:rsid w:val="006B3D82"/>
    <w:rsid w:val="006B3EC5"/>
    <w:rsid w:val="006B4408"/>
    <w:rsid w:val="006B47F2"/>
    <w:rsid w:val="006B4A54"/>
    <w:rsid w:val="006B4B93"/>
    <w:rsid w:val="006B5112"/>
    <w:rsid w:val="006B5308"/>
    <w:rsid w:val="006B579C"/>
    <w:rsid w:val="006B57A9"/>
    <w:rsid w:val="006B5802"/>
    <w:rsid w:val="006B5860"/>
    <w:rsid w:val="006B586B"/>
    <w:rsid w:val="006B59BB"/>
    <w:rsid w:val="006B59C7"/>
    <w:rsid w:val="006B5A01"/>
    <w:rsid w:val="006B5CF6"/>
    <w:rsid w:val="006B5CF7"/>
    <w:rsid w:val="006B5D22"/>
    <w:rsid w:val="006B5D37"/>
    <w:rsid w:val="006B5F22"/>
    <w:rsid w:val="006B6119"/>
    <w:rsid w:val="006B617F"/>
    <w:rsid w:val="006B61DE"/>
    <w:rsid w:val="006B623A"/>
    <w:rsid w:val="006B6591"/>
    <w:rsid w:val="006B6AF1"/>
    <w:rsid w:val="006B6BC0"/>
    <w:rsid w:val="006B6BFF"/>
    <w:rsid w:val="006B7252"/>
    <w:rsid w:val="006B73C2"/>
    <w:rsid w:val="006B73F1"/>
    <w:rsid w:val="006B75E7"/>
    <w:rsid w:val="006B7743"/>
    <w:rsid w:val="006B7BA0"/>
    <w:rsid w:val="006B7C16"/>
    <w:rsid w:val="006B7E0C"/>
    <w:rsid w:val="006B7E43"/>
    <w:rsid w:val="006B7E6E"/>
    <w:rsid w:val="006B7F56"/>
    <w:rsid w:val="006C022E"/>
    <w:rsid w:val="006C05B2"/>
    <w:rsid w:val="006C07CA"/>
    <w:rsid w:val="006C0872"/>
    <w:rsid w:val="006C097C"/>
    <w:rsid w:val="006C0A20"/>
    <w:rsid w:val="006C0ABE"/>
    <w:rsid w:val="006C0ADF"/>
    <w:rsid w:val="006C0CAB"/>
    <w:rsid w:val="006C0F02"/>
    <w:rsid w:val="006C12BE"/>
    <w:rsid w:val="006C1532"/>
    <w:rsid w:val="006C1737"/>
    <w:rsid w:val="006C1929"/>
    <w:rsid w:val="006C1988"/>
    <w:rsid w:val="006C1B6A"/>
    <w:rsid w:val="006C1D4D"/>
    <w:rsid w:val="006C1D68"/>
    <w:rsid w:val="006C1DD2"/>
    <w:rsid w:val="006C1ECD"/>
    <w:rsid w:val="006C2068"/>
    <w:rsid w:val="006C212A"/>
    <w:rsid w:val="006C2225"/>
    <w:rsid w:val="006C2263"/>
    <w:rsid w:val="006C2272"/>
    <w:rsid w:val="006C257D"/>
    <w:rsid w:val="006C285A"/>
    <w:rsid w:val="006C2A07"/>
    <w:rsid w:val="006C2A17"/>
    <w:rsid w:val="006C2ADC"/>
    <w:rsid w:val="006C2CB2"/>
    <w:rsid w:val="006C2E55"/>
    <w:rsid w:val="006C31CE"/>
    <w:rsid w:val="006C32EB"/>
    <w:rsid w:val="006C3702"/>
    <w:rsid w:val="006C37AA"/>
    <w:rsid w:val="006C3873"/>
    <w:rsid w:val="006C3AFE"/>
    <w:rsid w:val="006C3C43"/>
    <w:rsid w:val="006C3C7E"/>
    <w:rsid w:val="006C3D5C"/>
    <w:rsid w:val="006C3F61"/>
    <w:rsid w:val="006C3FD5"/>
    <w:rsid w:val="006C3FF1"/>
    <w:rsid w:val="006C4235"/>
    <w:rsid w:val="006C446C"/>
    <w:rsid w:val="006C446F"/>
    <w:rsid w:val="006C447B"/>
    <w:rsid w:val="006C4487"/>
    <w:rsid w:val="006C44CB"/>
    <w:rsid w:val="006C4555"/>
    <w:rsid w:val="006C4588"/>
    <w:rsid w:val="006C45E1"/>
    <w:rsid w:val="006C4B86"/>
    <w:rsid w:val="006C4C34"/>
    <w:rsid w:val="006C5398"/>
    <w:rsid w:val="006C566F"/>
    <w:rsid w:val="006C56A0"/>
    <w:rsid w:val="006C575B"/>
    <w:rsid w:val="006C57A2"/>
    <w:rsid w:val="006C57F9"/>
    <w:rsid w:val="006C5A10"/>
    <w:rsid w:val="006C5ACB"/>
    <w:rsid w:val="006C5B29"/>
    <w:rsid w:val="006C5B8B"/>
    <w:rsid w:val="006C5F02"/>
    <w:rsid w:val="006C5F7B"/>
    <w:rsid w:val="006C60B5"/>
    <w:rsid w:val="006C6364"/>
    <w:rsid w:val="006C6731"/>
    <w:rsid w:val="006C68EE"/>
    <w:rsid w:val="006C6924"/>
    <w:rsid w:val="006C6D4B"/>
    <w:rsid w:val="006C700B"/>
    <w:rsid w:val="006C706A"/>
    <w:rsid w:val="006C7259"/>
    <w:rsid w:val="006C7690"/>
    <w:rsid w:val="006C775E"/>
    <w:rsid w:val="006C7762"/>
    <w:rsid w:val="006C7AC7"/>
    <w:rsid w:val="006D0026"/>
    <w:rsid w:val="006D0168"/>
    <w:rsid w:val="006D0268"/>
    <w:rsid w:val="006D03C1"/>
    <w:rsid w:val="006D0451"/>
    <w:rsid w:val="006D0A9F"/>
    <w:rsid w:val="006D0B24"/>
    <w:rsid w:val="006D0C0E"/>
    <w:rsid w:val="006D0D36"/>
    <w:rsid w:val="006D0E24"/>
    <w:rsid w:val="006D0EAD"/>
    <w:rsid w:val="006D10D1"/>
    <w:rsid w:val="006D170D"/>
    <w:rsid w:val="006D183E"/>
    <w:rsid w:val="006D193C"/>
    <w:rsid w:val="006D1B21"/>
    <w:rsid w:val="006D1F6D"/>
    <w:rsid w:val="006D22C9"/>
    <w:rsid w:val="006D256C"/>
    <w:rsid w:val="006D2738"/>
    <w:rsid w:val="006D293A"/>
    <w:rsid w:val="006D295B"/>
    <w:rsid w:val="006D2B63"/>
    <w:rsid w:val="006D2D92"/>
    <w:rsid w:val="006D31B4"/>
    <w:rsid w:val="006D3241"/>
    <w:rsid w:val="006D32F6"/>
    <w:rsid w:val="006D34A7"/>
    <w:rsid w:val="006D39AA"/>
    <w:rsid w:val="006D3CD6"/>
    <w:rsid w:val="006D3EC7"/>
    <w:rsid w:val="006D3F05"/>
    <w:rsid w:val="006D4000"/>
    <w:rsid w:val="006D40BC"/>
    <w:rsid w:val="006D41A7"/>
    <w:rsid w:val="006D426E"/>
    <w:rsid w:val="006D42E5"/>
    <w:rsid w:val="006D43A4"/>
    <w:rsid w:val="006D4548"/>
    <w:rsid w:val="006D4597"/>
    <w:rsid w:val="006D4623"/>
    <w:rsid w:val="006D46FB"/>
    <w:rsid w:val="006D48D2"/>
    <w:rsid w:val="006D4B5B"/>
    <w:rsid w:val="006D4C36"/>
    <w:rsid w:val="006D4CDB"/>
    <w:rsid w:val="006D4D60"/>
    <w:rsid w:val="006D5539"/>
    <w:rsid w:val="006D5563"/>
    <w:rsid w:val="006D56B3"/>
    <w:rsid w:val="006D572E"/>
    <w:rsid w:val="006D57D5"/>
    <w:rsid w:val="006D5D00"/>
    <w:rsid w:val="006D6032"/>
    <w:rsid w:val="006D612F"/>
    <w:rsid w:val="006D6481"/>
    <w:rsid w:val="006D64D6"/>
    <w:rsid w:val="006D6571"/>
    <w:rsid w:val="006D65DE"/>
    <w:rsid w:val="006D6612"/>
    <w:rsid w:val="006D6615"/>
    <w:rsid w:val="006D661B"/>
    <w:rsid w:val="006D6672"/>
    <w:rsid w:val="006D6697"/>
    <w:rsid w:val="006D66A4"/>
    <w:rsid w:val="006D68B6"/>
    <w:rsid w:val="006D6B77"/>
    <w:rsid w:val="006D6E63"/>
    <w:rsid w:val="006D6EC2"/>
    <w:rsid w:val="006D6FA4"/>
    <w:rsid w:val="006D7155"/>
    <w:rsid w:val="006D721F"/>
    <w:rsid w:val="006D77A6"/>
    <w:rsid w:val="006D7BB1"/>
    <w:rsid w:val="006D7CD4"/>
    <w:rsid w:val="006D7EE5"/>
    <w:rsid w:val="006E0068"/>
    <w:rsid w:val="006E0075"/>
    <w:rsid w:val="006E00B2"/>
    <w:rsid w:val="006E027B"/>
    <w:rsid w:val="006E0365"/>
    <w:rsid w:val="006E057A"/>
    <w:rsid w:val="006E0903"/>
    <w:rsid w:val="006E0E45"/>
    <w:rsid w:val="006E0E86"/>
    <w:rsid w:val="006E102E"/>
    <w:rsid w:val="006E133D"/>
    <w:rsid w:val="006E1399"/>
    <w:rsid w:val="006E15F8"/>
    <w:rsid w:val="006E1D13"/>
    <w:rsid w:val="006E1D5F"/>
    <w:rsid w:val="006E1D6E"/>
    <w:rsid w:val="006E1DAE"/>
    <w:rsid w:val="006E1E3B"/>
    <w:rsid w:val="006E1F05"/>
    <w:rsid w:val="006E20CD"/>
    <w:rsid w:val="006E20DA"/>
    <w:rsid w:val="006E2137"/>
    <w:rsid w:val="006E2175"/>
    <w:rsid w:val="006E2258"/>
    <w:rsid w:val="006E23A4"/>
    <w:rsid w:val="006E23E1"/>
    <w:rsid w:val="006E255F"/>
    <w:rsid w:val="006E25A0"/>
    <w:rsid w:val="006E2834"/>
    <w:rsid w:val="006E2882"/>
    <w:rsid w:val="006E293A"/>
    <w:rsid w:val="006E297E"/>
    <w:rsid w:val="006E2A8E"/>
    <w:rsid w:val="006E2B6D"/>
    <w:rsid w:val="006E2DEF"/>
    <w:rsid w:val="006E2E2E"/>
    <w:rsid w:val="006E2E69"/>
    <w:rsid w:val="006E336F"/>
    <w:rsid w:val="006E3467"/>
    <w:rsid w:val="006E3476"/>
    <w:rsid w:val="006E34A1"/>
    <w:rsid w:val="006E355B"/>
    <w:rsid w:val="006E36CB"/>
    <w:rsid w:val="006E3786"/>
    <w:rsid w:val="006E3815"/>
    <w:rsid w:val="006E3B22"/>
    <w:rsid w:val="006E3B29"/>
    <w:rsid w:val="006E3C7F"/>
    <w:rsid w:val="006E3D9B"/>
    <w:rsid w:val="006E40D8"/>
    <w:rsid w:val="006E4131"/>
    <w:rsid w:val="006E41D8"/>
    <w:rsid w:val="006E435D"/>
    <w:rsid w:val="006E436E"/>
    <w:rsid w:val="006E438E"/>
    <w:rsid w:val="006E43C7"/>
    <w:rsid w:val="006E4523"/>
    <w:rsid w:val="006E45C1"/>
    <w:rsid w:val="006E4751"/>
    <w:rsid w:val="006E47D3"/>
    <w:rsid w:val="006E4975"/>
    <w:rsid w:val="006E4E43"/>
    <w:rsid w:val="006E5308"/>
    <w:rsid w:val="006E53E5"/>
    <w:rsid w:val="006E54CA"/>
    <w:rsid w:val="006E56CE"/>
    <w:rsid w:val="006E5928"/>
    <w:rsid w:val="006E59C3"/>
    <w:rsid w:val="006E5A28"/>
    <w:rsid w:val="006E5AD8"/>
    <w:rsid w:val="006E5B87"/>
    <w:rsid w:val="006E5DCB"/>
    <w:rsid w:val="006E5E55"/>
    <w:rsid w:val="006E5F03"/>
    <w:rsid w:val="006E611C"/>
    <w:rsid w:val="006E64FB"/>
    <w:rsid w:val="006E675C"/>
    <w:rsid w:val="006E68F9"/>
    <w:rsid w:val="006E6938"/>
    <w:rsid w:val="006E6DF8"/>
    <w:rsid w:val="006E7167"/>
    <w:rsid w:val="006E73A9"/>
    <w:rsid w:val="006E73FB"/>
    <w:rsid w:val="006E7639"/>
    <w:rsid w:val="006E76F1"/>
    <w:rsid w:val="006E771F"/>
    <w:rsid w:val="006E78FA"/>
    <w:rsid w:val="006E7B24"/>
    <w:rsid w:val="006E7BCB"/>
    <w:rsid w:val="006F0214"/>
    <w:rsid w:val="006F058C"/>
    <w:rsid w:val="006F09FB"/>
    <w:rsid w:val="006F0DDB"/>
    <w:rsid w:val="006F0DFA"/>
    <w:rsid w:val="006F0E23"/>
    <w:rsid w:val="006F0E94"/>
    <w:rsid w:val="006F0F02"/>
    <w:rsid w:val="006F0F3B"/>
    <w:rsid w:val="006F1489"/>
    <w:rsid w:val="006F1552"/>
    <w:rsid w:val="006F16F6"/>
    <w:rsid w:val="006F1B19"/>
    <w:rsid w:val="006F1B9A"/>
    <w:rsid w:val="006F1CE1"/>
    <w:rsid w:val="006F1CF6"/>
    <w:rsid w:val="006F1D10"/>
    <w:rsid w:val="006F1E0F"/>
    <w:rsid w:val="006F2071"/>
    <w:rsid w:val="006F20CA"/>
    <w:rsid w:val="006F24A2"/>
    <w:rsid w:val="006F254D"/>
    <w:rsid w:val="006F26B6"/>
    <w:rsid w:val="006F2741"/>
    <w:rsid w:val="006F27E7"/>
    <w:rsid w:val="006F2D90"/>
    <w:rsid w:val="006F2DA3"/>
    <w:rsid w:val="006F2F79"/>
    <w:rsid w:val="006F3004"/>
    <w:rsid w:val="006F31EE"/>
    <w:rsid w:val="006F385D"/>
    <w:rsid w:val="006F3DC8"/>
    <w:rsid w:val="006F3EC3"/>
    <w:rsid w:val="006F4025"/>
    <w:rsid w:val="006F4851"/>
    <w:rsid w:val="006F4AFC"/>
    <w:rsid w:val="006F4C46"/>
    <w:rsid w:val="006F4F18"/>
    <w:rsid w:val="006F52D3"/>
    <w:rsid w:val="006F5470"/>
    <w:rsid w:val="006F54BB"/>
    <w:rsid w:val="006F572A"/>
    <w:rsid w:val="006F58CC"/>
    <w:rsid w:val="006F5B8D"/>
    <w:rsid w:val="006F6338"/>
    <w:rsid w:val="006F6584"/>
    <w:rsid w:val="006F65D5"/>
    <w:rsid w:val="006F6964"/>
    <w:rsid w:val="006F69F2"/>
    <w:rsid w:val="006F6A04"/>
    <w:rsid w:val="006F6C04"/>
    <w:rsid w:val="006F6C47"/>
    <w:rsid w:val="006F705E"/>
    <w:rsid w:val="006F7168"/>
    <w:rsid w:val="006F732F"/>
    <w:rsid w:val="006F7485"/>
    <w:rsid w:val="006F79EF"/>
    <w:rsid w:val="006F7BB4"/>
    <w:rsid w:val="006F7DC0"/>
    <w:rsid w:val="00700403"/>
    <w:rsid w:val="007005E5"/>
    <w:rsid w:val="0070074A"/>
    <w:rsid w:val="007007F6"/>
    <w:rsid w:val="007009C9"/>
    <w:rsid w:val="0070121A"/>
    <w:rsid w:val="007012EB"/>
    <w:rsid w:val="007012F1"/>
    <w:rsid w:val="0070143F"/>
    <w:rsid w:val="0070155A"/>
    <w:rsid w:val="00701600"/>
    <w:rsid w:val="00701749"/>
    <w:rsid w:val="00701BA3"/>
    <w:rsid w:val="0070239B"/>
    <w:rsid w:val="0070280D"/>
    <w:rsid w:val="00702B4A"/>
    <w:rsid w:val="00702C8A"/>
    <w:rsid w:val="00702CDF"/>
    <w:rsid w:val="00702D68"/>
    <w:rsid w:val="00702D9E"/>
    <w:rsid w:val="0070302C"/>
    <w:rsid w:val="007030FE"/>
    <w:rsid w:val="00703340"/>
    <w:rsid w:val="00703766"/>
    <w:rsid w:val="007039DB"/>
    <w:rsid w:val="00703E62"/>
    <w:rsid w:val="00703FED"/>
    <w:rsid w:val="007041AB"/>
    <w:rsid w:val="007042B2"/>
    <w:rsid w:val="007042DC"/>
    <w:rsid w:val="00704333"/>
    <w:rsid w:val="007043E4"/>
    <w:rsid w:val="00704586"/>
    <w:rsid w:val="0070463B"/>
    <w:rsid w:val="0070481C"/>
    <w:rsid w:val="007048D4"/>
    <w:rsid w:val="007049E2"/>
    <w:rsid w:val="00704D99"/>
    <w:rsid w:val="00704F60"/>
    <w:rsid w:val="00704F6B"/>
    <w:rsid w:val="00704FF0"/>
    <w:rsid w:val="007052DA"/>
    <w:rsid w:val="007055E1"/>
    <w:rsid w:val="007058D7"/>
    <w:rsid w:val="00705B52"/>
    <w:rsid w:val="00705DD6"/>
    <w:rsid w:val="00705F93"/>
    <w:rsid w:val="0070603B"/>
    <w:rsid w:val="00706085"/>
    <w:rsid w:val="0070615C"/>
    <w:rsid w:val="007062A9"/>
    <w:rsid w:val="007062B5"/>
    <w:rsid w:val="007063FF"/>
    <w:rsid w:val="0070649F"/>
    <w:rsid w:val="007065BC"/>
    <w:rsid w:val="007066BF"/>
    <w:rsid w:val="0070686A"/>
    <w:rsid w:val="00706AFE"/>
    <w:rsid w:val="007073E1"/>
    <w:rsid w:val="0070744E"/>
    <w:rsid w:val="0070764F"/>
    <w:rsid w:val="0070776B"/>
    <w:rsid w:val="0070790E"/>
    <w:rsid w:val="007079C4"/>
    <w:rsid w:val="00707BDC"/>
    <w:rsid w:val="00707C83"/>
    <w:rsid w:val="00710166"/>
    <w:rsid w:val="007101FE"/>
    <w:rsid w:val="00710355"/>
    <w:rsid w:val="0071037D"/>
    <w:rsid w:val="00710472"/>
    <w:rsid w:val="007105C9"/>
    <w:rsid w:val="00710711"/>
    <w:rsid w:val="007108E0"/>
    <w:rsid w:val="0071096F"/>
    <w:rsid w:val="007109EC"/>
    <w:rsid w:val="00710D25"/>
    <w:rsid w:val="00710D7A"/>
    <w:rsid w:val="00710E1C"/>
    <w:rsid w:val="00710E7C"/>
    <w:rsid w:val="00711005"/>
    <w:rsid w:val="007111B1"/>
    <w:rsid w:val="0071136B"/>
    <w:rsid w:val="00711371"/>
    <w:rsid w:val="007114E5"/>
    <w:rsid w:val="007117AC"/>
    <w:rsid w:val="00711A5E"/>
    <w:rsid w:val="00711A97"/>
    <w:rsid w:val="00711BE9"/>
    <w:rsid w:val="00711D78"/>
    <w:rsid w:val="00711DC9"/>
    <w:rsid w:val="00711E18"/>
    <w:rsid w:val="00711E45"/>
    <w:rsid w:val="00712128"/>
    <w:rsid w:val="007121BC"/>
    <w:rsid w:val="0071280F"/>
    <w:rsid w:val="0071284C"/>
    <w:rsid w:val="007128FC"/>
    <w:rsid w:val="00712BF5"/>
    <w:rsid w:val="00712D47"/>
    <w:rsid w:val="00712E01"/>
    <w:rsid w:val="00712ECE"/>
    <w:rsid w:val="00712F8E"/>
    <w:rsid w:val="00713030"/>
    <w:rsid w:val="00713205"/>
    <w:rsid w:val="007134F2"/>
    <w:rsid w:val="00713578"/>
    <w:rsid w:val="00713593"/>
    <w:rsid w:val="0071361E"/>
    <w:rsid w:val="007136B2"/>
    <w:rsid w:val="00713782"/>
    <w:rsid w:val="007137AF"/>
    <w:rsid w:val="00713B78"/>
    <w:rsid w:val="00713CFC"/>
    <w:rsid w:val="00713E41"/>
    <w:rsid w:val="00713EAB"/>
    <w:rsid w:val="007142B7"/>
    <w:rsid w:val="00714366"/>
    <w:rsid w:val="00714477"/>
    <w:rsid w:val="00714594"/>
    <w:rsid w:val="007145A7"/>
    <w:rsid w:val="007146C3"/>
    <w:rsid w:val="00714861"/>
    <w:rsid w:val="007148B0"/>
    <w:rsid w:val="00714EF5"/>
    <w:rsid w:val="00715190"/>
    <w:rsid w:val="00715192"/>
    <w:rsid w:val="00715267"/>
    <w:rsid w:val="007152BC"/>
    <w:rsid w:val="007152DF"/>
    <w:rsid w:val="00715346"/>
    <w:rsid w:val="0071538A"/>
    <w:rsid w:val="007154F2"/>
    <w:rsid w:val="007155F9"/>
    <w:rsid w:val="00715865"/>
    <w:rsid w:val="007158E4"/>
    <w:rsid w:val="00715A50"/>
    <w:rsid w:val="00715ABE"/>
    <w:rsid w:val="00715D97"/>
    <w:rsid w:val="00716081"/>
    <w:rsid w:val="0071608C"/>
    <w:rsid w:val="007162F6"/>
    <w:rsid w:val="007163D5"/>
    <w:rsid w:val="007164CC"/>
    <w:rsid w:val="007165B7"/>
    <w:rsid w:val="007168A6"/>
    <w:rsid w:val="00716A63"/>
    <w:rsid w:val="00716B53"/>
    <w:rsid w:val="00716DEC"/>
    <w:rsid w:val="00716EF9"/>
    <w:rsid w:val="00717092"/>
    <w:rsid w:val="00717122"/>
    <w:rsid w:val="007171CC"/>
    <w:rsid w:val="007174C5"/>
    <w:rsid w:val="0071772D"/>
    <w:rsid w:val="00717BA5"/>
    <w:rsid w:val="00717D09"/>
    <w:rsid w:val="00717D73"/>
    <w:rsid w:val="00717D96"/>
    <w:rsid w:val="00717DB3"/>
    <w:rsid w:val="007201DA"/>
    <w:rsid w:val="007204F8"/>
    <w:rsid w:val="00720762"/>
    <w:rsid w:val="007207ED"/>
    <w:rsid w:val="00720AA2"/>
    <w:rsid w:val="00720B77"/>
    <w:rsid w:val="00720BA0"/>
    <w:rsid w:val="00721000"/>
    <w:rsid w:val="007213EC"/>
    <w:rsid w:val="00721488"/>
    <w:rsid w:val="00721615"/>
    <w:rsid w:val="00721BA3"/>
    <w:rsid w:val="00721BF8"/>
    <w:rsid w:val="00721DB9"/>
    <w:rsid w:val="00721FF5"/>
    <w:rsid w:val="00722003"/>
    <w:rsid w:val="0072218B"/>
    <w:rsid w:val="0072220F"/>
    <w:rsid w:val="00722728"/>
    <w:rsid w:val="00722800"/>
    <w:rsid w:val="00722BBC"/>
    <w:rsid w:val="00722BED"/>
    <w:rsid w:val="00722C31"/>
    <w:rsid w:val="00723142"/>
    <w:rsid w:val="007231E8"/>
    <w:rsid w:val="007232E9"/>
    <w:rsid w:val="00723361"/>
    <w:rsid w:val="007234EE"/>
    <w:rsid w:val="0072377D"/>
    <w:rsid w:val="00723832"/>
    <w:rsid w:val="007238FC"/>
    <w:rsid w:val="0072390B"/>
    <w:rsid w:val="00723A15"/>
    <w:rsid w:val="007242AD"/>
    <w:rsid w:val="00724527"/>
    <w:rsid w:val="00724567"/>
    <w:rsid w:val="007245A1"/>
    <w:rsid w:val="007245EE"/>
    <w:rsid w:val="00724720"/>
    <w:rsid w:val="0072498B"/>
    <w:rsid w:val="00724DC0"/>
    <w:rsid w:val="00724E08"/>
    <w:rsid w:val="00724F33"/>
    <w:rsid w:val="007252B4"/>
    <w:rsid w:val="007252FE"/>
    <w:rsid w:val="0072532D"/>
    <w:rsid w:val="00725604"/>
    <w:rsid w:val="00725636"/>
    <w:rsid w:val="00725B57"/>
    <w:rsid w:val="00725B66"/>
    <w:rsid w:val="00725EF0"/>
    <w:rsid w:val="00726379"/>
    <w:rsid w:val="00726600"/>
    <w:rsid w:val="00726805"/>
    <w:rsid w:val="0072692D"/>
    <w:rsid w:val="00726940"/>
    <w:rsid w:val="00726A4D"/>
    <w:rsid w:val="00726DE8"/>
    <w:rsid w:val="00726E00"/>
    <w:rsid w:val="00726E1A"/>
    <w:rsid w:val="00726E4D"/>
    <w:rsid w:val="00726F1B"/>
    <w:rsid w:val="00726F2A"/>
    <w:rsid w:val="00726F4A"/>
    <w:rsid w:val="00727400"/>
    <w:rsid w:val="00727530"/>
    <w:rsid w:val="0072753A"/>
    <w:rsid w:val="00727839"/>
    <w:rsid w:val="00727A9F"/>
    <w:rsid w:val="00727C69"/>
    <w:rsid w:val="00727E40"/>
    <w:rsid w:val="007300C9"/>
    <w:rsid w:val="00730400"/>
    <w:rsid w:val="007304AE"/>
    <w:rsid w:val="007304AF"/>
    <w:rsid w:val="00730580"/>
    <w:rsid w:val="007305C2"/>
    <w:rsid w:val="00730605"/>
    <w:rsid w:val="00730640"/>
    <w:rsid w:val="007308A6"/>
    <w:rsid w:val="00730BB2"/>
    <w:rsid w:val="00730C7A"/>
    <w:rsid w:val="00730D15"/>
    <w:rsid w:val="00730DC1"/>
    <w:rsid w:val="00730E76"/>
    <w:rsid w:val="00731966"/>
    <w:rsid w:val="00731CB1"/>
    <w:rsid w:val="00731D39"/>
    <w:rsid w:val="00732259"/>
    <w:rsid w:val="007322F7"/>
    <w:rsid w:val="007326EC"/>
    <w:rsid w:val="007328C6"/>
    <w:rsid w:val="00732C40"/>
    <w:rsid w:val="00732FF3"/>
    <w:rsid w:val="0073323F"/>
    <w:rsid w:val="0073332E"/>
    <w:rsid w:val="00733368"/>
    <w:rsid w:val="0073338D"/>
    <w:rsid w:val="007336B0"/>
    <w:rsid w:val="00733952"/>
    <w:rsid w:val="00733986"/>
    <w:rsid w:val="007342C8"/>
    <w:rsid w:val="00734412"/>
    <w:rsid w:val="00734653"/>
    <w:rsid w:val="0073474F"/>
    <w:rsid w:val="007348C3"/>
    <w:rsid w:val="00734B4F"/>
    <w:rsid w:val="00734D95"/>
    <w:rsid w:val="00734F1A"/>
    <w:rsid w:val="007352D5"/>
    <w:rsid w:val="00735536"/>
    <w:rsid w:val="00735756"/>
    <w:rsid w:val="007357AC"/>
    <w:rsid w:val="007357AD"/>
    <w:rsid w:val="00735825"/>
    <w:rsid w:val="00735A2F"/>
    <w:rsid w:val="00735B71"/>
    <w:rsid w:val="00735D99"/>
    <w:rsid w:val="00735E36"/>
    <w:rsid w:val="00735E9F"/>
    <w:rsid w:val="00735EEB"/>
    <w:rsid w:val="00735FF5"/>
    <w:rsid w:val="00736262"/>
    <w:rsid w:val="007367B8"/>
    <w:rsid w:val="00736917"/>
    <w:rsid w:val="00736D07"/>
    <w:rsid w:val="00736EE8"/>
    <w:rsid w:val="00737059"/>
    <w:rsid w:val="0073707D"/>
    <w:rsid w:val="0073734D"/>
    <w:rsid w:val="0073746F"/>
    <w:rsid w:val="0073757D"/>
    <w:rsid w:val="00737800"/>
    <w:rsid w:val="007378D6"/>
    <w:rsid w:val="00737B54"/>
    <w:rsid w:val="00737C0B"/>
    <w:rsid w:val="00737EE8"/>
    <w:rsid w:val="007400F2"/>
    <w:rsid w:val="007401D3"/>
    <w:rsid w:val="007403B6"/>
    <w:rsid w:val="007404F7"/>
    <w:rsid w:val="0074055F"/>
    <w:rsid w:val="007406D5"/>
    <w:rsid w:val="00740988"/>
    <w:rsid w:val="00740AE6"/>
    <w:rsid w:val="00740B8B"/>
    <w:rsid w:val="00740C2E"/>
    <w:rsid w:val="00740C52"/>
    <w:rsid w:val="00740CF9"/>
    <w:rsid w:val="007411CB"/>
    <w:rsid w:val="007415BA"/>
    <w:rsid w:val="007415CE"/>
    <w:rsid w:val="00741615"/>
    <w:rsid w:val="0074172E"/>
    <w:rsid w:val="00741781"/>
    <w:rsid w:val="00741D91"/>
    <w:rsid w:val="00742117"/>
    <w:rsid w:val="00742268"/>
    <w:rsid w:val="007422DB"/>
    <w:rsid w:val="007424E7"/>
    <w:rsid w:val="00742587"/>
    <w:rsid w:val="00742608"/>
    <w:rsid w:val="00742BB5"/>
    <w:rsid w:val="00742C1E"/>
    <w:rsid w:val="00742C33"/>
    <w:rsid w:val="00742CB4"/>
    <w:rsid w:val="00742F16"/>
    <w:rsid w:val="00742FB1"/>
    <w:rsid w:val="007435CA"/>
    <w:rsid w:val="007438AA"/>
    <w:rsid w:val="0074392D"/>
    <w:rsid w:val="00743CFA"/>
    <w:rsid w:val="00743DBD"/>
    <w:rsid w:val="00744251"/>
    <w:rsid w:val="00744473"/>
    <w:rsid w:val="007447FD"/>
    <w:rsid w:val="0074485E"/>
    <w:rsid w:val="007449F9"/>
    <w:rsid w:val="00744D65"/>
    <w:rsid w:val="00744EA0"/>
    <w:rsid w:val="00744F6E"/>
    <w:rsid w:val="00745006"/>
    <w:rsid w:val="00745072"/>
    <w:rsid w:val="007450B9"/>
    <w:rsid w:val="007450EE"/>
    <w:rsid w:val="0074525E"/>
    <w:rsid w:val="007454B1"/>
    <w:rsid w:val="00745621"/>
    <w:rsid w:val="00745678"/>
    <w:rsid w:val="007456F4"/>
    <w:rsid w:val="007457A8"/>
    <w:rsid w:val="0074581B"/>
    <w:rsid w:val="00745A22"/>
    <w:rsid w:val="00745AFC"/>
    <w:rsid w:val="00745C2D"/>
    <w:rsid w:val="00745CA6"/>
    <w:rsid w:val="00745D0D"/>
    <w:rsid w:val="00745DAA"/>
    <w:rsid w:val="00746408"/>
    <w:rsid w:val="007464D1"/>
    <w:rsid w:val="0074681C"/>
    <w:rsid w:val="00746898"/>
    <w:rsid w:val="00746A4B"/>
    <w:rsid w:val="00746B07"/>
    <w:rsid w:val="0074710E"/>
    <w:rsid w:val="00747113"/>
    <w:rsid w:val="00747219"/>
    <w:rsid w:val="0074734D"/>
    <w:rsid w:val="007473D3"/>
    <w:rsid w:val="007475AC"/>
    <w:rsid w:val="007477E0"/>
    <w:rsid w:val="00747A98"/>
    <w:rsid w:val="00750179"/>
    <w:rsid w:val="0075045A"/>
    <w:rsid w:val="007504A3"/>
    <w:rsid w:val="007505DF"/>
    <w:rsid w:val="00750630"/>
    <w:rsid w:val="00750683"/>
    <w:rsid w:val="0075078F"/>
    <w:rsid w:val="00750B7F"/>
    <w:rsid w:val="00750DBB"/>
    <w:rsid w:val="00750FE2"/>
    <w:rsid w:val="00751337"/>
    <w:rsid w:val="00751478"/>
    <w:rsid w:val="00751635"/>
    <w:rsid w:val="00751679"/>
    <w:rsid w:val="00751834"/>
    <w:rsid w:val="00751926"/>
    <w:rsid w:val="00751A5E"/>
    <w:rsid w:val="00751AC8"/>
    <w:rsid w:val="00751B45"/>
    <w:rsid w:val="00751B99"/>
    <w:rsid w:val="00751C93"/>
    <w:rsid w:val="00751E32"/>
    <w:rsid w:val="00751E84"/>
    <w:rsid w:val="00751EB0"/>
    <w:rsid w:val="00752087"/>
    <w:rsid w:val="0075219A"/>
    <w:rsid w:val="0075228C"/>
    <w:rsid w:val="0075243A"/>
    <w:rsid w:val="00752581"/>
    <w:rsid w:val="007525C1"/>
    <w:rsid w:val="00752742"/>
    <w:rsid w:val="00752787"/>
    <w:rsid w:val="007527C6"/>
    <w:rsid w:val="007529BF"/>
    <w:rsid w:val="00752DEB"/>
    <w:rsid w:val="00752EDA"/>
    <w:rsid w:val="00752F1C"/>
    <w:rsid w:val="00753006"/>
    <w:rsid w:val="0075325C"/>
    <w:rsid w:val="00753416"/>
    <w:rsid w:val="00753644"/>
    <w:rsid w:val="007536AA"/>
    <w:rsid w:val="0075398B"/>
    <w:rsid w:val="00753B35"/>
    <w:rsid w:val="00753CA8"/>
    <w:rsid w:val="00753D8C"/>
    <w:rsid w:val="00753DAE"/>
    <w:rsid w:val="00753E05"/>
    <w:rsid w:val="007540AC"/>
    <w:rsid w:val="0075411F"/>
    <w:rsid w:val="0075418E"/>
    <w:rsid w:val="007541B9"/>
    <w:rsid w:val="007541CF"/>
    <w:rsid w:val="00754301"/>
    <w:rsid w:val="0075433E"/>
    <w:rsid w:val="00754602"/>
    <w:rsid w:val="00754652"/>
    <w:rsid w:val="00754671"/>
    <w:rsid w:val="007548FA"/>
    <w:rsid w:val="00754C55"/>
    <w:rsid w:val="00754CD6"/>
    <w:rsid w:val="00754D74"/>
    <w:rsid w:val="00754F22"/>
    <w:rsid w:val="00755421"/>
    <w:rsid w:val="0075545E"/>
    <w:rsid w:val="00755480"/>
    <w:rsid w:val="00755723"/>
    <w:rsid w:val="0075585B"/>
    <w:rsid w:val="007559E7"/>
    <w:rsid w:val="00755B72"/>
    <w:rsid w:val="00756143"/>
    <w:rsid w:val="0075625B"/>
    <w:rsid w:val="00756521"/>
    <w:rsid w:val="00756729"/>
    <w:rsid w:val="00756847"/>
    <w:rsid w:val="00756A1C"/>
    <w:rsid w:val="00756A38"/>
    <w:rsid w:val="00756EA2"/>
    <w:rsid w:val="00757021"/>
    <w:rsid w:val="007570A1"/>
    <w:rsid w:val="0075714D"/>
    <w:rsid w:val="00757625"/>
    <w:rsid w:val="007578F7"/>
    <w:rsid w:val="00757964"/>
    <w:rsid w:val="007579F0"/>
    <w:rsid w:val="007579FE"/>
    <w:rsid w:val="00757B97"/>
    <w:rsid w:val="00757CA5"/>
    <w:rsid w:val="007604E0"/>
    <w:rsid w:val="00760523"/>
    <w:rsid w:val="00760657"/>
    <w:rsid w:val="007607A6"/>
    <w:rsid w:val="00760ECF"/>
    <w:rsid w:val="007610D3"/>
    <w:rsid w:val="00761527"/>
    <w:rsid w:val="00761575"/>
    <w:rsid w:val="0076157C"/>
    <w:rsid w:val="007615DF"/>
    <w:rsid w:val="007617D9"/>
    <w:rsid w:val="00761BFE"/>
    <w:rsid w:val="00761CFB"/>
    <w:rsid w:val="00761EBC"/>
    <w:rsid w:val="00761F74"/>
    <w:rsid w:val="007620B5"/>
    <w:rsid w:val="007620F8"/>
    <w:rsid w:val="007621AA"/>
    <w:rsid w:val="007621B9"/>
    <w:rsid w:val="0076225F"/>
    <w:rsid w:val="007625E7"/>
    <w:rsid w:val="0076277D"/>
    <w:rsid w:val="007627FB"/>
    <w:rsid w:val="00762880"/>
    <w:rsid w:val="00762B48"/>
    <w:rsid w:val="00762D1C"/>
    <w:rsid w:val="00762E6C"/>
    <w:rsid w:val="00763030"/>
    <w:rsid w:val="00763117"/>
    <w:rsid w:val="00763545"/>
    <w:rsid w:val="00763615"/>
    <w:rsid w:val="00763771"/>
    <w:rsid w:val="007637A6"/>
    <w:rsid w:val="0076398F"/>
    <w:rsid w:val="00763B92"/>
    <w:rsid w:val="00763CB8"/>
    <w:rsid w:val="00763FB9"/>
    <w:rsid w:val="00764104"/>
    <w:rsid w:val="0076412F"/>
    <w:rsid w:val="00764233"/>
    <w:rsid w:val="0076425D"/>
    <w:rsid w:val="0076429A"/>
    <w:rsid w:val="007642E4"/>
    <w:rsid w:val="0076499A"/>
    <w:rsid w:val="00764A92"/>
    <w:rsid w:val="00764CF4"/>
    <w:rsid w:val="007650B8"/>
    <w:rsid w:val="007651CA"/>
    <w:rsid w:val="007659C4"/>
    <w:rsid w:val="00765A2D"/>
    <w:rsid w:val="007660BB"/>
    <w:rsid w:val="007661FF"/>
    <w:rsid w:val="00766391"/>
    <w:rsid w:val="007663C0"/>
    <w:rsid w:val="00766446"/>
    <w:rsid w:val="007664DF"/>
    <w:rsid w:val="0076687F"/>
    <w:rsid w:val="0076698A"/>
    <w:rsid w:val="00766C34"/>
    <w:rsid w:val="00766FAA"/>
    <w:rsid w:val="007670CF"/>
    <w:rsid w:val="007670E5"/>
    <w:rsid w:val="007670EE"/>
    <w:rsid w:val="007671FA"/>
    <w:rsid w:val="00767411"/>
    <w:rsid w:val="0076752E"/>
    <w:rsid w:val="00767592"/>
    <w:rsid w:val="007679E0"/>
    <w:rsid w:val="00767A08"/>
    <w:rsid w:val="00767AF2"/>
    <w:rsid w:val="00767D28"/>
    <w:rsid w:val="00767DBE"/>
    <w:rsid w:val="00767F32"/>
    <w:rsid w:val="00770035"/>
    <w:rsid w:val="00770846"/>
    <w:rsid w:val="007709C8"/>
    <w:rsid w:val="00770A8D"/>
    <w:rsid w:val="00770E95"/>
    <w:rsid w:val="007710E6"/>
    <w:rsid w:val="0077134E"/>
    <w:rsid w:val="007713EB"/>
    <w:rsid w:val="00771420"/>
    <w:rsid w:val="00771482"/>
    <w:rsid w:val="00771498"/>
    <w:rsid w:val="00771510"/>
    <w:rsid w:val="0077151A"/>
    <w:rsid w:val="00771AAD"/>
    <w:rsid w:val="00771EC9"/>
    <w:rsid w:val="0077214A"/>
    <w:rsid w:val="00772331"/>
    <w:rsid w:val="007726AE"/>
    <w:rsid w:val="0077270B"/>
    <w:rsid w:val="00772ABA"/>
    <w:rsid w:val="00772FB8"/>
    <w:rsid w:val="00773173"/>
    <w:rsid w:val="0077358A"/>
    <w:rsid w:val="00773D57"/>
    <w:rsid w:val="00773EF5"/>
    <w:rsid w:val="0077402A"/>
    <w:rsid w:val="00774055"/>
    <w:rsid w:val="0077427B"/>
    <w:rsid w:val="007744C9"/>
    <w:rsid w:val="00774579"/>
    <w:rsid w:val="007746AC"/>
    <w:rsid w:val="007749CF"/>
    <w:rsid w:val="00774A9F"/>
    <w:rsid w:val="00774C4B"/>
    <w:rsid w:val="00774D42"/>
    <w:rsid w:val="00774DA9"/>
    <w:rsid w:val="00774F40"/>
    <w:rsid w:val="00775059"/>
    <w:rsid w:val="007750C0"/>
    <w:rsid w:val="00775133"/>
    <w:rsid w:val="007751C8"/>
    <w:rsid w:val="007752C1"/>
    <w:rsid w:val="0077562A"/>
    <w:rsid w:val="00775893"/>
    <w:rsid w:val="00775919"/>
    <w:rsid w:val="00775940"/>
    <w:rsid w:val="0077596B"/>
    <w:rsid w:val="007759A9"/>
    <w:rsid w:val="00775A3C"/>
    <w:rsid w:val="00775E94"/>
    <w:rsid w:val="007761C4"/>
    <w:rsid w:val="00776294"/>
    <w:rsid w:val="00776545"/>
    <w:rsid w:val="0077665C"/>
    <w:rsid w:val="00776726"/>
    <w:rsid w:val="00776921"/>
    <w:rsid w:val="00776AF2"/>
    <w:rsid w:val="00776CD9"/>
    <w:rsid w:val="00776D0A"/>
    <w:rsid w:val="00776F7A"/>
    <w:rsid w:val="00777002"/>
    <w:rsid w:val="007770B4"/>
    <w:rsid w:val="00777216"/>
    <w:rsid w:val="00777417"/>
    <w:rsid w:val="00777511"/>
    <w:rsid w:val="0077751F"/>
    <w:rsid w:val="00777814"/>
    <w:rsid w:val="00777C44"/>
    <w:rsid w:val="00777C7D"/>
    <w:rsid w:val="00777E5D"/>
    <w:rsid w:val="007800CA"/>
    <w:rsid w:val="007800CC"/>
    <w:rsid w:val="007800DB"/>
    <w:rsid w:val="007803F3"/>
    <w:rsid w:val="0078040E"/>
    <w:rsid w:val="007804DE"/>
    <w:rsid w:val="00780892"/>
    <w:rsid w:val="00780AC4"/>
    <w:rsid w:val="00780B6F"/>
    <w:rsid w:val="00780C43"/>
    <w:rsid w:val="00780CEA"/>
    <w:rsid w:val="00780EC1"/>
    <w:rsid w:val="00781168"/>
    <w:rsid w:val="00781242"/>
    <w:rsid w:val="007812FA"/>
    <w:rsid w:val="0078134B"/>
    <w:rsid w:val="0078168C"/>
    <w:rsid w:val="007818A1"/>
    <w:rsid w:val="007821EF"/>
    <w:rsid w:val="00782272"/>
    <w:rsid w:val="00782413"/>
    <w:rsid w:val="007824D3"/>
    <w:rsid w:val="007826DF"/>
    <w:rsid w:val="0078270B"/>
    <w:rsid w:val="00782AC2"/>
    <w:rsid w:val="00782B8F"/>
    <w:rsid w:val="00782E2A"/>
    <w:rsid w:val="00782EC0"/>
    <w:rsid w:val="0078307A"/>
    <w:rsid w:val="007831DB"/>
    <w:rsid w:val="00783358"/>
    <w:rsid w:val="007835CB"/>
    <w:rsid w:val="007836C6"/>
    <w:rsid w:val="00783874"/>
    <w:rsid w:val="00783B07"/>
    <w:rsid w:val="00783CA7"/>
    <w:rsid w:val="007845FE"/>
    <w:rsid w:val="0078476B"/>
    <w:rsid w:val="007847B9"/>
    <w:rsid w:val="007848AB"/>
    <w:rsid w:val="00784A5C"/>
    <w:rsid w:val="00784A74"/>
    <w:rsid w:val="00784C54"/>
    <w:rsid w:val="00784C69"/>
    <w:rsid w:val="0078518D"/>
    <w:rsid w:val="007853A9"/>
    <w:rsid w:val="007857A9"/>
    <w:rsid w:val="007858E2"/>
    <w:rsid w:val="00785A9B"/>
    <w:rsid w:val="00785B72"/>
    <w:rsid w:val="00785BF7"/>
    <w:rsid w:val="00785DD6"/>
    <w:rsid w:val="00785E3A"/>
    <w:rsid w:val="00786073"/>
    <w:rsid w:val="0078617A"/>
    <w:rsid w:val="00786387"/>
    <w:rsid w:val="0078647D"/>
    <w:rsid w:val="007864ED"/>
    <w:rsid w:val="007866DA"/>
    <w:rsid w:val="00786739"/>
    <w:rsid w:val="00786867"/>
    <w:rsid w:val="0078687A"/>
    <w:rsid w:val="007868A5"/>
    <w:rsid w:val="00786A87"/>
    <w:rsid w:val="00786C8B"/>
    <w:rsid w:val="00786D02"/>
    <w:rsid w:val="00786EB5"/>
    <w:rsid w:val="00787053"/>
    <w:rsid w:val="007871F4"/>
    <w:rsid w:val="0078745A"/>
    <w:rsid w:val="007874B6"/>
    <w:rsid w:val="00787526"/>
    <w:rsid w:val="00787A9D"/>
    <w:rsid w:val="00787B2F"/>
    <w:rsid w:val="00787C35"/>
    <w:rsid w:val="00787CF6"/>
    <w:rsid w:val="00787D9F"/>
    <w:rsid w:val="0079043F"/>
    <w:rsid w:val="00790861"/>
    <w:rsid w:val="007908FF"/>
    <w:rsid w:val="00790992"/>
    <w:rsid w:val="00790FF8"/>
    <w:rsid w:val="00791028"/>
    <w:rsid w:val="0079109E"/>
    <w:rsid w:val="0079119C"/>
    <w:rsid w:val="007912CC"/>
    <w:rsid w:val="0079156E"/>
    <w:rsid w:val="0079159A"/>
    <w:rsid w:val="00791717"/>
    <w:rsid w:val="00791836"/>
    <w:rsid w:val="007919B8"/>
    <w:rsid w:val="00791CD2"/>
    <w:rsid w:val="00791CD9"/>
    <w:rsid w:val="00791EB4"/>
    <w:rsid w:val="00792209"/>
    <w:rsid w:val="00792831"/>
    <w:rsid w:val="00792845"/>
    <w:rsid w:val="007928AC"/>
    <w:rsid w:val="00792C8D"/>
    <w:rsid w:val="00792D75"/>
    <w:rsid w:val="00792EEA"/>
    <w:rsid w:val="00792F63"/>
    <w:rsid w:val="00793383"/>
    <w:rsid w:val="007935B9"/>
    <w:rsid w:val="0079390C"/>
    <w:rsid w:val="00793A05"/>
    <w:rsid w:val="00793A8E"/>
    <w:rsid w:val="00793ADD"/>
    <w:rsid w:val="00793D36"/>
    <w:rsid w:val="00793D3C"/>
    <w:rsid w:val="00793D4F"/>
    <w:rsid w:val="00793D94"/>
    <w:rsid w:val="00793E73"/>
    <w:rsid w:val="0079419B"/>
    <w:rsid w:val="0079434C"/>
    <w:rsid w:val="00794512"/>
    <w:rsid w:val="0079470E"/>
    <w:rsid w:val="00794A80"/>
    <w:rsid w:val="00794A83"/>
    <w:rsid w:val="00795142"/>
    <w:rsid w:val="0079566C"/>
    <w:rsid w:val="00795881"/>
    <w:rsid w:val="00795945"/>
    <w:rsid w:val="0079597A"/>
    <w:rsid w:val="007959A6"/>
    <w:rsid w:val="00795ED0"/>
    <w:rsid w:val="00795F25"/>
    <w:rsid w:val="00795FED"/>
    <w:rsid w:val="00796188"/>
    <w:rsid w:val="0079637E"/>
    <w:rsid w:val="00796638"/>
    <w:rsid w:val="007966FA"/>
    <w:rsid w:val="0079682F"/>
    <w:rsid w:val="0079689B"/>
    <w:rsid w:val="00796A1B"/>
    <w:rsid w:val="00796A4D"/>
    <w:rsid w:val="00796C24"/>
    <w:rsid w:val="00797164"/>
    <w:rsid w:val="00797169"/>
    <w:rsid w:val="007972D0"/>
    <w:rsid w:val="00797696"/>
    <w:rsid w:val="007976F1"/>
    <w:rsid w:val="00797840"/>
    <w:rsid w:val="00797A66"/>
    <w:rsid w:val="00797E6F"/>
    <w:rsid w:val="007A0000"/>
    <w:rsid w:val="007A0068"/>
    <w:rsid w:val="007A031E"/>
    <w:rsid w:val="007A037A"/>
    <w:rsid w:val="007A03E5"/>
    <w:rsid w:val="007A046E"/>
    <w:rsid w:val="007A0906"/>
    <w:rsid w:val="007A0C03"/>
    <w:rsid w:val="007A0CF1"/>
    <w:rsid w:val="007A1147"/>
    <w:rsid w:val="007A1293"/>
    <w:rsid w:val="007A16EB"/>
    <w:rsid w:val="007A17BA"/>
    <w:rsid w:val="007A1935"/>
    <w:rsid w:val="007A1B4B"/>
    <w:rsid w:val="007A1B9E"/>
    <w:rsid w:val="007A1BBA"/>
    <w:rsid w:val="007A1C02"/>
    <w:rsid w:val="007A1D90"/>
    <w:rsid w:val="007A1E37"/>
    <w:rsid w:val="007A1E43"/>
    <w:rsid w:val="007A1E85"/>
    <w:rsid w:val="007A21CA"/>
    <w:rsid w:val="007A2417"/>
    <w:rsid w:val="007A25AD"/>
    <w:rsid w:val="007A269C"/>
    <w:rsid w:val="007A2834"/>
    <w:rsid w:val="007A2A06"/>
    <w:rsid w:val="007A2A68"/>
    <w:rsid w:val="007A2C05"/>
    <w:rsid w:val="007A2E69"/>
    <w:rsid w:val="007A3246"/>
    <w:rsid w:val="007A34E4"/>
    <w:rsid w:val="007A37BB"/>
    <w:rsid w:val="007A37EE"/>
    <w:rsid w:val="007A3B1B"/>
    <w:rsid w:val="007A3B64"/>
    <w:rsid w:val="007A3BDB"/>
    <w:rsid w:val="007A3E9B"/>
    <w:rsid w:val="007A414A"/>
    <w:rsid w:val="007A414F"/>
    <w:rsid w:val="007A41BF"/>
    <w:rsid w:val="007A41E5"/>
    <w:rsid w:val="007A4681"/>
    <w:rsid w:val="007A472A"/>
    <w:rsid w:val="007A4C31"/>
    <w:rsid w:val="007A4EA4"/>
    <w:rsid w:val="007A5040"/>
    <w:rsid w:val="007A512F"/>
    <w:rsid w:val="007A51A8"/>
    <w:rsid w:val="007A5256"/>
    <w:rsid w:val="007A52B2"/>
    <w:rsid w:val="007A5335"/>
    <w:rsid w:val="007A5499"/>
    <w:rsid w:val="007A55E6"/>
    <w:rsid w:val="007A566A"/>
    <w:rsid w:val="007A5778"/>
    <w:rsid w:val="007A584C"/>
    <w:rsid w:val="007A58FE"/>
    <w:rsid w:val="007A5A4F"/>
    <w:rsid w:val="007A5D24"/>
    <w:rsid w:val="007A5F7C"/>
    <w:rsid w:val="007A602D"/>
    <w:rsid w:val="007A62B1"/>
    <w:rsid w:val="007A6368"/>
    <w:rsid w:val="007A65CA"/>
    <w:rsid w:val="007A67D1"/>
    <w:rsid w:val="007A67D9"/>
    <w:rsid w:val="007A6821"/>
    <w:rsid w:val="007A686C"/>
    <w:rsid w:val="007A69BE"/>
    <w:rsid w:val="007A6AFD"/>
    <w:rsid w:val="007A6B57"/>
    <w:rsid w:val="007A6C85"/>
    <w:rsid w:val="007A6CE4"/>
    <w:rsid w:val="007A6D1A"/>
    <w:rsid w:val="007A6DCD"/>
    <w:rsid w:val="007A6F57"/>
    <w:rsid w:val="007A7001"/>
    <w:rsid w:val="007A7127"/>
    <w:rsid w:val="007A7269"/>
    <w:rsid w:val="007A74B8"/>
    <w:rsid w:val="007A7642"/>
    <w:rsid w:val="007A7683"/>
    <w:rsid w:val="007A7702"/>
    <w:rsid w:val="007A7711"/>
    <w:rsid w:val="007A7F4E"/>
    <w:rsid w:val="007B02A5"/>
    <w:rsid w:val="007B0467"/>
    <w:rsid w:val="007B04C6"/>
    <w:rsid w:val="007B052F"/>
    <w:rsid w:val="007B0601"/>
    <w:rsid w:val="007B0875"/>
    <w:rsid w:val="007B0A29"/>
    <w:rsid w:val="007B0AC4"/>
    <w:rsid w:val="007B0C9E"/>
    <w:rsid w:val="007B0D1C"/>
    <w:rsid w:val="007B0E71"/>
    <w:rsid w:val="007B0E8F"/>
    <w:rsid w:val="007B1002"/>
    <w:rsid w:val="007B1216"/>
    <w:rsid w:val="007B122A"/>
    <w:rsid w:val="007B129B"/>
    <w:rsid w:val="007B130F"/>
    <w:rsid w:val="007B135E"/>
    <w:rsid w:val="007B1362"/>
    <w:rsid w:val="007B1469"/>
    <w:rsid w:val="007B1860"/>
    <w:rsid w:val="007B1C32"/>
    <w:rsid w:val="007B1C41"/>
    <w:rsid w:val="007B1CFF"/>
    <w:rsid w:val="007B2275"/>
    <w:rsid w:val="007B22A6"/>
    <w:rsid w:val="007B275E"/>
    <w:rsid w:val="007B276B"/>
    <w:rsid w:val="007B290D"/>
    <w:rsid w:val="007B2B0F"/>
    <w:rsid w:val="007B2BCB"/>
    <w:rsid w:val="007B2D32"/>
    <w:rsid w:val="007B2FCA"/>
    <w:rsid w:val="007B30A8"/>
    <w:rsid w:val="007B329E"/>
    <w:rsid w:val="007B33BC"/>
    <w:rsid w:val="007B3408"/>
    <w:rsid w:val="007B3497"/>
    <w:rsid w:val="007B35D6"/>
    <w:rsid w:val="007B35E7"/>
    <w:rsid w:val="007B38E1"/>
    <w:rsid w:val="007B3AF6"/>
    <w:rsid w:val="007B3FF8"/>
    <w:rsid w:val="007B4076"/>
    <w:rsid w:val="007B4666"/>
    <w:rsid w:val="007B47BB"/>
    <w:rsid w:val="007B48BA"/>
    <w:rsid w:val="007B4912"/>
    <w:rsid w:val="007B4957"/>
    <w:rsid w:val="007B4B88"/>
    <w:rsid w:val="007B4D09"/>
    <w:rsid w:val="007B4E26"/>
    <w:rsid w:val="007B4E4F"/>
    <w:rsid w:val="007B4F93"/>
    <w:rsid w:val="007B50D0"/>
    <w:rsid w:val="007B5292"/>
    <w:rsid w:val="007B59CC"/>
    <w:rsid w:val="007B5CA3"/>
    <w:rsid w:val="007B5FA3"/>
    <w:rsid w:val="007B6189"/>
    <w:rsid w:val="007B644A"/>
    <w:rsid w:val="007B64D7"/>
    <w:rsid w:val="007B656D"/>
    <w:rsid w:val="007B66C9"/>
    <w:rsid w:val="007B6799"/>
    <w:rsid w:val="007B68D6"/>
    <w:rsid w:val="007B6A12"/>
    <w:rsid w:val="007B6A72"/>
    <w:rsid w:val="007B6A75"/>
    <w:rsid w:val="007B6AF7"/>
    <w:rsid w:val="007B6BC6"/>
    <w:rsid w:val="007B6F57"/>
    <w:rsid w:val="007B70EE"/>
    <w:rsid w:val="007B735B"/>
    <w:rsid w:val="007B7396"/>
    <w:rsid w:val="007B76E9"/>
    <w:rsid w:val="007B7BDE"/>
    <w:rsid w:val="007B7BE3"/>
    <w:rsid w:val="007B7D77"/>
    <w:rsid w:val="007B7EBF"/>
    <w:rsid w:val="007C0127"/>
    <w:rsid w:val="007C037F"/>
    <w:rsid w:val="007C04F9"/>
    <w:rsid w:val="007C0597"/>
    <w:rsid w:val="007C06DE"/>
    <w:rsid w:val="007C076C"/>
    <w:rsid w:val="007C0907"/>
    <w:rsid w:val="007C0BC7"/>
    <w:rsid w:val="007C0C35"/>
    <w:rsid w:val="007C0FE0"/>
    <w:rsid w:val="007C0FF9"/>
    <w:rsid w:val="007C1082"/>
    <w:rsid w:val="007C1257"/>
    <w:rsid w:val="007C15CF"/>
    <w:rsid w:val="007C1A19"/>
    <w:rsid w:val="007C1A56"/>
    <w:rsid w:val="007C1B81"/>
    <w:rsid w:val="007C1CC6"/>
    <w:rsid w:val="007C1EB4"/>
    <w:rsid w:val="007C1F3B"/>
    <w:rsid w:val="007C2123"/>
    <w:rsid w:val="007C2180"/>
    <w:rsid w:val="007C2505"/>
    <w:rsid w:val="007C25BE"/>
    <w:rsid w:val="007C27F6"/>
    <w:rsid w:val="007C2A54"/>
    <w:rsid w:val="007C2BD0"/>
    <w:rsid w:val="007C2F40"/>
    <w:rsid w:val="007C315E"/>
    <w:rsid w:val="007C38C4"/>
    <w:rsid w:val="007C3B78"/>
    <w:rsid w:val="007C3CD9"/>
    <w:rsid w:val="007C3F20"/>
    <w:rsid w:val="007C3F3E"/>
    <w:rsid w:val="007C400F"/>
    <w:rsid w:val="007C46B8"/>
    <w:rsid w:val="007C483E"/>
    <w:rsid w:val="007C4BC5"/>
    <w:rsid w:val="007C4D93"/>
    <w:rsid w:val="007C4DE0"/>
    <w:rsid w:val="007C4F0F"/>
    <w:rsid w:val="007C4F29"/>
    <w:rsid w:val="007C4FF5"/>
    <w:rsid w:val="007C502A"/>
    <w:rsid w:val="007C5291"/>
    <w:rsid w:val="007C5671"/>
    <w:rsid w:val="007C56B4"/>
    <w:rsid w:val="007C5965"/>
    <w:rsid w:val="007C599D"/>
    <w:rsid w:val="007C5CEA"/>
    <w:rsid w:val="007C6262"/>
    <w:rsid w:val="007C62FE"/>
    <w:rsid w:val="007C6417"/>
    <w:rsid w:val="007C651C"/>
    <w:rsid w:val="007C6557"/>
    <w:rsid w:val="007C69BC"/>
    <w:rsid w:val="007C6D6A"/>
    <w:rsid w:val="007C7225"/>
    <w:rsid w:val="007C72F9"/>
    <w:rsid w:val="007C7418"/>
    <w:rsid w:val="007C7587"/>
    <w:rsid w:val="007C776E"/>
    <w:rsid w:val="007C79D2"/>
    <w:rsid w:val="007C7AD0"/>
    <w:rsid w:val="007C7B42"/>
    <w:rsid w:val="007C7B93"/>
    <w:rsid w:val="007C7BA5"/>
    <w:rsid w:val="007C7C63"/>
    <w:rsid w:val="007C7CF5"/>
    <w:rsid w:val="007D0302"/>
    <w:rsid w:val="007D0597"/>
    <w:rsid w:val="007D074A"/>
    <w:rsid w:val="007D082B"/>
    <w:rsid w:val="007D0A3B"/>
    <w:rsid w:val="007D0DE6"/>
    <w:rsid w:val="007D0E43"/>
    <w:rsid w:val="007D0F2A"/>
    <w:rsid w:val="007D0F81"/>
    <w:rsid w:val="007D1025"/>
    <w:rsid w:val="007D1404"/>
    <w:rsid w:val="007D1460"/>
    <w:rsid w:val="007D1467"/>
    <w:rsid w:val="007D1582"/>
    <w:rsid w:val="007D19A7"/>
    <w:rsid w:val="007D1A3A"/>
    <w:rsid w:val="007D1A72"/>
    <w:rsid w:val="007D1CF1"/>
    <w:rsid w:val="007D1D8E"/>
    <w:rsid w:val="007D1FBC"/>
    <w:rsid w:val="007D2502"/>
    <w:rsid w:val="007D26FA"/>
    <w:rsid w:val="007D28EB"/>
    <w:rsid w:val="007D2986"/>
    <w:rsid w:val="007D2994"/>
    <w:rsid w:val="007D30AB"/>
    <w:rsid w:val="007D3264"/>
    <w:rsid w:val="007D3686"/>
    <w:rsid w:val="007D3708"/>
    <w:rsid w:val="007D3836"/>
    <w:rsid w:val="007D38F6"/>
    <w:rsid w:val="007D397D"/>
    <w:rsid w:val="007D3AEA"/>
    <w:rsid w:val="007D3AED"/>
    <w:rsid w:val="007D3BE6"/>
    <w:rsid w:val="007D3D84"/>
    <w:rsid w:val="007D3E3D"/>
    <w:rsid w:val="007D405D"/>
    <w:rsid w:val="007D4294"/>
    <w:rsid w:val="007D4296"/>
    <w:rsid w:val="007D4913"/>
    <w:rsid w:val="007D4E09"/>
    <w:rsid w:val="007D4F13"/>
    <w:rsid w:val="007D52F0"/>
    <w:rsid w:val="007D532D"/>
    <w:rsid w:val="007D536E"/>
    <w:rsid w:val="007D55A7"/>
    <w:rsid w:val="007D5609"/>
    <w:rsid w:val="007D5649"/>
    <w:rsid w:val="007D56E5"/>
    <w:rsid w:val="007D57EA"/>
    <w:rsid w:val="007D5864"/>
    <w:rsid w:val="007D5978"/>
    <w:rsid w:val="007D5CA1"/>
    <w:rsid w:val="007D5DDF"/>
    <w:rsid w:val="007D5E91"/>
    <w:rsid w:val="007D5EB1"/>
    <w:rsid w:val="007D6154"/>
    <w:rsid w:val="007D616E"/>
    <w:rsid w:val="007D61CA"/>
    <w:rsid w:val="007D642A"/>
    <w:rsid w:val="007D65C3"/>
    <w:rsid w:val="007D665D"/>
    <w:rsid w:val="007D6A95"/>
    <w:rsid w:val="007D6BB9"/>
    <w:rsid w:val="007D6BF7"/>
    <w:rsid w:val="007D6C39"/>
    <w:rsid w:val="007D6CE9"/>
    <w:rsid w:val="007D72A4"/>
    <w:rsid w:val="007D735F"/>
    <w:rsid w:val="007D74BA"/>
    <w:rsid w:val="007D75A8"/>
    <w:rsid w:val="007D7730"/>
    <w:rsid w:val="007D77AF"/>
    <w:rsid w:val="007D7ABA"/>
    <w:rsid w:val="007D7B8B"/>
    <w:rsid w:val="007D7C14"/>
    <w:rsid w:val="007D7CBF"/>
    <w:rsid w:val="007E0194"/>
    <w:rsid w:val="007E027A"/>
    <w:rsid w:val="007E0373"/>
    <w:rsid w:val="007E03A4"/>
    <w:rsid w:val="007E0451"/>
    <w:rsid w:val="007E048C"/>
    <w:rsid w:val="007E04E3"/>
    <w:rsid w:val="007E0974"/>
    <w:rsid w:val="007E09B5"/>
    <w:rsid w:val="007E0A41"/>
    <w:rsid w:val="007E0CA0"/>
    <w:rsid w:val="007E0D1A"/>
    <w:rsid w:val="007E10DE"/>
    <w:rsid w:val="007E1170"/>
    <w:rsid w:val="007E11B8"/>
    <w:rsid w:val="007E11EA"/>
    <w:rsid w:val="007E12B8"/>
    <w:rsid w:val="007E183B"/>
    <w:rsid w:val="007E1AF6"/>
    <w:rsid w:val="007E1D63"/>
    <w:rsid w:val="007E1F71"/>
    <w:rsid w:val="007E211E"/>
    <w:rsid w:val="007E21F5"/>
    <w:rsid w:val="007E227C"/>
    <w:rsid w:val="007E23E9"/>
    <w:rsid w:val="007E24F3"/>
    <w:rsid w:val="007E2A59"/>
    <w:rsid w:val="007E2A72"/>
    <w:rsid w:val="007E31C9"/>
    <w:rsid w:val="007E3204"/>
    <w:rsid w:val="007E33EF"/>
    <w:rsid w:val="007E34A7"/>
    <w:rsid w:val="007E3572"/>
    <w:rsid w:val="007E36E9"/>
    <w:rsid w:val="007E376F"/>
    <w:rsid w:val="007E378B"/>
    <w:rsid w:val="007E388B"/>
    <w:rsid w:val="007E3B71"/>
    <w:rsid w:val="007E3C98"/>
    <w:rsid w:val="007E3E3A"/>
    <w:rsid w:val="007E3EA8"/>
    <w:rsid w:val="007E3F93"/>
    <w:rsid w:val="007E473D"/>
    <w:rsid w:val="007E4A6E"/>
    <w:rsid w:val="007E4CA8"/>
    <w:rsid w:val="007E4F91"/>
    <w:rsid w:val="007E5288"/>
    <w:rsid w:val="007E5739"/>
    <w:rsid w:val="007E582F"/>
    <w:rsid w:val="007E5848"/>
    <w:rsid w:val="007E5EB5"/>
    <w:rsid w:val="007E5F38"/>
    <w:rsid w:val="007E5F57"/>
    <w:rsid w:val="007E5FB0"/>
    <w:rsid w:val="007E6151"/>
    <w:rsid w:val="007E627F"/>
    <w:rsid w:val="007E62B3"/>
    <w:rsid w:val="007E6318"/>
    <w:rsid w:val="007E634A"/>
    <w:rsid w:val="007E6545"/>
    <w:rsid w:val="007E68A0"/>
    <w:rsid w:val="007E6A64"/>
    <w:rsid w:val="007E6BCD"/>
    <w:rsid w:val="007E6C11"/>
    <w:rsid w:val="007E6F51"/>
    <w:rsid w:val="007E717C"/>
    <w:rsid w:val="007E72D4"/>
    <w:rsid w:val="007E732F"/>
    <w:rsid w:val="007E75E4"/>
    <w:rsid w:val="007E7776"/>
    <w:rsid w:val="007E78BF"/>
    <w:rsid w:val="007E7963"/>
    <w:rsid w:val="007E7F1D"/>
    <w:rsid w:val="007E7F82"/>
    <w:rsid w:val="007F007F"/>
    <w:rsid w:val="007F011E"/>
    <w:rsid w:val="007F01A8"/>
    <w:rsid w:val="007F0929"/>
    <w:rsid w:val="007F0AA7"/>
    <w:rsid w:val="007F0B36"/>
    <w:rsid w:val="007F0CD0"/>
    <w:rsid w:val="007F1310"/>
    <w:rsid w:val="007F1321"/>
    <w:rsid w:val="007F1432"/>
    <w:rsid w:val="007F1518"/>
    <w:rsid w:val="007F190F"/>
    <w:rsid w:val="007F1A8F"/>
    <w:rsid w:val="007F1AA1"/>
    <w:rsid w:val="007F1C99"/>
    <w:rsid w:val="007F1CC6"/>
    <w:rsid w:val="007F21FF"/>
    <w:rsid w:val="007F2296"/>
    <w:rsid w:val="007F22C1"/>
    <w:rsid w:val="007F231B"/>
    <w:rsid w:val="007F2384"/>
    <w:rsid w:val="007F2842"/>
    <w:rsid w:val="007F2B30"/>
    <w:rsid w:val="007F2DA0"/>
    <w:rsid w:val="007F2DFF"/>
    <w:rsid w:val="007F2E27"/>
    <w:rsid w:val="007F2E35"/>
    <w:rsid w:val="007F2EE5"/>
    <w:rsid w:val="007F320F"/>
    <w:rsid w:val="007F3388"/>
    <w:rsid w:val="007F356F"/>
    <w:rsid w:val="007F35B6"/>
    <w:rsid w:val="007F36D6"/>
    <w:rsid w:val="007F3B6D"/>
    <w:rsid w:val="007F3B7A"/>
    <w:rsid w:val="007F3C44"/>
    <w:rsid w:val="007F3E36"/>
    <w:rsid w:val="007F3E66"/>
    <w:rsid w:val="007F4304"/>
    <w:rsid w:val="007F4382"/>
    <w:rsid w:val="007F4533"/>
    <w:rsid w:val="007F4928"/>
    <w:rsid w:val="007F4AF0"/>
    <w:rsid w:val="007F5056"/>
    <w:rsid w:val="007F524E"/>
    <w:rsid w:val="007F52D1"/>
    <w:rsid w:val="007F5473"/>
    <w:rsid w:val="007F561F"/>
    <w:rsid w:val="007F5651"/>
    <w:rsid w:val="007F57A6"/>
    <w:rsid w:val="007F5F13"/>
    <w:rsid w:val="007F60FB"/>
    <w:rsid w:val="007F64B5"/>
    <w:rsid w:val="007F656B"/>
    <w:rsid w:val="007F6830"/>
    <w:rsid w:val="007F68C1"/>
    <w:rsid w:val="007F6A7F"/>
    <w:rsid w:val="007F6B5A"/>
    <w:rsid w:val="007F6EC6"/>
    <w:rsid w:val="007F6F33"/>
    <w:rsid w:val="007F7018"/>
    <w:rsid w:val="007F706A"/>
    <w:rsid w:val="007F7172"/>
    <w:rsid w:val="007F7302"/>
    <w:rsid w:val="007F76C0"/>
    <w:rsid w:val="007F787E"/>
    <w:rsid w:val="007F7895"/>
    <w:rsid w:val="007F7C8A"/>
    <w:rsid w:val="007F7C8E"/>
    <w:rsid w:val="007F7DE7"/>
    <w:rsid w:val="007F7F90"/>
    <w:rsid w:val="008000A1"/>
    <w:rsid w:val="0080041B"/>
    <w:rsid w:val="00800939"/>
    <w:rsid w:val="00801026"/>
    <w:rsid w:val="008010D4"/>
    <w:rsid w:val="0080134B"/>
    <w:rsid w:val="0080155F"/>
    <w:rsid w:val="008018F1"/>
    <w:rsid w:val="00801900"/>
    <w:rsid w:val="00801BDB"/>
    <w:rsid w:val="00801C42"/>
    <w:rsid w:val="00801DE9"/>
    <w:rsid w:val="008021CF"/>
    <w:rsid w:val="00802207"/>
    <w:rsid w:val="008025A4"/>
    <w:rsid w:val="008025E9"/>
    <w:rsid w:val="0080261D"/>
    <w:rsid w:val="0080296E"/>
    <w:rsid w:val="00802A70"/>
    <w:rsid w:val="00802C17"/>
    <w:rsid w:val="00802C78"/>
    <w:rsid w:val="008030D3"/>
    <w:rsid w:val="0080361A"/>
    <w:rsid w:val="008036BA"/>
    <w:rsid w:val="00803C80"/>
    <w:rsid w:val="008040E9"/>
    <w:rsid w:val="00804243"/>
    <w:rsid w:val="0080435B"/>
    <w:rsid w:val="008043B1"/>
    <w:rsid w:val="00804477"/>
    <w:rsid w:val="008044E1"/>
    <w:rsid w:val="0080450A"/>
    <w:rsid w:val="0080456C"/>
    <w:rsid w:val="0080487A"/>
    <w:rsid w:val="0080499B"/>
    <w:rsid w:val="00804D71"/>
    <w:rsid w:val="0080527A"/>
    <w:rsid w:val="008053D8"/>
    <w:rsid w:val="00805483"/>
    <w:rsid w:val="008054B8"/>
    <w:rsid w:val="00805762"/>
    <w:rsid w:val="00805A01"/>
    <w:rsid w:val="0080603A"/>
    <w:rsid w:val="00806305"/>
    <w:rsid w:val="008064C4"/>
    <w:rsid w:val="008069B2"/>
    <w:rsid w:val="00806A1C"/>
    <w:rsid w:val="00806AD4"/>
    <w:rsid w:val="008072D7"/>
    <w:rsid w:val="00807713"/>
    <w:rsid w:val="00807CFA"/>
    <w:rsid w:val="00807F82"/>
    <w:rsid w:val="00807FF3"/>
    <w:rsid w:val="008101C3"/>
    <w:rsid w:val="00810230"/>
    <w:rsid w:val="00810512"/>
    <w:rsid w:val="008105CB"/>
    <w:rsid w:val="0081061D"/>
    <w:rsid w:val="00810677"/>
    <w:rsid w:val="008106DE"/>
    <w:rsid w:val="008107A7"/>
    <w:rsid w:val="008107E7"/>
    <w:rsid w:val="00810848"/>
    <w:rsid w:val="00810902"/>
    <w:rsid w:val="008109DB"/>
    <w:rsid w:val="00810BCB"/>
    <w:rsid w:val="00810F21"/>
    <w:rsid w:val="00811595"/>
    <w:rsid w:val="00811673"/>
    <w:rsid w:val="0081179B"/>
    <w:rsid w:val="00811D35"/>
    <w:rsid w:val="00811E21"/>
    <w:rsid w:val="00811FE5"/>
    <w:rsid w:val="008126FF"/>
    <w:rsid w:val="008128CF"/>
    <w:rsid w:val="00812A5B"/>
    <w:rsid w:val="00812B80"/>
    <w:rsid w:val="00812C87"/>
    <w:rsid w:val="00812CD1"/>
    <w:rsid w:val="00812DDB"/>
    <w:rsid w:val="00812E3E"/>
    <w:rsid w:val="00813263"/>
    <w:rsid w:val="008132CC"/>
    <w:rsid w:val="0081342C"/>
    <w:rsid w:val="008136C1"/>
    <w:rsid w:val="00813864"/>
    <w:rsid w:val="00813936"/>
    <w:rsid w:val="00813A17"/>
    <w:rsid w:val="00813B0E"/>
    <w:rsid w:val="00813B2A"/>
    <w:rsid w:val="00814069"/>
    <w:rsid w:val="0081456E"/>
    <w:rsid w:val="008145C1"/>
    <w:rsid w:val="008145E3"/>
    <w:rsid w:val="00814675"/>
    <w:rsid w:val="008146DA"/>
    <w:rsid w:val="00814702"/>
    <w:rsid w:val="00814703"/>
    <w:rsid w:val="00814982"/>
    <w:rsid w:val="00814A28"/>
    <w:rsid w:val="00814CC3"/>
    <w:rsid w:val="00814D40"/>
    <w:rsid w:val="00814D75"/>
    <w:rsid w:val="00814F6C"/>
    <w:rsid w:val="0081516D"/>
    <w:rsid w:val="008152B0"/>
    <w:rsid w:val="008154FC"/>
    <w:rsid w:val="00815647"/>
    <w:rsid w:val="0081592C"/>
    <w:rsid w:val="008159F6"/>
    <w:rsid w:val="00815AB4"/>
    <w:rsid w:val="00815CC3"/>
    <w:rsid w:val="00815CDF"/>
    <w:rsid w:val="008163FD"/>
    <w:rsid w:val="008169CC"/>
    <w:rsid w:val="00816AFF"/>
    <w:rsid w:val="00816B75"/>
    <w:rsid w:val="00816E0A"/>
    <w:rsid w:val="008171D4"/>
    <w:rsid w:val="0081739A"/>
    <w:rsid w:val="00817929"/>
    <w:rsid w:val="00817A98"/>
    <w:rsid w:val="00817D9C"/>
    <w:rsid w:val="00817F4B"/>
    <w:rsid w:val="0082010C"/>
    <w:rsid w:val="008202B9"/>
    <w:rsid w:val="0082051C"/>
    <w:rsid w:val="00820520"/>
    <w:rsid w:val="0082053A"/>
    <w:rsid w:val="008205AB"/>
    <w:rsid w:val="00820679"/>
    <w:rsid w:val="008206FB"/>
    <w:rsid w:val="0082078E"/>
    <w:rsid w:val="00820977"/>
    <w:rsid w:val="00820AAE"/>
    <w:rsid w:val="00820E43"/>
    <w:rsid w:val="008211F6"/>
    <w:rsid w:val="00821380"/>
    <w:rsid w:val="00821550"/>
    <w:rsid w:val="0082156F"/>
    <w:rsid w:val="00821782"/>
    <w:rsid w:val="008217D1"/>
    <w:rsid w:val="00821A84"/>
    <w:rsid w:val="00821D74"/>
    <w:rsid w:val="00821FB5"/>
    <w:rsid w:val="008223DC"/>
    <w:rsid w:val="00822AA3"/>
    <w:rsid w:val="00822CBD"/>
    <w:rsid w:val="00822CF7"/>
    <w:rsid w:val="00822E86"/>
    <w:rsid w:val="00822FDA"/>
    <w:rsid w:val="00823006"/>
    <w:rsid w:val="00823254"/>
    <w:rsid w:val="00823439"/>
    <w:rsid w:val="00823A18"/>
    <w:rsid w:val="00823BF9"/>
    <w:rsid w:val="00823C26"/>
    <w:rsid w:val="00823D9D"/>
    <w:rsid w:val="00824059"/>
    <w:rsid w:val="008241D5"/>
    <w:rsid w:val="008243C0"/>
    <w:rsid w:val="00824857"/>
    <w:rsid w:val="00824878"/>
    <w:rsid w:val="00824A5D"/>
    <w:rsid w:val="00824C88"/>
    <w:rsid w:val="00824EDF"/>
    <w:rsid w:val="00824EFC"/>
    <w:rsid w:val="00824F11"/>
    <w:rsid w:val="00825053"/>
    <w:rsid w:val="008250F5"/>
    <w:rsid w:val="0082562E"/>
    <w:rsid w:val="0082585D"/>
    <w:rsid w:val="00825888"/>
    <w:rsid w:val="00825B38"/>
    <w:rsid w:val="00825CEE"/>
    <w:rsid w:val="00825DAD"/>
    <w:rsid w:val="00825EBA"/>
    <w:rsid w:val="008260B1"/>
    <w:rsid w:val="008266F5"/>
    <w:rsid w:val="0082671C"/>
    <w:rsid w:val="00826778"/>
    <w:rsid w:val="008268FE"/>
    <w:rsid w:val="00826C7E"/>
    <w:rsid w:val="00826D38"/>
    <w:rsid w:val="00826D49"/>
    <w:rsid w:val="00826F45"/>
    <w:rsid w:val="008272DD"/>
    <w:rsid w:val="0082733F"/>
    <w:rsid w:val="008277EF"/>
    <w:rsid w:val="00827E43"/>
    <w:rsid w:val="008303A9"/>
    <w:rsid w:val="008303ED"/>
    <w:rsid w:val="0083052D"/>
    <w:rsid w:val="00830C1A"/>
    <w:rsid w:val="00830CBA"/>
    <w:rsid w:val="00830DA2"/>
    <w:rsid w:val="008310EB"/>
    <w:rsid w:val="00831523"/>
    <w:rsid w:val="008316C4"/>
    <w:rsid w:val="00831760"/>
    <w:rsid w:val="00831997"/>
    <w:rsid w:val="00831A89"/>
    <w:rsid w:val="00831AAB"/>
    <w:rsid w:val="00831B67"/>
    <w:rsid w:val="00832160"/>
    <w:rsid w:val="00832324"/>
    <w:rsid w:val="008323AC"/>
    <w:rsid w:val="00832519"/>
    <w:rsid w:val="00832902"/>
    <w:rsid w:val="00832A33"/>
    <w:rsid w:val="00832B90"/>
    <w:rsid w:val="00832DB3"/>
    <w:rsid w:val="0083319F"/>
    <w:rsid w:val="008331D9"/>
    <w:rsid w:val="008335BC"/>
    <w:rsid w:val="00833D48"/>
    <w:rsid w:val="00833DB1"/>
    <w:rsid w:val="008344D1"/>
    <w:rsid w:val="008345A7"/>
    <w:rsid w:val="0083461F"/>
    <w:rsid w:val="00834818"/>
    <w:rsid w:val="00834AA3"/>
    <w:rsid w:val="00834BC8"/>
    <w:rsid w:val="00834C70"/>
    <w:rsid w:val="00834C9C"/>
    <w:rsid w:val="00834DD0"/>
    <w:rsid w:val="00834E1E"/>
    <w:rsid w:val="00834FD9"/>
    <w:rsid w:val="008352B3"/>
    <w:rsid w:val="00835324"/>
    <w:rsid w:val="0083581A"/>
    <w:rsid w:val="008358C0"/>
    <w:rsid w:val="00835F0D"/>
    <w:rsid w:val="0083637B"/>
    <w:rsid w:val="008363B1"/>
    <w:rsid w:val="00836483"/>
    <w:rsid w:val="00836517"/>
    <w:rsid w:val="00836668"/>
    <w:rsid w:val="00836A61"/>
    <w:rsid w:val="00836AC5"/>
    <w:rsid w:val="00836BB7"/>
    <w:rsid w:val="00836C25"/>
    <w:rsid w:val="00836C70"/>
    <w:rsid w:val="00836CBE"/>
    <w:rsid w:val="00836D41"/>
    <w:rsid w:val="00836EF7"/>
    <w:rsid w:val="00836FB3"/>
    <w:rsid w:val="0083714A"/>
    <w:rsid w:val="00837201"/>
    <w:rsid w:val="00837324"/>
    <w:rsid w:val="0083743D"/>
    <w:rsid w:val="0083763C"/>
    <w:rsid w:val="008376EF"/>
    <w:rsid w:val="00837846"/>
    <w:rsid w:val="00837B91"/>
    <w:rsid w:val="00837DBE"/>
    <w:rsid w:val="00837DCA"/>
    <w:rsid w:val="00837E8B"/>
    <w:rsid w:val="00837F36"/>
    <w:rsid w:val="00840005"/>
    <w:rsid w:val="00840064"/>
    <w:rsid w:val="00840073"/>
    <w:rsid w:val="008400BE"/>
    <w:rsid w:val="0084014B"/>
    <w:rsid w:val="008401C8"/>
    <w:rsid w:val="008404D0"/>
    <w:rsid w:val="008405CC"/>
    <w:rsid w:val="00840891"/>
    <w:rsid w:val="0084091D"/>
    <w:rsid w:val="00840FE7"/>
    <w:rsid w:val="008411A3"/>
    <w:rsid w:val="008413B6"/>
    <w:rsid w:val="00841402"/>
    <w:rsid w:val="00841537"/>
    <w:rsid w:val="00841628"/>
    <w:rsid w:val="008418B4"/>
    <w:rsid w:val="00841A6D"/>
    <w:rsid w:val="00841B18"/>
    <w:rsid w:val="00841B36"/>
    <w:rsid w:val="00841C9D"/>
    <w:rsid w:val="00842272"/>
    <w:rsid w:val="00842402"/>
    <w:rsid w:val="0084269A"/>
    <w:rsid w:val="008426C0"/>
    <w:rsid w:val="00843248"/>
    <w:rsid w:val="00843273"/>
    <w:rsid w:val="008433D2"/>
    <w:rsid w:val="00843779"/>
    <w:rsid w:val="0084393A"/>
    <w:rsid w:val="00843A91"/>
    <w:rsid w:val="00843AA3"/>
    <w:rsid w:val="00843C41"/>
    <w:rsid w:val="00843CB7"/>
    <w:rsid w:val="00843DD4"/>
    <w:rsid w:val="00844045"/>
    <w:rsid w:val="008441C2"/>
    <w:rsid w:val="00844266"/>
    <w:rsid w:val="0084432B"/>
    <w:rsid w:val="008443C3"/>
    <w:rsid w:val="00844482"/>
    <w:rsid w:val="008445DD"/>
    <w:rsid w:val="008445F0"/>
    <w:rsid w:val="00844B94"/>
    <w:rsid w:val="00844BBC"/>
    <w:rsid w:val="00844DA4"/>
    <w:rsid w:val="00844FC4"/>
    <w:rsid w:val="00844FF6"/>
    <w:rsid w:val="008452C2"/>
    <w:rsid w:val="008452CA"/>
    <w:rsid w:val="00845399"/>
    <w:rsid w:val="0084547B"/>
    <w:rsid w:val="008455C3"/>
    <w:rsid w:val="00845681"/>
    <w:rsid w:val="008456C2"/>
    <w:rsid w:val="00845790"/>
    <w:rsid w:val="00845955"/>
    <w:rsid w:val="008459B7"/>
    <w:rsid w:val="00845C11"/>
    <w:rsid w:val="00845E4E"/>
    <w:rsid w:val="00845F44"/>
    <w:rsid w:val="00846040"/>
    <w:rsid w:val="00846068"/>
    <w:rsid w:val="008463D5"/>
    <w:rsid w:val="00846534"/>
    <w:rsid w:val="00846630"/>
    <w:rsid w:val="00846722"/>
    <w:rsid w:val="008469A7"/>
    <w:rsid w:val="00846AA7"/>
    <w:rsid w:val="00846B51"/>
    <w:rsid w:val="00847329"/>
    <w:rsid w:val="00847350"/>
    <w:rsid w:val="008477CB"/>
    <w:rsid w:val="00847A1D"/>
    <w:rsid w:val="00847B2B"/>
    <w:rsid w:val="00847C94"/>
    <w:rsid w:val="00847D96"/>
    <w:rsid w:val="00847F4B"/>
    <w:rsid w:val="008504E9"/>
    <w:rsid w:val="008504F6"/>
    <w:rsid w:val="00850787"/>
    <w:rsid w:val="0085083C"/>
    <w:rsid w:val="008509BB"/>
    <w:rsid w:val="00850AD1"/>
    <w:rsid w:val="00850B70"/>
    <w:rsid w:val="00850B8A"/>
    <w:rsid w:val="00850BA4"/>
    <w:rsid w:val="00850CA6"/>
    <w:rsid w:val="00850D2D"/>
    <w:rsid w:val="00850DAC"/>
    <w:rsid w:val="00850E0D"/>
    <w:rsid w:val="00850F1A"/>
    <w:rsid w:val="00851214"/>
    <w:rsid w:val="008514E7"/>
    <w:rsid w:val="00851553"/>
    <w:rsid w:val="00851636"/>
    <w:rsid w:val="008517C2"/>
    <w:rsid w:val="008517E0"/>
    <w:rsid w:val="0085198F"/>
    <w:rsid w:val="00852024"/>
    <w:rsid w:val="00852063"/>
    <w:rsid w:val="00852102"/>
    <w:rsid w:val="008527AC"/>
    <w:rsid w:val="008528B2"/>
    <w:rsid w:val="00852972"/>
    <w:rsid w:val="00852C39"/>
    <w:rsid w:val="00852ECC"/>
    <w:rsid w:val="00852EFD"/>
    <w:rsid w:val="00852FF3"/>
    <w:rsid w:val="008531E5"/>
    <w:rsid w:val="008532EB"/>
    <w:rsid w:val="008533C5"/>
    <w:rsid w:val="008537CF"/>
    <w:rsid w:val="008537DA"/>
    <w:rsid w:val="00853824"/>
    <w:rsid w:val="0085389E"/>
    <w:rsid w:val="008539AD"/>
    <w:rsid w:val="00853AC5"/>
    <w:rsid w:val="00853B39"/>
    <w:rsid w:val="00853B6B"/>
    <w:rsid w:val="00853DA0"/>
    <w:rsid w:val="00853DE3"/>
    <w:rsid w:val="008541BF"/>
    <w:rsid w:val="0085421C"/>
    <w:rsid w:val="008543CD"/>
    <w:rsid w:val="00854578"/>
    <w:rsid w:val="00854764"/>
    <w:rsid w:val="008548BE"/>
    <w:rsid w:val="00854AC0"/>
    <w:rsid w:val="00854E2D"/>
    <w:rsid w:val="00854ED3"/>
    <w:rsid w:val="00854FA3"/>
    <w:rsid w:val="0085512E"/>
    <w:rsid w:val="00855163"/>
    <w:rsid w:val="0085521C"/>
    <w:rsid w:val="008552BC"/>
    <w:rsid w:val="00855644"/>
    <w:rsid w:val="00855877"/>
    <w:rsid w:val="00855898"/>
    <w:rsid w:val="008558B6"/>
    <w:rsid w:val="00855DA4"/>
    <w:rsid w:val="00855F1F"/>
    <w:rsid w:val="00856028"/>
    <w:rsid w:val="0085614A"/>
    <w:rsid w:val="00856359"/>
    <w:rsid w:val="00856458"/>
    <w:rsid w:val="008565DD"/>
    <w:rsid w:val="0085663E"/>
    <w:rsid w:val="00856E9D"/>
    <w:rsid w:val="00856F20"/>
    <w:rsid w:val="00857072"/>
    <w:rsid w:val="00857156"/>
    <w:rsid w:val="008573AC"/>
    <w:rsid w:val="0085756F"/>
    <w:rsid w:val="00857620"/>
    <w:rsid w:val="00857771"/>
    <w:rsid w:val="0085799F"/>
    <w:rsid w:val="00857AE7"/>
    <w:rsid w:val="00857C3F"/>
    <w:rsid w:val="00857D5D"/>
    <w:rsid w:val="00857E94"/>
    <w:rsid w:val="008602D1"/>
    <w:rsid w:val="00860402"/>
    <w:rsid w:val="00860541"/>
    <w:rsid w:val="008605FA"/>
    <w:rsid w:val="00860BA4"/>
    <w:rsid w:val="00860BF1"/>
    <w:rsid w:val="00860CA5"/>
    <w:rsid w:val="008610E7"/>
    <w:rsid w:val="00861254"/>
    <w:rsid w:val="008612B2"/>
    <w:rsid w:val="0086187E"/>
    <w:rsid w:val="00861954"/>
    <w:rsid w:val="00861F56"/>
    <w:rsid w:val="00862052"/>
    <w:rsid w:val="0086249C"/>
    <w:rsid w:val="008629D4"/>
    <w:rsid w:val="00862A14"/>
    <w:rsid w:val="00862D68"/>
    <w:rsid w:val="00862F4A"/>
    <w:rsid w:val="00863134"/>
    <w:rsid w:val="0086319E"/>
    <w:rsid w:val="008635CF"/>
    <w:rsid w:val="00863709"/>
    <w:rsid w:val="008637B1"/>
    <w:rsid w:val="008639B5"/>
    <w:rsid w:val="00863A7F"/>
    <w:rsid w:val="00863ABF"/>
    <w:rsid w:val="00863B52"/>
    <w:rsid w:val="00863C66"/>
    <w:rsid w:val="00863D4C"/>
    <w:rsid w:val="00863E64"/>
    <w:rsid w:val="00864375"/>
    <w:rsid w:val="00864386"/>
    <w:rsid w:val="0086438F"/>
    <w:rsid w:val="0086439B"/>
    <w:rsid w:val="00864CD7"/>
    <w:rsid w:val="00864D17"/>
    <w:rsid w:val="00864DF4"/>
    <w:rsid w:val="00864F2A"/>
    <w:rsid w:val="00865064"/>
    <w:rsid w:val="00865633"/>
    <w:rsid w:val="0086592B"/>
    <w:rsid w:val="00865D12"/>
    <w:rsid w:val="00865F6E"/>
    <w:rsid w:val="008663A2"/>
    <w:rsid w:val="008663C8"/>
    <w:rsid w:val="0086662D"/>
    <w:rsid w:val="008667A7"/>
    <w:rsid w:val="00866853"/>
    <w:rsid w:val="00866AE0"/>
    <w:rsid w:val="00866B4A"/>
    <w:rsid w:val="00866D78"/>
    <w:rsid w:val="008671C2"/>
    <w:rsid w:val="0086732F"/>
    <w:rsid w:val="00867687"/>
    <w:rsid w:val="00867821"/>
    <w:rsid w:val="00867892"/>
    <w:rsid w:val="008678C5"/>
    <w:rsid w:val="008679EE"/>
    <w:rsid w:val="00867AE7"/>
    <w:rsid w:val="00867C23"/>
    <w:rsid w:val="00867CC3"/>
    <w:rsid w:val="00867E5D"/>
    <w:rsid w:val="00867F3E"/>
    <w:rsid w:val="0087017F"/>
    <w:rsid w:val="00870241"/>
    <w:rsid w:val="0087027C"/>
    <w:rsid w:val="0087027F"/>
    <w:rsid w:val="00870354"/>
    <w:rsid w:val="008704D0"/>
    <w:rsid w:val="00870D50"/>
    <w:rsid w:val="00870E0E"/>
    <w:rsid w:val="00870F6C"/>
    <w:rsid w:val="0087102E"/>
    <w:rsid w:val="0087132C"/>
    <w:rsid w:val="0087177A"/>
    <w:rsid w:val="008717D4"/>
    <w:rsid w:val="00871B83"/>
    <w:rsid w:val="00871BF5"/>
    <w:rsid w:val="00872047"/>
    <w:rsid w:val="0087246E"/>
    <w:rsid w:val="0087248A"/>
    <w:rsid w:val="008728AE"/>
    <w:rsid w:val="00872992"/>
    <w:rsid w:val="00872A0A"/>
    <w:rsid w:val="00872A26"/>
    <w:rsid w:val="00872B66"/>
    <w:rsid w:val="00872DAB"/>
    <w:rsid w:val="00872EAA"/>
    <w:rsid w:val="00872F37"/>
    <w:rsid w:val="008731A4"/>
    <w:rsid w:val="008731C3"/>
    <w:rsid w:val="0087327C"/>
    <w:rsid w:val="00873304"/>
    <w:rsid w:val="00873602"/>
    <w:rsid w:val="00873658"/>
    <w:rsid w:val="00873A01"/>
    <w:rsid w:val="00873CF1"/>
    <w:rsid w:val="00873D0D"/>
    <w:rsid w:val="00874266"/>
    <w:rsid w:val="008744D7"/>
    <w:rsid w:val="00874522"/>
    <w:rsid w:val="008745E4"/>
    <w:rsid w:val="00874853"/>
    <w:rsid w:val="0087494A"/>
    <w:rsid w:val="00874BD8"/>
    <w:rsid w:val="00875329"/>
    <w:rsid w:val="0087539F"/>
    <w:rsid w:val="00875567"/>
    <w:rsid w:val="00875914"/>
    <w:rsid w:val="00875980"/>
    <w:rsid w:val="00875B50"/>
    <w:rsid w:val="00876001"/>
    <w:rsid w:val="008760B0"/>
    <w:rsid w:val="0087615E"/>
    <w:rsid w:val="0087637A"/>
    <w:rsid w:val="008765AA"/>
    <w:rsid w:val="008765F2"/>
    <w:rsid w:val="008769DF"/>
    <w:rsid w:val="00876ACE"/>
    <w:rsid w:val="00876D72"/>
    <w:rsid w:val="00876DA1"/>
    <w:rsid w:val="00876F6E"/>
    <w:rsid w:val="0087724C"/>
    <w:rsid w:val="00877498"/>
    <w:rsid w:val="00877598"/>
    <w:rsid w:val="0087797E"/>
    <w:rsid w:val="00877E4A"/>
    <w:rsid w:val="008801B0"/>
    <w:rsid w:val="00880296"/>
    <w:rsid w:val="00880566"/>
    <w:rsid w:val="00880A29"/>
    <w:rsid w:val="00880AC0"/>
    <w:rsid w:val="00880CCD"/>
    <w:rsid w:val="00880D57"/>
    <w:rsid w:val="00880DFE"/>
    <w:rsid w:val="00880F69"/>
    <w:rsid w:val="008811FC"/>
    <w:rsid w:val="0088129B"/>
    <w:rsid w:val="00881401"/>
    <w:rsid w:val="0088182D"/>
    <w:rsid w:val="00881858"/>
    <w:rsid w:val="008818A0"/>
    <w:rsid w:val="008819B6"/>
    <w:rsid w:val="00881B44"/>
    <w:rsid w:val="00881C1D"/>
    <w:rsid w:val="00881F69"/>
    <w:rsid w:val="00882396"/>
    <w:rsid w:val="008823CE"/>
    <w:rsid w:val="00882763"/>
    <w:rsid w:val="008828C6"/>
    <w:rsid w:val="00882ADB"/>
    <w:rsid w:val="00882B1C"/>
    <w:rsid w:val="00882DC1"/>
    <w:rsid w:val="00882EEE"/>
    <w:rsid w:val="008832CD"/>
    <w:rsid w:val="008832D7"/>
    <w:rsid w:val="008832E3"/>
    <w:rsid w:val="008834C4"/>
    <w:rsid w:val="008834D1"/>
    <w:rsid w:val="00883798"/>
    <w:rsid w:val="0088386E"/>
    <w:rsid w:val="00883C3E"/>
    <w:rsid w:val="00883D44"/>
    <w:rsid w:val="00883D9D"/>
    <w:rsid w:val="00883E54"/>
    <w:rsid w:val="00883EBC"/>
    <w:rsid w:val="00883FB0"/>
    <w:rsid w:val="00884005"/>
    <w:rsid w:val="00884165"/>
    <w:rsid w:val="008841AB"/>
    <w:rsid w:val="008842C1"/>
    <w:rsid w:val="008843AB"/>
    <w:rsid w:val="008843B7"/>
    <w:rsid w:val="008846ED"/>
    <w:rsid w:val="008847A6"/>
    <w:rsid w:val="008847EC"/>
    <w:rsid w:val="0088483E"/>
    <w:rsid w:val="0088492C"/>
    <w:rsid w:val="00884C74"/>
    <w:rsid w:val="00885006"/>
    <w:rsid w:val="008851ED"/>
    <w:rsid w:val="00885345"/>
    <w:rsid w:val="0088536C"/>
    <w:rsid w:val="008853A2"/>
    <w:rsid w:val="008855A1"/>
    <w:rsid w:val="00885796"/>
    <w:rsid w:val="00885881"/>
    <w:rsid w:val="00885D48"/>
    <w:rsid w:val="00885D93"/>
    <w:rsid w:val="00885DEB"/>
    <w:rsid w:val="00885E18"/>
    <w:rsid w:val="00885F22"/>
    <w:rsid w:val="00885FE1"/>
    <w:rsid w:val="008863FD"/>
    <w:rsid w:val="008866F9"/>
    <w:rsid w:val="0088677E"/>
    <w:rsid w:val="00886841"/>
    <w:rsid w:val="00886A59"/>
    <w:rsid w:val="00886BCD"/>
    <w:rsid w:val="00886E66"/>
    <w:rsid w:val="00886E68"/>
    <w:rsid w:val="00886F29"/>
    <w:rsid w:val="0088700A"/>
    <w:rsid w:val="00887079"/>
    <w:rsid w:val="00887162"/>
    <w:rsid w:val="008872F6"/>
    <w:rsid w:val="00887385"/>
    <w:rsid w:val="008875CA"/>
    <w:rsid w:val="00887939"/>
    <w:rsid w:val="00887999"/>
    <w:rsid w:val="0088799B"/>
    <w:rsid w:val="008879A7"/>
    <w:rsid w:val="00887A74"/>
    <w:rsid w:val="00887C14"/>
    <w:rsid w:val="00887C17"/>
    <w:rsid w:val="00887D23"/>
    <w:rsid w:val="00887D97"/>
    <w:rsid w:val="00887FA3"/>
    <w:rsid w:val="00890259"/>
    <w:rsid w:val="008903AF"/>
    <w:rsid w:val="008904AF"/>
    <w:rsid w:val="0089050B"/>
    <w:rsid w:val="00890579"/>
    <w:rsid w:val="00890580"/>
    <w:rsid w:val="00890609"/>
    <w:rsid w:val="008906B4"/>
    <w:rsid w:val="008907A4"/>
    <w:rsid w:val="00890BD0"/>
    <w:rsid w:val="00890C50"/>
    <w:rsid w:val="00890E65"/>
    <w:rsid w:val="0089104F"/>
    <w:rsid w:val="008916A9"/>
    <w:rsid w:val="008918A0"/>
    <w:rsid w:val="00891A70"/>
    <w:rsid w:val="00891C18"/>
    <w:rsid w:val="00891F58"/>
    <w:rsid w:val="00891F5D"/>
    <w:rsid w:val="00891F94"/>
    <w:rsid w:val="00892631"/>
    <w:rsid w:val="008926F4"/>
    <w:rsid w:val="00892BF5"/>
    <w:rsid w:val="00892C7A"/>
    <w:rsid w:val="008933B5"/>
    <w:rsid w:val="008935CC"/>
    <w:rsid w:val="0089374A"/>
    <w:rsid w:val="0089379E"/>
    <w:rsid w:val="008939A5"/>
    <w:rsid w:val="00893A1A"/>
    <w:rsid w:val="00893B5A"/>
    <w:rsid w:val="00893CE6"/>
    <w:rsid w:val="00893D67"/>
    <w:rsid w:val="008946E4"/>
    <w:rsid w:val="00894AA5"/>
    <w:rsid w:val="00894B07"/>
    <w:rsid w:val="00894B1A"/>
    <w:rsid w:val="00894B1B"/>
    <w:rsid w:val="00894D2D"/>
    <w:rsid w:val="00895102"/>
    <w:rsid w:val="00895934"/>
    <w:rsid w:val="00895A08"/>
    <w:rsid w:val="00895AB3"/>
    <w:rsid w:val="00895FB4"/>
    <w:rsid w:val="0089602F"/>
    <w:rsid w:val="0089609B"/>
    <w:rsid w:val="008960A7"/>
    <w:rsid w:val="008960D9"/>
    <w:rsid w:val="0089622B"/>
    <w:rsid w:val="00896363"/>
    <w:rsid w:val="008964E8"/>
    <w:rsid w:val="008965F8"/>
    <w:rsid w:val="008967A0"/>
    <w:rsid w:val="00896951"/>
    <w:rsid w:val="008969AD"/>
    <w:rsid w:val="00896B2E"/>
    <w:rsid w:val="00896D51"/>
    <w:rsid w:val="00896F3C"/>
    <w:rsid w:val="0089747F"/>
    <w:rsid w:val="00897506"/>
    <w:rsid w:val="00897952"/>
    <w:rsid w:val="00897B03"/>
    <w:rsid w:val="00897B8A"/>
    <w:rsid w:val="00897C4C"/>
    <w:rsid w:val="00897D6C"/>
    <w:rsid w:val="00897DA7"/>
    <w:rsid w:val="008A008B"/>
    <w:rsid w:val="008A020B"/>
    <w:rsid w:val="008A0329"/>
    <w:rsid w:val="008A0400"/>
    <w:rsid w:val="008A07EF"/>
    <w:rsid w:val="008A099F"/>
    <w:rsid w:val="008A0BA3"/>
    <w:rsid w:val="008A0BEA"/>
    <w:rsid w:val="008A11DD"/>
    <w:rsid w:val="008A1295"/>
    <w:rsid w:val="008A134A"/>
    <w:rsid w:val="008A1528"/>
    <w:rsid w:val="008A1803"/>
    <w:rsid w:val="008A21C0"/>
    <w:rsid w:val="008A21C1"/>
    <w:rsid w:val="008A2211"/>
    <w:rsid w:val="008A2456"/>
    <w:rsid w:val="008A2528"/>
    <w:rsid w:val="008A2709"/>
    <w:rsid w:val="008A27C6"/>
    <w:rsid w:val="008A296F"/>
    <w:rsid w:val="008A30EE"/>
    <w:rsid w:val="008A3407"/>
    <w:rsid w:val="008A34B0"/>
    <w:rsid w:val="008A35AE"/>
    <w:rsid w:val="008A3722"/>
    <w:rsid w:val="008A37A8"/>
    <w:rsid w:val="008A392A"/>
    <w:rsid w:val="008A3955"/>
    <w:rsid w:val="008A3A30"/>
    <w:rsid w:val="008A3A76"/>
    <w:rsid w:val="008A3C04"/>
    <w:rsid w:val="008A3C20"/>
    <w:rsid w:val="008A3E93"/>
    <w:rsid w:val="008A41F8"/>
    <w:rsid w:val="008A43E5"/>
    <w:rsid w:val="008A4575"/>
    <w:rsid w:val="008A477B"/>
    <w:rsid w:val="008A4785"/>
    <w:rsid w:val="008A48B4"/>
    <w:rsid w:val="008A4A7B"/>
    <w:rsid w:val="008A4D4A"/>
    <w:rsid w:val="008A4DE6"/>
    <w:rsid w:val="008A4E33"/>
    <w:rsid w:val="008A5476"/>
    <w:rsid w:val="008A57B1"/>
    <w:rsid w:val="008A57BB"/>
    <w:rsid w:val="008A5C9E"/>
    <w:rsid w:val="008A5D52"/>
    <w:rsid w:val="008A5F15"/>
    <w:rsid w:val="008A5F5B"/>
    <w:rsid w:val="008A5FAA"/>
    <w:rsid w:val="008A61EA"/>
    <w:rsid w:val="008A628F"/>
    <w:rsid w:val="008A6711"/>
    <w:rsid w:val="008A67F2"/>
    <w:rsid w:val="008A698C"/>
    <w:rsid w:val="008A69B2"/>
    <w:rsid w:val="008A6D27"/>
    <w:rsid w:val="008A6F02"/>
    <w:rsid w:val="008A6FE7"/>
    <w:rsid w:val="008A7692"/>
    <w:rsid w:val="008A7A2A"/>
    <w:rsid w:val="008A7B89"/>
    <w:rsid w:val="008A7C32"/>
    <w:rsid w:val="008A7DB1"/>
    <w:rsid w:val="008A7F73"/>
    <w:rsid w:val="008B01C7"/>
    <w:rsid w:val="008B0644"/>
    <w:rsid w:val="008B0861"/>
    <w:rsid w:val="008B097A"/>
    <w:rsid w:val="008B097F"/>
    <w:rsid w:val="008B0B62"/>
    <w:rsid w:val="008B0B9E"/>
    <w:rsid w:val="008B0C65"/>
    <w:rsid w:val="008B0CFF"/>
    <w:rsid w:val="008B10D6"/>
    <w:rsid w:val="008B11B7"/>
    <w:rsid w:val="008B1600"/>
    <w:rsid w:val="008B18D3"/>
    <w:rsid w:val="008B1C97"/>
    <w:rsid w:val="008B216B"/>
    <w:rsid w:val="008B237F"/>
    <w:rsid w:val="008B2533"/>
    <w:rsid w:val="008B2745"/>
    <w:rsid w:val="008B2CE9"/>
    <w:rsid w:val="008B2D90"/>
    <w:rsid w:val="008B2E24"/>
    <w:rsid w:val="008B3009"/>
    <w:rsid w:val="008B32A6"/>
    <w:rsid w:val="008B32B9"/>
    <w:rsid w:val="008B383F"/>
    <w:rsid w:val="008B3A00"/>
    <w:rsid w:val="008B3C21"/>
    <w:rsid w:val="008B3E7C"/>
    <w:rsid w:val="008B419D"/>
    <w:rsid w:val="008B41E6"/>
    <w:rsid w:val="008B4498"/>
    <w:rsid w:val="008B44A9"/>
    <w:rsid w:val="008B45F3"/>
    <w:rsid w:val="008B47C8"/>
    <w:rsid w:val="008B47ED"/>
    <w:rsid w:val="008B4929"/>
    <w:rsid w:val="008B4B20"/>
    <w:rsid w:val="008B4B44"/>
    <w:rsid w:val="008B4C2F"/>
    <w:rsid w:val="008B4D02"/>
    <w:rsid w:val="008B4D99"/>
    <w:rsid w:val="008B4DAA"/>
    <w:rsid w:val="008B4F44"/>
    <w:rsid w:val="008B5099"/>
    <w:rsid w:val="008B518A"/>
    <w:rsid w:val="008B547B"/>
    <w:rsid w:val="008B55FB"/>
    <w:rsid w:val="008B5724"/>
    <w:rsid w:val="008B58B4"/>
    <w:rsid w:val="008B5967"/>
    <w:rsid w:val="008B59C9"/>
    <w:rsid w:val="008B632B"/>
    <w:rsid w:val="008B64A4"/>
    <w:rsid w:val="008B651C"/>
    <w:rsid w:val="008B6920"/>
    <w:rsid w:val="008B6935"/>
    <w:rsid w:val="008B6C4E"/>
    <w:rsid w:val="008B6CB5"/>
    <w:rsid w:val="008B6DAD"/>
    <w:rsid w:val="008B6F9D"/>
    <w:rsid w:val="008B70A4"/>
    <w:rsid w:val="008B71E2"/>
    <w:rsid w:val="008B71EA"/>
    <w:rsid w:val="008B75A3"/>
    <w:rsid w:val="008B77A9"/>
    <w:rsid w:val="008B7B88"/>
    <w:rsid w:val="008B7DB8"/>
    <w:rsid w:val="008B7EDC"/>
    <w:rsid w:val="008B7F83"/>
    <w:rsid w:val="008C0758"/>
    <w:rsid w:val="008C09F9"/>
    <w:rsid w:val="008C0CE2"/>
    <w:rsid w:val="008C0F1A"/>
    <w:rsid w:val="008C1106"/>
    <w:rsid w:val="008C12A0"/>
    <w:rsid w:val="008C13DC"/>
    <w:rsid w:val="008C1545"/>
    <w:rsid w:val="008C1648"/>
    <w:rsid w:val="008C1718"/>
    <w:rsid w:val="008C178F"/>
    <w:rsid w:val="008C1B64"/>
    <w:rsid w:val="008C1C82"/>
    <w:rsid w:val="008C1F48"/>
    <w:rsid w:val="008C20D3"/>
    <w:rsid w:val="008C2176"/>
    <w:rsid w:val="008C2B5D"/>
    <w:rsid w:val="008C2C6B"/>
    <w:rsid w:val="008C2ECC"/>
    <w:rsid w:val="008C2FAB"/>
    <w:rsid w:val="008C3110"/>
    <w:rsid w:val="008C31D4"/>
    <w:rsid w:val="008C31F1"/>
    <w:rsid w:val="008C337A"/>
    <w:rsid w:val="008C3626"/>
    <w:rsid w:val="008C39CD"/>
    <w:rsid w:val="008C39E7"/>
    <w:rsid w:val="008C3A3F"/>
    <w:rsid w:val="008C3AF9"/>
    <w:rsid w:val="008C3AFC"/>
    <w:rsid w:val="008C3BF0"/>
    <w:rsid w:val="008C3C00"/>
    <w:rsid w:val="008C3C0E"/>
    <w:rsid w:val="008C3C16"/>
    <w:rsid w:val="008C3C5A"/>
    <w:rsid w:val="008C3D6B"/>
    <w:rsid w:val="008C4012"/>
    <w:rsid w:val="008C4045"/>
    <w:rsid w:val="008C424B"/>
    <w:rsid w:val="008C42BA"/>
    <w:rsid w:val="008C4360"/>
    <w:rsid w:val="008C4381"/>
    <w:rsid w:val="008C43A5"/>
    <w:rsid w:val="008C4471"/>
    <w:rsid w:val="008C4535"/>
    <w:rsid w:val="008C47D8"/>
    <w:rsid w:val="008C47F1"/>
    <w:rsid w:val="008C49DA"/>
    <w:rsid w:val="008C4A68"/>
    <w:rsid w:val="008C4B78"/>
    <w:rsid w:val="008C4F2A"/>
    <w:rsid w:val="008C53DB"/>
    <w:rsid w:val="008C553D"/>
    <w:rsid w:val="008C569A"/>
    <w:rsid w:val="008C57A1"/>
    <w:rsid w:val="008C5B98"/>
    <w:rsid w:val="008C5BE2"/>
    <w:rsid w:val="008C5DFB"/>
    <w:rsid w:val="008C5E17"/>
    <w:rsid w:val="008C5F79"/>
    <w:rsid w:val="008C6076"/>
    <w:rsid w:val="008C60B2"/>
    <w:rsid w:val="008C60DA"/>
    <w:rsid w:val="008C63D1"/>
    <w:rsid w:val="008C658E"/>
    <w:rsid w:val="008C6859"/>
    <w:rsid w:val="008C6918"/>
    <w:rsid w:val="008C6992"/>
    <w:rsid w:val="008C70E2"/>
    <w:rsid w:val="008C7348"/>
    <w:rsid w:val="008C74BF"/>
    <w:rsid w:val="008C7516"/>
    <w:rsid w:val="008C76EE"/>
    <w:rsid w:val="008C7CA2"/>
    <w:rsid w:val="008C7D97"/>
    <w:rsid w:val="008C7E8A"/>
    <w:rsid w:val="008C7F53"/>
    <w:rsid w:val="008C7FAF"/>
    <w:rsid w:val="008C7FD4"/>
    <w:rsid w:val="008C7FF1"/>
    <w:rsid w:val="008D0011"/>
    <w:rsid w:val="008D0422"/>
    <w:rsid w:val="008D050C"/>
    <w:rsid w:val="008D05B4"/>
    <w:rsid w:val="008D05C2"/>
    <w:rsid w:val="008D074B"/>
    <w:rsid w:val="008D09C8"/>
    <w:rsid w:val="008D09FC"/>
    <w:rsid w:val="008D0B99"/>
    <w:rsid w:val="008D13BC"/>
    <w:rsid w:val="008D191E"/>
    <w:rsid w:val="008D1B30"/>
    <w:rsid w:val="008D1BDE"/>
    <w:rsid w:val="008D1E27"/>
    <w:rsid w:val="008D209F"/>
    <w:rsid w:val="008D20A5"/>
    <w:rsid w:val="008D2382"/>
    <w:rsid w:val="008D270E"/>
    <w:rsid w:val="008D2928"/>
    <w:rsid w:val="008D2A96"/>
    <w:rsid w:val="008D2B2D"/>
    <w:rsid w:val="008D2BD0"/>
    <w:rsid w:val="008D2BEF"/>
    <w:rsid w:val="008D2D83"/>
    <w:rsid w:val="008D2E02"/>
    <w:rsid w:val="008D2E88"/>
    <w:rsid w:val="008D302B"/>
    <w:rsid w:val="008D331B"/>
    <w:rsid w:val="008D350C"/>
    <w:rsid w:val="008D3550"/>
    <w:rsid w:val="008D358C"/>
    <w:rsid w:val="008D3648"/>
    <w:rsid w:val="008D397B"/>
    <w:rsid w:val="008D3A13"/>
    <w:rsid w:val="008D3B75"/>
    <w:rsid w:val="008D3BC8"/>
    <w:rsid w:val="008D3FC9"/>
    <w:rsid w:val="008D429A"/>
    <w:rsid w:val="008D4672"/>
    <w:rsid w:val="008D4E3C"/>
    <w:rsid w:val="008D4F83"/>
    <w:rsid w:val="008D5085"/>
    <w:rsid w:val="008D518D"/>
    <w:rsid w:val="008D5225"/>
    <w:rsid w:val="008D53A5"/>
    <w:rsid w:val="008D5435"/>
    <w:rsid w:val="008D54F1"/>
    <w:rsid w:val="008D5805"/>
    <w:rsid w:val="008D5AD3"/>
    <w:rsid w:val="008D5B3B"/>
    <w:rsid w:val="008D5C03"/>
    <w:rsid w:val="008D6050"/>
    <w:rsid w:val="008D626C"/>
    <w:rsid w:val="008D63AD"/>
    <w:rsid w:val="008D67E6"/>
    <w:rsid w:val="008D6F37"/>
    <w:rsid w:val="008D707B"/>
    <w:rsid w:val="008D7238"/>
    <w:rsid w:val="008D7302"/>
    <w:rsid w:val="008D75D8"/>
    <w:rsid w:val="008D767B"/>
    <w:rsid w:val="008D769E"/>
    <w:rsid w:val="008D77CB"/>
    <w:rsid w:val="008D7856"/>
    <w:rsid w:val="008D7889"/>
    <w:rsid w:val="008D7998"/>
    <w:rsid w:val="008D7A43"/>
    <w:rsid w:val="008D7E20"/>
    <w:rsid w:val="008D7E30"/>
    <w:rsid w:val="008D7EC7"/>
    <w:rsid w:val="008E02B1"/>
    <w:rsid w:val="008E036B"/>
    <w:rsid w:val="008E04E7"/>
    <w:rsid w:val="008E04FB"/>
    <w:rsid w:val="008E05E4"/>
    <w:rsid w:val="008E065A"/>
    <w:rsid w:val="008E0D9D"/>
    <w:rsid w:val="008E0DA5"/>
    <w:rsid w:val="008E136D"/>
    <w:rsid w:val="008E15D8"/>
    <w:rsid w:val="008E161C"/>
    <w:rsid w:val="008E1C96"/>
    <w:rsid w:val="008E1D80"/>
    <w:rsid w:val="008E1EF2"/>
    <w:rsid w:val="008E205B"/>
    <w:rsid w:val="008E2196"/>
    <w:rsid w:val="008E226B"/>
    <w:rsid w:val="008E24C7"/>
    <w:rsid w:val="008E250A"/>
    <w:rsid w:val="008E2661"/>
    <w:rsid w:val="008E280B"/>
    <w:rsid w:val="008E284A"/>
    <w:rsid w:val="008E28C0"/>
    <w:rsid w:val="008E28EB"/>
    <w:rsid w:val="008E2BE5"/>
    <w:rsid w:val="008E2C03"/>
    <w:rsid w:val="008E2D54"/>
    <w:rsid w:val="008E2E98"/>
    <w:rsid w:val="008E31E1"/>
    <w:rsid w:val="008E352E"/>
    <w:rsid w:val="008E3569"/>
    <w:rsid w:val="008E38C3"/>
    <w:rsid w:val="008E3B21"/>
    <w:rsid w:val="008E3DA3"/>
    <w:rsid w:val="008E406A"/>
    <w:rsid w:val="008E4085"/>
    <w:rsid w:val="008E456A"/>
    <w:rsid w:val="008E4673"/>
    <w:rsid w:val="008E4716"/>
    <w:rsid w:val="008E4785"/>
    <w:rsid w:val="008E4931"/>
    <w:rsid w:val="008E4D4E"/>
    <w:rsid w:val="008E4E42"/>
    <w:rsid w:val="008E50A4"/>
    <w:rsid w:val="008E50CC"/>
    <w:rsid w:val="008E5263"/>
    <w:rsid w:val="008E52B7"/>
    <w:rsid w:val="008E5363"/>
    <w:rsid w:val="008E557F"/>
    <w:rsid w:val="008E55A4"/>
    <w:rsid w:val="008E55FF"/>
    <w:rsid w:val="008E5AE1"/>
    <w:rsid w:val="008E5C62"/>
    <w:rsid w:val="008E5C89"/>
    <w:rsid w:val="008E5E8A"/>
    <w:rsid w:val="008E5E9E"/>
    <w:rsid w:val="008E5F70"/>
    <w:rsid w:val="008E5FE3"/>
    <w:rsid w:val="008E6220"/>
    <w:rsid w:val="008E62C4"/>
    <w:rsid w:val="008E636D"/>
    <w:rsid w:val="008E647E"/>
    <w:rsid w:val="008E658A"/>
    <w:rsid w:val="008E66AD"/>
    <w:rsid w:val="008E673B"/>
    <w:rsid w:val="008E6773"/>
    <w:rsid w:val="008E6D5D"/>
    <w:rsid w:val="008E6E6F"/>
    <w:rsid w:val="008E6FAA"/>
    <w:rsid w:val="008E71BE"/>
    <w:rsid w:val="008E7260"/>
    <w:rsid w:val="008E7333"/>
    <w:rsid w:val="008E74FB"/>
    <w:rsid w:val="008E7848"/>
    <w:rsid w:val="008E7A9D"/>
    <w:rsid w:val="008E7B0D"/>
    <w:rsid w:val="008E7C1D"/>
    <w:rsid w:val="008E7DE1"/>
    <w:rsid w:val="008E7F84"/>
    <w:rsid w:val="008F0703"/>
    <w:rsid w:val="008F099F"/>
    <w:rsid w:val="008F0BA7"/>
    <w:rsid w:val="008F0CE4"/>
    <w:rsid w:val="008F0E6C"/>
    <w:rsid w:val="008F0F58"/>
    <w:rsid w:val="008F1173"/>
    <w:rsid w:val="008F1226"/>
    <w:rsid w:val="008F15E6"/>
    <w:rsid w:val="008F16E9"/>
    <w:rsid w:val="008F1797"/>
    <w:rsid w:val="008F1ADB"/>
    <w:rsid w:val="008F1CA3"/>
    <w:rsid w:val="008F1E7E"/>
    <w:rsid w:val="008F228A"/>
    <w:rsid w:val="008F24F7"/>
    <w:rsid w:val="008F261A"/>
    <w:rsid w:val="008F271B"/>
    <w:rsid w:val="008F27D3"/>
    <w:rsid w:val="008F2A48"/>
    <w:rsid w:val="008F2CE4"/>
    <w:rsid w:val="008F2E70"/>
    <w:rsid w:val="008F30FF"/>
    <w:rsid w:val="008F32E8"/>
    <w:rsid w:val="008F3353"/>
    <w:rsid w:val="008F3D01"/>
    <w:rsid w:val="008F3DD2"/>
    <w:rsid w:val="008F4240"/>
    <w:rsid w:val="008F4636"/>
    <w:rsid w:val="008F46D2"/>
    <w:rsid w:val="008F4717"/>
    <w:rsid w:val="008F479C"/>
    <w:rsid w:val="008F47B9"/>
    <w:rsid w:val="008F4826"/>
    <w:rsid w:val="008F4CFC"/>
    <w:rsid w:val="008F4D02"/>
    <w:rsid w:val="008F4D3A"/>
    <w:rsid w:val="008F4E00"/>
    <w:rsid w:val="008F4F7D"/>
    <w:rsid w:val="008F4F81"/>
    <w:rsid w:val="008F500A"/>
    <w:rsid w:val="008F500D"/>
    <w:rsid w:val="008F50AC"/>
    <w:rsid w:val="008F50C9"/>
    <w:rsid w:val="008F51E0"/>
    <w:rsid w:val="008F51F8"/>
    <w:rsid w:val="008F532C"/>
    <w:rsid w:val="008F53C8"/>
    <w:rsid w:val="008F5428"/>
    <w:rsid w:val="008F57F4"/>
    <w:rsid w:val="008F58C1"/>
    <w:rsid w:val="008F5AAB"/>
    <w:rsid w:val="008F5AC6"/>
    <w:rsid w:val="008F5AEC"/>
    <w:rsid w:val="008F5B6E"/>
    <w:rsid w:val="008F5FA3"/>
    <w:rsid w:val="008F601F"/>
    <w:rsid w:val="008F61BF"/>
    <w:rsid w:val="008F6444"/>
    <w:rsid w:val="008F663E"/>
    <w:rsid w:val="008F6CB0"/>
    <w:rsid w:val="008F6E82"/>
    <w:rsid w:val="008F70C4"/>
    <w:rsid w:val="008F790F"/>
    <w:rsid w:val="008F7B16"/>
    <w:rsid w:val="008F7B73"/>
    <w:rsid w:val="008F7E5A"/>
    <w:rsid w:val="008F7ED0"/>
    <w:rsid w:val="008F7F12"/>
    <w:rsid w:val="0090013B"/>
    <w:rsid w:val="0090013F"/>
    <w:rsid w:val="00900164"/>
    <w:rsid w:val="00900232"/>
    <w:rsid w:val="00900319"/>
    <w:rsid w:val="0090032E"/>
    <w:rsid w:val="009005B5"/>
    <w:rsid w:val="009005B7"/>
    <w:rsid w:val="00900910"/>
    <w:rsid w:val="00900A2E"/>
    <w:rsid w:val="00900B6A"/>
    <w:rsid w:val="00900CFF"/>
    <w:rsid w:val="00900DF4"/>
    <w:rsid w:val="00900E8C"/>
    <w:rsid w:val="00901222"/>
    <w:rsid w:val="00901290"/>
    <w:rsid w:val="0090161E"/>
    <w:rsid w:val="0090186B"/>
    <w:rsid w:val="00901AF7"/>
    <w:rsid w:val="00901FE3"/>
    <w:rsid w:val="0090213B"/>
    <w:rsid w:val="0090216E"/>
    <w:rsid w:val="009026A6"/>
    <w:rsid w:val="00902822"/>
    <w:rsid w:val="0090288D"/>
    <w:rsid w:val="009029AC"/>
    <w:rsid w:val="00902C5F"/>
    <w:rsid w:val="00902CF0"/>
    <w:rsid w:val="00902E7A"/>
    <w:rsid w:val="00903062"/>
    <w:rsid w:val="0090324A"/>
    <w:rsid w:val="00903291"/>
    <w:rsid w:val="00903500"/>
    <w:rsid w:val="00903558"/>
    <w:rsid w:val="0090362A"/>
    <w:rsid w:val="00903AB9"/>
    <w:rsid w:val="00903C95"/>
    <w:rsid w:val="00904017"/>
    <w:rsid w:val="0090405B"/>
    <w:rsid w:val="009041E1"/>
    <w:rsid w:val="009041F7"/>
    <w:rsid w:val="00904217"/>
    <w:rsid w:val="00904554"/>
    <w:rsid w:val="009045B2"/>
    <w:rsid w:val="009045B3"/>
    <w:rsid w:val="0090463B"/>
    <w:rsid w:val="0090476C"/>
    <w:rsid w:val="00904BD1"/>
    <w:rsid w:val="00904C60"/>
    <w:rsid w:val="00904CFE"/>
    <w:rsid w:val="00904D0E"/>
    <w:rsid w:val="00904D90"/>
    <w:rsid w:val="00904E66"/>
    <w:rsid w:val="009052EB"/>
    <w:rsid w:val="00905739"/>
    <w:rsid w:val="00905783"/>
    <w:rsid w:val="00905C7B"/>
    <w:rsid w:val="00905D37"/>
    <w:rsid w:val="00905E1E"/>
    <w:rsid w:val="00906395"/>
    <w:rsid w:val="00906675"/>
    <w:rsid w:val="009068EA"/>
    <w:rsid w:val="00906930"/>
    <w:rsid w:val="00906AB8"/>
    <w:rsid w:val="00906C0D"/>
    <w:rsid w:val="00906C67"/>
    <w:rsid w:val="00906C7B"/>
    <w:rsid w:val="00906D30"/>
    <w:rsid w:val="00906F43"/>
    <w:rsid w:val="00906FB3"/>
    <w:rsid w:val="00906FF3"/>
    <w:rsid w:val="0090710F"/>
    <w:rsid w:val="00907446"/>
    <w:rsid w:val="009076E4"/>
    <w:rsid w:val="009076F5"/>
    <w:rsid w:val="009077E4"/>
    <w:rsid w:val="00907A5D"/>
    <w:rsid w:val="00907C6E"/>
    <w:rsid w:val="00907CDA"/>
    <w:rsid w:val="00907D9B"/>
    <w:rsid w:val="00907DAA"/>
    <w:rsid w:val="00907DC8"/>
    <w:rsid w:val="00910471"/>
    <w:rsid w:val="009104F3"/>
    <w:rsid w:val="009106AE"/>
    <w:rsid w:val="009106F7"/>
    <w:rsid w:val="0091071C"/>
    <w:rsid w:val="009109D0"/>
    <w:rsid w:val="00910AA1"/>
    <w:rsid w:val="00910BE6"/>
    <w:rsid w:val="00910CE0"/>
    <w:rsid w:val="00910E2B"/>
    <w:rsid w:val="009112C5"/>
    <w:rsid w:val="00911764"/>
    <w:rsid w:val="009117A2"/>
    <w:rsid w:val="00911814"/>
    <w:rsid w:val="00911820"/>
    <w:rsid w:val="00911A8A"/>
    <w:rsid w:val="00911B8A"/>
    <w:rsid w:val="00911C2C"/>
    <w:rsid w:val="00911E2F"/>
    <w:rsid w:val="00911FC6"/>
    <w:rsid w:val="00912066"/>
    <w:rsid w:val="009120B6"/>
    <w:rsid w:val="0091218B"/>
    <w:rsid w:val="009128F4"/>
    <w:rsid w:val="00912AED"/>
    <w:rsid w:val="00912CC1"/>
    <w:rsid w:val="00912D13"/>
    <w:rsid w:val="00913029"/>
    <w:rsid w:val="009131BD"/>
    <w:rsid w:val="00913308"/>
    <w:rsid w:val="00913406"/>
    <w:rsid w:val="009135C7"/>
    <w:rsid w:val="009135FE"/>
    <w:rsid w:val="00913836"/>
    <w:rsid w:val="00913879"/>
    <w:rsid w:val="00913B6B"/>
    <w:rsid w:val="00913B86"/>
    <w:rsid w:val="00913D9C"/>
    <w:rsid w:val="00913E3D"/>
    <w:rsid w:val="00913FFD"/>
    <w:rsid w:val="00914057"/>
    <w:rsid w:val="009142FE"/>
    <w:rsid w:val="00914493"/>
    <w:rsid w:val="00914659"/>
    <w:rsid w:val="009148B1"/>
    <w:rsid w:val="00914A92"/>
    <w:rsid w:val="00914E13"/>
    <w:rsid w:val="00914E21"/>
    <w:rsid w:val="00914FE5"/>
    <w:rsid w:val="00915075"/>
    <w:rsid w:val="009153F3"/>
    <w:rsid w:val="0091542C"/>
    <w:rsid w:val="0091547D"/>
    <w:rsid w:val="00915777"/>
    <w:rsid w:val="009157E1"/>
    <w:rsid w:val="0091588A"/>
    <w:rsid w:val="0091598F"/>
    <w:rsid w:val="00915B92"/>
    <w:rsid w:val="00915C12"/>
    <w:rsid w:val="00915C26"/>
    <w:rsid w:val="00915D10"/>
    <w:rsid w:val="00915D37"/>
    <w:rsid w:val="00915DDC"/>
    <w:rsid w:val="00915E55"/>
    <w:rsid w:val="009160FA"/>
    <w:rsid w:val="0091623B"/>
    <w:rsid w:val="009162FE"/>
    <w:rsid w:val="00916321"/>
    <w:rsid w:val="00916394"/>
    <w:rsid w:val="0091640B"/>
    <w:rsid w:val="0091652A"/>
    <w:rsid w:val="00916A6F"/>
    <w:rsid w:val="00916CB2"/>
    <w:rsid w:val="00916CE9"/>
    <w:rsid w:val="00916D2E"/>
    <w:rsid w:val="00917006"/>
    <w:rsid w:val="00917153"/>
    <w:rsid w:val="00917374"/>
    <w:rsid w:val="00917626"/>
    <w:rsid w:val="00917709"/>
    <w:rsid w:val="00917898"/>
    <w:rsid w:val="00917DC8"/>
    <w:rsid w:val="00917EDE"/>
    <w:rsid w:val="009201C7"/>
    <w:rsid w:val="00920403"/>
    <w:rsid w:val="009204F3"/>
    <w:rsid w:val="009207C3"/>
    <w:rsid w:val="009209A9"/>
    <w:rsid w:val="00920C03"/>
    <w:rsid w:val="00920E97"/>
    <w:rsid w:val="00920EC7"/>
    <w:rsid w:val="00920ECB"/>
    <w:rsid w:val="00920F4A"/>
    <w:rsid w:val="00921288"/>
    <w:rsid w:val="0092148D"/>
    <w:rsid w:val="00921597"/>
    <w:rsid w:val="009216B5"/>
    <w:rsid w:val="0092187A"/>
    <w:rsid w:val="00921998"/>
    <w:rsid w:val="00921E33"/>
    <w:rsid w:val="00921E75"/>
    <w:rsid w:val="00921F8F"/>
    <w:rsid w:val="00922070"/>
    <w:rsid w:val="009220C4"/>
    <w:rsid w:val="00922131"/>
    <w:rsid w:val="00922366"/>
    <w:rsid w:val="0092252C"/>
    <w:rsid w:val="009228C5"/>
    <w:rsid w:val="00922907"/>
    <w:rsid w:val="00922A51"/>
    <w:rsid w:val="00922AE9"/>
    <w:rsid w:val="00922C74"/>
    <w:rsid w:val="00922D56"/>
    <w:rsid w:val="00922D9E"/>
    <w:rsid w:val="00922DBF"/>
    <w:rsid w:val="00922DF2"/>
    <w:rsid w:val="00922EE4"/>
    <w:rsid w:val="00922EEA"/>
    <w:rsid w:val="00922F99"/>
    <w:rsid w:val="009230F3"/>
    <w:rsid w:val="00923593"/>
    <w:rsid w:val="0092392E"/>
    <w:rsid w:val="00923CED"/>
    <w:rsid w:val="00923CF7"/>
    <w:rsid w:val="00923E15"/>
    <w:rsid w:val="00923E34"/>
    <w:rsid w:val="00924355"/>
    <w:rsid w:val="00924371"/>
    <w:rsid w:val="009243D1"/>
    <w:rsid w:val="00924409"/>
    <w:rsid w:val="00924416"/>
    <w:rsid w:val="00924491"/>
    <w:rsid w:val="0092453F"/>
    <w:rsid w:val="00924629"/>
    <w:rsid w:val="00924872"/>
    <w:rsid w:val="009249BC"/>
    <w:rsid w:val="009249DC"/>
    <w:rsid w:val="009249FA"/>
    <w:rsid w:val="00924C80"/>
    <w:rsid w:val="0092594B"/>
    <w:rsid w:val="0092599B"/>
    <w:rsid w:val="009259EA"/>
    <w:rsid w:val="009259EB"/>
    <w:rsid w:val="009259F7"/>
    <w:rsid w:val="00925A33"/>
    <w:rsid w:val="00925C54"/>
    <w:rsid w:val="00925F04"/>
    <w:rsid w:val="009260AB"/>
    <w:rsid w:val="00926416"/>
    <w:rsid w:val="00926497"/>
    <w:rsid w:val="009266FC"/>
    <w:rsid w:val="009268C8"/>
    <w:rsid w:val="00926BAF"/>
    <w:rsid w:val="00926BD6"/>
    <w:rsid w:val="00926C3C"/>
    <w:rsid w:val="00926D2A"/>
    <w:rsid w:val="00926E35"/>
    <w:rsid w:val="009271D5"/>
    <w:rsid w:val="00927364"/>
    <w:rsid w:val="009273CA"/>
    <w:rsid w:val="0092750D"/>
    <w:rsid w:val="00927775"/>
    <w:rsid w:val="00927818"/>
    <w:rsid w:val="00927902"/>
    <w:rsid w:val="00927924"/>
    <w:rsid w:val="00930133"/>
    <w:rsid w:val="009303B8"/>
    <w:rsid w:val="009303D4"/>
    <w:rsid w:val="00930636"/>
    <w:rsid w:val="00930744"/>
    <w:rsid w:val="00930893"/>
    <w:rsid w:val="009308D0"/>
    <w:rsid w:val="00930AC0"/>
    <w:rsid w:val="00930C75"/>
    <w:rsid w:val="00930C99"/>
    <w:rsid w:val="00930CEC"/>
    <w:rsid w:val="00930E43"/>
    <w:rsid w:val="00930EE1"/>
    <w:rsid w:val="00931006"/>
    <w:rsid w:val="00931472"/>
    <w:rsid w:val="0093167E"/>
    <w:rsid w:val="0093171C"/>
    <w:rsid w:val="00931859"/>
    <w:rsid w:val="00931915"/>
    <w:rsid w:val="00931CE1"/>
    <w:rsid w:val="00931CE4"/>
    <w:rsid w:val="00931CF5"/>
    <w:rsid w:val="00931D66"/>
    <w:rsid w:val="00931F18"/>
    <w:rsid w:val="00931FCB"/>
    <w:rsid w:val="009320E6"/>
    <w:rsid w:val="00932163"/>
    <w:rsid w:val="0093225E"/>
    <w:rsid w:val="0093235B"/>
    <w:rsid w:val="009323DD"/>
    <w:rsid w:val="00932431"/>
    <w:rsid w:val="0093245E"/>
    <w:rsid w:val="00932558"/>
    <w:rsid w:val="00932857"/>
    <w:rsid w:val="009329F1"/>
    <w:rsid w:val="00933184"/>
    <w:rsid w:val="00933310"/>
    <w:rsid w:val="00933721"/>
    <w:rsid w:val="00933A22"/>
    <w:rsid w:val="00933A26"/>
    <w:rsid w:val="00933AAC"/>
    <w:rsid w:val="00933B8D"/>
    <w:rsid w:val="00933C06"/>
    <w:rsid w:val="00933CEF"/>
    <w:rsid w:val="0093411B"/>
    <w:rsid w:val="009342C7"/>
    <w:rsid w:val="009343BD"/>
    <w:rsid w:val="009346BC"/>
    <w:rsid w:val="00934CA5"/>
    <w:rsid w:val="00934F26"/>
    <w:rsid w:val="00934FBE"/>
    <w:rsid w:val="00935112"/>
    <w:rsid w:val="0093516C"/>
    <w:rsid w:val="009353BB"/>
    <w:rsid w:val="009353C7"/>
    <w:rsid w:val="009354BA"/>
    <w:rsid w:val="009354CD"/>
    <w:rsid w:val="0093581E"/>
    <w:rsid w:val="00935895"/>
    <w:rsid w:val="00935A78"/>
    <w:rsid w:val="00935BAC"/>
    <w:rsid w:val="00935E04"/>
    <w:rsid w:val="009360F6"/>
    <w:rsid w:val="009361C6"/>
    <w:rsid w:val="00936281"/>
    <w:rsid w:val="0093647A"/>
    <w:rsid w:val="009364FD"/>
    <w:rsid w:val="00937167"/>
    <w:rsid w:val="0093760C"/>
    <w:rsid w:val="00937709"/>
    <w:rsid w:val="00937770"/>
    <w:rsid w:val="00937793"/>
    <w:rsid w:val="00937825"/>
    <w:rsid w:val="009379CA"/>
    <w:rsid w:val="00937C35"/>
    <w:rsid w:val="00937DFF"/>
    <w:rsid w:val="00937E11"/>
    <w:rsid w:val="00937EAF"/>
    <w:rsid w:val="00937EE9"/>
    <w:rsid w:val="0094019E"/>
    <w:rsid w:val="00940547"/>
    <w:rsid w:val="00940A39"/>
    <w:rsid w:val="00940B51"/>
    <w:rsid w:val="00940DE0"/>
    <w:rsid w:val="00940F80"/>
    <w:rsid w:val="00940FA1"/>
    <w:rsid w:val="009411C5"/>
    <w:rsid w:val="009415D9"/>
    <w:rsid w:val="00941684"/>
    <w:rsid w:val="009417A2"/>
    <w:rsid w:val="009418CF"/>
    <w:rsid w:val="00941900"/>
    <w:rsid w:val="00941DBB"/>
    <w:rsid w:val="00941DD4"/>
    <w:rsid w:val="0094202F"/>
    <w:rsid w:val="009420B5"/>
    <w:rsid w:val="009420D7"/>
    <w:rsid w:val="00942292"/>
    <w:rsid w:val="00942319"/>
    <w:rsid w:val="00942555"/>
    <w:rsid w:val="00942916"/>
    <w:rsid w:val="00942E44"/>
    <w:rsid w:val="00942E84"/>
    <w:rsid w:val="00942E8B"/>
    <w:rsid w:val="00942F0C"/>
    <w:rsid w:val="00943012"/>
    <w:rsid w:val="00943038"/>
    <w:rsid w:val="00943403"/>
    <w:rsid w:val="0094345C"/>
    <w:rsid w:val="009438FE"/>
    <w:rsid w:val="00943B28"/>
    <w:rsid w:val="00943BB9"/>
    <w:rsid w:val="00943C02"/>
    <w:rsid w:val="00943D85"/>
    <w:rsid w:val="00943E6B"/>
    <w:rsid w:val="009440F0"/>
    <w:rsid w:val="00944254"/>
    <w:rsid w:val="009442E1"/>
    <w:rsid w:val="009446CF"/>
    <w:rsid w:val="00944752"/>
    <w:rsid w:val="00944900"/>
    <w:rsid w:val="00944A53"/>
    <w:rsid w:val="00944B92"/>
    <w:rsid w:val="00944BAE"/>
    <w:rsid w:val="00944DF1"/>
    <w:rsid w:val="009450EB"/>
    <w:rsid w:val="00945193"/>
    <w:rsid w:val="009454E7"/>
    <w:rsid w:val="00945768"/>
    <w:rsid w:val="009458A6"/>
    <w:rsid w:val="00945936"/>
    <w:rsid w:val="00945A1C"/>
    <w:rsid w:val="00945B01"/>
    <w:rsid w:val="00945BF7"/>
    <w:rsid w:val="00945D10"/>
    <w:rsid w:val="00945EC1"/>
    <w:rsid w:val="00945F21"/>
    <w:rsid w:val="00946248"/>
    <w:rsid w:val="0094642D"/>
    <w:rsid w:val="009465B8"/>
    <w:rsid w:val="00946A6D"/>
    <w:rsid w:val="00946A9D"/>
    <w:rsid w:val="00946C8B"/>
    <w:rsid w:val="00946F1F"/>
    <w:rsid w:val="0094707C"/>
    <w:rsid w:val="00947130"/>
    <w:rsid w:val="00947421"/>
    <w:rsid w:val="00947542"/>
    <w:rsid w:val="009475B8"/>
    <w:rsid w:val="0094780D"/>
    <w:rsid w:val="00947DB9"/>
    <w:rsid w:val="00947E0F"/>
    <w:rsid w:val="00947EF5"/>
    <w:rsid w:val="009500DB"/>
    <w:rsid w:val="00950163"/>
    <w:rsid w:val="009502CE"/>
    <w:rsid w:val="0095068D"/>
    <w:rsid w:val="00950760"/>
    <w:rsid w:val="009508C5"/>
    <w:rsid w:val="00950F88"/>
    <w:rsid w:val="009513A6"/>
    <w:rsid w:val="00951A5F"/>
    <w:rsid w:val="00951C61"/>
    <w:rsid w:val="00951D16"/>
    <w:rsid w:val="00951E05"/>
    <w:rsid w:val="00951F02"/>
    <w:rsid w:val="00952136"/>
    <w:rsid w:val="00952663"/>
    <w:rsid w:val="00952C49"/>
    <w:rsid w:val="00952E4C"/>
    <w:rsid w:val="00952F5E"/>
    <w:rsid w:val="0095321D"/>
    <w:rsid w:val="00953398"/>
    <w:rsid w:val="009534BD"/>
    <w:rsid w:val="00953697"/>
    <w:rsid w:val="009537AF"/>
    <w:rsid w:val="00953803"/>
    <w:rsid w:val="00953844"/>
    <w:rsid w:val="00953934"/>
    <w:rsid w:val="00953B1F"/>
    <w:rsid w:val="00953C91"/>
    <w:rsid w:val="00953E40"/>
    <w:rsid w:val="00953F26"/>
    <w:rsid w:val="00954237"/>
    <w:rsid w:val="0095444A"/>
    <w:rsid w:val="0095460A"/>
    <w:rsid w:val="009546C7"/>
    <w:rsid w:val="009546E1"/>
    <w:rsid w:val="009547C6"/>
    <w:rsid w:val="009548A1"/>
    <w:rsid w:val="009549CC"/>
    <w:rsid w:val="00954B56"/>
    <w:rsid w:val="00954D88"/>
    <w:rsid w:val="00954DA4"/>
    <w:rsid w:val="00954DAD"/>
    <w:rsid w:val="0095510A"/>
    <w:rsid w:val="00955146"/>
    <w:rsid w:val="0095537B"/>
    <w:rsid w:val="00955560"/>
    <w:rsid w:val="0095582D"/>
    <w:rsid w:val="00955B81"/>
    <w:rsid w:val="00955CE1"/>
    <w:rsid w:val="00955DC1"/>
    <w:rsid w:val="00955F56"/>
    <w:rsid w:val="00955F69"/>
    <w:rsid w:val="00956053"/>
    <w:rsid w:val="00956369"/>
    <w:rsid w:val="009563EF"/>
    <w:rsid w:val="00956532"/>
    <w:rsid w:val="009565CE"/>
    <w:rsid w:val="009566AC"/>
    <w:rsid w:val="00956B8D"/>
    <w:rsid w:val="00956C5E"/>
    <w:rsid w:val="00956C6C"/>
    <w:rsid w:val="00956C6E"/>
    <w:rsid w:val="00956C82"/>
    <w:rsid w:val="00956F18"/>
    <w:rsid w:val="00956F24"/>
    <w:rsid w:val="00957518"/>
    <w:rsid w:val="0095764B"/>
    <w:rsid w:val="009577E0"/>
    <w:rsid w:val="00957A20"/>
    <w:rsid w:val="00957AB1"/>
    <w:rsid w:val="00957B9D"/>
    <w:rsid w:val="00957E84"/>
    <w:rsid w:val="00957F81"/>
    <w:rsid w:val="00960130"/>
    <w:rsid w:val="0096017E"/>
    <w:rsid w:val="009605EB"/>
    <w:rsid w:val="00960A2E"/>
    <w:rsid w:val="00960A5B"/>
    <w:rsid w:val="00960AEE"/>
    <w:rsid w:val="00960E79"/>
    <w:rsid w:val="00960F39"/>
    <w:rsid w:val="00961066"/>
    <w:rsid w:val="009611FB"/>
    <w:rsid w:val="0096127D"/>
    <w:rsid w:val="0096139F"/>
    <w:rsid w:val="009613E1"/>
    <w:rsid w:val="0096161B"/>
    <w:rsid w:val="009616C6"/>
    <w:rsid w:val="00961836"/>
    <w:rsid w:val="00961930"/>
    <w:rsid w:val="00961E55"/>
    <w:rsid w:val="00961F2C"/>
    <w:rsid w:val="00961F3A"/>
    <w:rsid w:val="009620E0"/>
    <w:rsid w:val="0096225A"/>
    <w:rsid w:val="00962263"/>
    <w:rsid w:val="009624E4"/>
    <w:rsid w:val="009628BD"/>
    <w:rsid w:val="00962930"/>
    <w:rsid w:val="00962955"/>
    <w:rsid w:val="00962A84"/>
    <w:rsid w:val="00962B7A"/>
    <w:rsid w:val="00962C55"/>
    <w:rsid w:val="00962D6D"/>
    <w:rsid w:val="00962DC1"/>
    <w:rsid w:val="0096325A"/>
    <w:rsid w:val="0096334B"/>
    <w:rsid w:val="0096342C"/>
    <w:rsid w:val="009634DA"/>
    <w:rsid w:val="00963789"/>
    <w:rsid w:val="009639E7"/>
    <w:rsid w:val="00963B24"/>
    <w:rsid w:val="00963C37"/>
    <w:rsid w:val="00963E48"/>
    <w:rsid w:val="009642C5"/>
    <w:rsid w:val="00964878"/>
    <w:rsid w:val="00964A6F"/>
    <w:rsid w:val="00964CF9"/>
    <w:rsid w:val="00964D19"/>
    <w:rsid w:val="00964DDC"/>
    <w:rsid w:val="00964DFF"/>
    <w:rsid w:val="00964F7E"/>
    <w:rsid w:val="009651F4"/>
    <w:rsid w:val="0096523C"/>
    <w:rsid w:val="00965388"/>
    <w:rsid w:val="009653E5"/>
    <w:rsid w:val="0096546E"/>
    <w:rsid w:val="00965546"/>
    <w:rsid w:val="00965549"/>
    <w:rsid w:val="00965943"/>
    <w:rsid w:val="00965BC4"/>
    <w:rsid w:val="00965BCB"/>
    <w:rsid w:val="009662B7"/>
    <w:rsid w:val="00966348"/>
    <w:rsid w:val="0096636C"/>
    <w:rsid w:val="00966424"/>
    <w:rsid w:val="0096649E"/>
    <w:rsid w:val="0096654F"/>
    <w:rsid w:val="009665EB"/>
    <w:rsid w:val="0096662D"/>
    <w:rsid w:val="00966977"/>
    <w:rsid w:val="00966BA2"/>
    <w:rsid w:val="00966BB2"/>
    <w:rsid w:val="00967165"/>
    <w:rsid w:val="00967207"/>
    <w:rsid w:val="00967873"/>
    <w:rsid w:val="0096790A"/>
    <w:rsid w:val="00967AA4"/>
    <w:rsid w:val="00967B21"/>
    <w:rsid w:val="00967B25"/>
    <w:rsid w:val="00967B8C"/>
    <w:rsid w:val="00967BA8"/>
    <w:rsid w:val="00967F98"/>
    <w:rsid w:val="009700D0"/>
    <w:rsid w:val="009700F9"/>
    <w:rsid w:val="009702F7"/>
    <w:rsid w:val="0097047F"/>
    <w:rsid w:val="009704B6"/>
    <w:rsid w:val="00970668"/>
    <w:rsid w:val="0097069C"/>
    <w:rsid w:val="0097074A"/>
    <w:rsid w:val="00970B6B"/>
    <w:rsid w:val="00970B71"/>
    <w:rsid w:val="00970BA5"/>
    <w:rsid w:val="00970CFA"/>
    <w:rsid w:val="00970CFF"/>
    <w:rsid w:val="00971070"/>
    <w:rsid w:val="009710BA"/>
    <w:rsid w:val="0097142C"/>
    <w:rsid w:val="00971469"/>
    <w:rsid w:val="009717B8"/>
    <w:rsid w:val="009717E9"/>
    <w:rsid w:val="00971AE2"/>
    <w:rsid w:val="00971BCC"/>
    <w:rsid w:val="00971EE7"/>
    <w:rsid w:val="00971F05"/>
    <w:rsid w:val="009721AC"/>
    <w:rsid w:val="0097228C"/>
    <w:rsid w:val="0097235C"/>
    <w:rsid w:val="00972372"/>
    <w:rsid w:val="009724F7"/>
    <w:rsid w:val="009725DB"/>
    <w:rsid w:val="009726D9"/>
    <w:rsid w:val="00972785"/>
    <w:rsid w:val="00972A68"/>
    <w:rsid w:val="00972B2E"/>
    <w:rsid w:val="00972C42"/>
    <w:rsid w:val="00972E83"/>
    <w:rsid w:val="00972F7E"/>
    <w:rsid w:val="0097312F"/>
    <w:rsid w:val="0097313C"/>
    <w:rsid w:val="009732A0"/>
    <w:rsid w:val="009732BA"/>
    <w:rsid w:val="00973466"/>
    <w:rsid w:val="009734BF"/>
    <w:rsid w:val="00973A3E"/>
    <w:rsid w:val="00973A4A"/>
    <w:rsid w:val="00973BF6"/>
    <w:rsid w:val="00973CB4"/>
    <w:rsid w:val="009741B2"/>
    <w:rsid w:val="00974427"/>
    <w:rsid w:val="009744A2"/>
    <w:rsid w:val="009744AE"/>
    <w:rsid w:val="0097456E"/>
    <w:rsid w:val="0097457C"/>
    <w:rsid w:val="0097483B"/>
    <w:rsid w:val="0097486E"/>
    <w:rsid w:val="00974A06"/>
    <w:rsid w:val="00974A3C"/>
    <w:rsid w:val="00974AF2"/>
    <w:rsid w:val="00974BF7"/>
    <w:rsid w:val="00974BF9"/>
    <w:rsid w:val="00974C10"/>
    <w:rsid w:val="00974C2E"/>
    <w:rsid w:val="00974D4F"/>
    <w:rsid w:val="00974E70"/>
    <w:rsid w:val="0097523C"/>
    <w:rsid w:val="00975651"/>
    <w:rsid w:val="0097570E"/>
    <w:rsid w:val="009757CC"/>
    <w:rsid w:val="0097592B"/>
    <w:rsid w:val="009759A2"/>
    <w:rsid w:val="00975C68"/>
    <w:rsid w:val="00975CC2"/>
    <w:rsid w:val="00975E1C"/>
    <w:rsid w:val="00976086"/>
    <w:rsid w:val="0097615C"/>
    <w:rsid w:val="009761EF"/>
    <w:rsid w:val="009762FE"/>
    <w:rsid w:val="009765C6"/>
    <w:rsid w:val="009767DD"/>
    <w:rsid w:val="00976D20"/>
    <w:rsid w:val="00976D58"/>
    <w:rsid w:val="00976F20"/>
    <w:rsid w:val="00976F99"/>
    <w:rsid w:val="009770B1"/>
    <w:rsid w:val="00977182"/>
    <w:rsid w:val="00977234"/>
    <w:rsid w:val="00977525"/>
    <w:rsid w:val="0097752E"/>
    <w:rsid w:val="009776E6"/>
    <w:rsid w:val="0097794F"/>
    <w:rsid w:val="00977A09"/>
    <w:rsid w:val="00977AC2"/>
    <w:rsid w:val="00977B26"/>
    <w:rsid w:val="00977ECA"/>
    <w:rsid w:val="0098003F"/>
    <w:rsid w:val="00980094"/>
    <w:rsid w:val="009803E1"/>
    <w:rsid w:val="0098078C"/>
    <w:rsid w:val="0098081A"/>
    <w:rsid w:val="009808D5"/>
    <w:rsid w:val="00980935"/>
    <w:rsid w:val="00980AA6"/>
    <w:rsid w:val="00980B83"/>
    <w:rsid w:val="009811D1"/>
    <w:rsid w:val="009816D7"/>
    <w:rsid w:val="0098177B"/>
    <w:rsid w:val="00981B2C"/>
    <w:rsid w:val="00981F8A"/>
    <w:rsid w:val="00981FC2"/>
    <w:rsid w:val="00982033"/>
    <w:rsid w:val="009821A9"/>
    <w:rsid w:val="009822EB"/>
    <w:rsid w:val="009824C8"/>
    <w:rsid w:val="00982A31"/>
    <w:rsid w:val="00983312"/>
    <w:rsid w:val="00983464"/>
    <w:rsid w:val="0098349F"/>
    <w:rsid w:val="00983641"/>
    <w:rsid w:val="009838DB"/>
    <w:rsid w:val="0098394D"/>
    <w:rsid w:val="00983C77"/>
    <w:rsid w:val="00983D29"/>
    <w:rsid w:val="00984316"/>
    <w:rsid w:val="00984346"/>
    <w:rsid w:val="00984390"/>
    <w:rsid w:val="00984919"/>
    <w:rsid w:val="00984AFF"/>
    <w:rsid w:val="0098517C"/>
    <w:rsid w:val="00985208"/>
    <w:rsid w:val="00985282"/>
    <w:rsid w:val="009855F6"/>
    <w:rsid w:val="009857C6"/>
    <w:rsid w:val="009858AB"/>
    <w:rsid w:val="00985AC0"/>
    <w:rsid w:val="00985B25"/>
    <w:rsid w:val="00985D0F"/>
    <w:rsid w:val="00985EF4"/>
    <w:rsid w:val="00985F13"/>
    <w:rsid w:val="00985FEE"/>
    <w:rsid w:val="009862B8"/>
    <w:rsid w:val="00986343"/>
    <w:rsid w:val="00986381"/>
    <w:rsid w:val="009864FC"/>
    <w:rsid w:val="00986586"/>
    <w:rsid w:val="00986959"/>
    <w:rsid w:val="00986AB6"/>
    <w:rsid w:val="00986B74"/>
    <w:rsid w:val="00986E47"/>
    <w:rsid w:val="00986FCA"/>
    <w:rsid w:val="00987064"/>
    <w:rsid w:val="0098717A"/>
    <w:rsid w:val="0098717C"/>
    <w:rsid w:val="0098726E"/>
    <w:rsid w:val="0098743D"/>
    <w:rsid w:val="009874EA"/>
    <w:rsid w:val="0098750D"/>
    <w:rsid w:val="009875EA"/>
    <w:rsid w:val="009875FF"/>
    <w:rsid w:val="00987803"/>
    <w:rsid w:val="00987927"/>
    <w:rsid w:val="00987DD4"/>
    <w:rsid w:val="00987E93"/>
    <w:rsid w:val="00987F01"/>
    <w:rsid w:val="00987F41"/>
    <w:rsid w:val="009905F8"/>
    <w:rsid w:val="009906A4"/>
    <w:rsid w:val="00990AE6"/>
    <w:rsid w:val="00990C4A"/>
    <w:rsid w:val="00990CB4"/>
    <w:rsid w:val="00990CB6"/>
    <w:rsid w:val="00990ED0"/>
    <w:rsid w:val="00990F28"/>
    <w:rsid w:val="00990FE1"/>
    <w:rsid w:val="0099109E"/>
    <w:rsid w:val="009912A2"/>
    <w:rsid w:val="0099134F"/>
    <w:rsid w:val="009914B7"/>
    <w:rsid w:val="009916E7"/>
    <w:rsid w:val="0099170C"/>
    <w:rsid w:val="00991768"/>
    <w:rsid w:val="0099176B"/>
    <w:rsid w:val="009917ED"/>
    <w:rsid w:val="00991B55"/>
    <w:rsid w:val="00991C11"/>
    <w:rsid w:val="00991FBC"/>
    <w:rsid w:val="009920CA"/>
    <w:rsid w:val="0099223E"/>
    <w:rsid w:val="009923E5"/>
    <w:rsid w:val="00992557"/>
    <w:rsid w:val="009925BD"/>
    <w:rsid w:val="00992805"/>
    <w:rsid w:val="00992B9A"/>
    <w:rsid w:val="00992C61"/>
    <w:rsid w:val="00992CF7"/>
    <w:rsid w:val="00992DAF"/>
    <w:rsid w:val="009931FB"/>
    <w:rsid w:val="009938F6"/>
    <w:rsid w:val="00993EE0"/>
    <w:rsid w:val="00993F62"/>
    <w:rsid w:val="0099415B"/>
    <w:rsid w:val="00994218"/>
    <w:rsid w:val="0099421D"/>
    <w:rsid w:val="0099438A"/>
    <w:rsid w:val="009944A5"/>
    <w:rsid w:val="00994580"/>
    <w:rsid w:val="00994605"/>
    <w:rsid w:val="009946C8"/>
    <w:rsid w:val="009947F3"/>
    <w:rsid w:val="00994A91"/>
    <w:rsid w:val="00994E55"/>
    <w:rsid w:val="00994F47"/>
    <w:rsid w:val="00994F7B"/>
    <w:rsid w:val="0099520E"/>
    <w:rsid w:val="00995284"/>
    <w:rsid w:val="009952E7"/>
    <w:rsid w:val="00995457"/>
    <w:rsid w:val="00995728"/>
    <w:rsid w:val="009957BA"/>
    <w:rsid w:val="00995935"/>
    <w:rsid w:val="00995954"/>
    <w:rsid w:val="00995A2D"/>
    <w:rsid w:val="00995B6A"/>
    <w:rsid w:val="00995CB4"/>
    <w:rsid w:val="00995D84"/>
    <w:rsid w:val="00995F18"/>
    <w:rsid w:val="00996012"/>
    <w:rsid w:val="00996AF2"/>
    <w:rsid w:val="00996BB3"/>
    <w:rsid w:val="00996BC9"/>
    <w:rsid w:val="00996ECB"/>
    <w:rsid w:val="00997108"/>
    <w:rsid w:val="0099727F"/>
    <w:rsid w:val="0099734E"/>
    <w:rsid w:val="00997508"/>
    <w:rsid w:val="00997609"/>
    <w:rsid w:val="00997B61"/>
    <w:rsid w:val="00997C74"/>
    <w:rsid w:val="00997DA7"/>
    <w:rsid w:val="00997EC3"/>
    <w:rsid w:val="00997FA9"/>
    <w:rsid w:val="009A03CA"/>
    <w:rsid w:val="009A08C0"/>
    <w:rsid w:val="009A1244"/>
    <w:rsid w:val="009A13FC"/>
    <w:rsid w:val="009A158E"/>
    <w:rsid w:val="009A17B9"/>
    <w:rsid w:val="009A1B0D"/>
    <w:rsid w:val="009A1C3B"/>
    <w:rsid w:val="009A1C9C"/>
    <w:rsid w:val="009A1E00"/>
    <w:rsid w:val="009A1E45"/>
    <w:rsid w:val="009A1FD4"/>
    <w:rsid w:val="009A2059"/>
    <w:rsid w:val="009A20FF"/>
    <w:rsid w:val="009A2160"/>
    <w:rsid w:val="009A2765"/>
    <w:rsid w:val="009A28F3"/>
    <w:rsid w:val="009A29A4"/>
    <w:rsid w:val="009A29C0"/>
    <w:rsid w:val="009A2A95"/>
    <w:rsid w:val="009A2AD4"/>
    <w:rsid w:val="009A2C1B"/>
    <w:rsid w:val="009A2ED2"/>
    <w:rsid w:val="009A2F8F"/>
    <w:rsid w:val="009A31A7"/>
    <w:rsid w:val="009A34B9"/>
    <w:rsid w:val="009A34FC"/>
    <w:rsid w:val="009A3562"/>
    <w:rsid w:val="009A36E6"/>
    <w:rsid w:val="009A3A3B"/>
    <w:rsid w:val="009A3ABF"/>
    <w:rsid w:val="009A3BEC"/>
    <w:rsid w:val="009A3CBD"/>
    <w:rsid w:val="009A3CE3"/>
    <w:rsid w:val="009A40EF"/>
    <w:rsid w:val="009A41F4"/>
    <w:rsid w:val="009A45A0"/>
    <w:rsid w:val="009A4847"/>
    <w:rsid w:val="009A4A90"/>
    <w:rsid w:val="009A4EB7"/>
    <w:rsid w:val="009A4EE7"/>
    <w:rsid w:val="009A4F18"/>
    <w:rsid w:val="009A5005"/>
    <w:rsid w:val="009A52D1"/>
    <w:rsid w:val="009A53E9"/>
    <w:rsid w:val="009A55CD"/>
    <w:rsid w:val="009A5677"/>
    <w:rsid w:val="009A5831"/>
    <w:rsid w:val="009A5AFF"/>
    <w:rsid w:val="009A5C7B"/>
    <w:rsid w:val="009A5D79"/>
    <w:rsid w:val="009A60EC"/>
    <w:rsid w:val="009A6136"/>
    <w:rsid w:val="009A62F4"/>
    <w:rsid w:val="009A658B"/>
    <w:rsid w:val="009A66F3"/>
    <w:rsid w:val="009A695F"/>
    <w:rsid w:val="009A69A1"/>
    <w:rsid w:val="009A6B00"/>
    <w:rsid w:val="009A6BA7"/>
    <w:rsid w:val="009A6BB7"/>
    <w:rsid w:val="009A70F3"/>
    <w:rsid w:val="009A714E"/>
    <w:rsid w:val="009A7284"/>
    <w:rsid w:val="009A7448"/>
    <w:rsid w:val="009A74DC"/>
    <w:rsid w:val="009A765D"/>
    <w:rsid w:val="009A76B4"/>
    <w:rsid w:val="009A7835"/>
    <w:rsid w:val="009A7E94"/>
    <w:rsid w:val="009B01AF"/>
    <w:rsid w:val="009B05D7"/>
    <w:rsid w:val="009B089A"/>
    <w:rsid w:val="009B0985"/>
    <w:rsid w:val="009B0A44"/>
    <w:rsid w:val="009B0CF2"/>
    <w:rsid w:val="009B0F9C"/>
    <w:rsid w:val="009B1055"/>
    <w:rsid w:val="009B122E"/>
    <w:rsid w:val="009B1684"/>
    <w:rsid w:val="009B16C2"/>
    <w:rsid w:val="009B1767"/>
    <w:rsid w:val="009B18C0"/>
    <w:rsid w:val="009B1B33"/>
    <w:rsid w:val="009B1C0D"/>
    <w:rsid w:val="009B1E40"/>
    <w:rsid w:val="009B21DB"/>
    <w:rsid w:val="009B262C"/>
    <w:rsid w:val="009B2828"/>
    <w:rsid w:val="009B29C2"/>
    <w:rsid w:val="009B2C15"/>
    <w:rsid w:val="009B2D9A"/>
    <w:rsid w:val="009B2F02"/>
    <w:rsid w:val="009B30CA"/>
    <w:rsid w:val="009B3213"/>
    <w:rsid w:val="009B324C"/>
    <w:rsid w:val="009B371C"/>
    <w:rsid w:val="009B3B30"/>
    <w:rsid w:val="009B3CC7"/>
    <w:rsid w:val="009B3EB8"/>
    <w:rsid w:val="009B3FE5"/>
    <w:rsid w:val="009B4862"/>
    <w:rsid w:val="009B4BF9"/>
    <w:rsid w:val="009B4C17"/>
    <w:rsid w:val="009B4D84"/>
    <w:rsid w:val="009B4E0F"/>
    <w:rsid w:val="009B50DC"/>
    <w:rsid w:val="009B51C0"/>
    <w:rsid w:val="009B5412"/>
    <w:rsid w:val="009B5570"/>
    <w:rsid w:val="009B5585"/>
    <w:rsid w:val="009B55C0"/>
    <w:rsid w:val="009B5663"/>
    <w:rsid w:val="009B58BF"/>
    <w:rsid w:val="009B5C56"/>
    <w:rsid w:val="009B5DD1"/>
    <w:rsid w:val="009B600A"/>
    <w:rsid w:val="009B60EB"/>
    <w:rsid w:val="009B62B7"/>
    <w:rsid w:val="009B63FF"/>
    <w:rsid w:val="009B696C"/>
    <w:rsid w:val="009B6AAB"/>
    <w:rsid w:val="009B6CFB"/>
    <w:rsid w:val="009B6EC1"/>
    <w:rsid w:val="009B6EDE"/>
    <w:rsid w:val="009B7017"/>
    <w:rsid w:val="009B7081"/>
    <w:rsid w:val="009B71D5"/>
    <w:rsid w:val="009B7423"/>
    <w:rsid w:val="009B74F1"/>
    <w:rsid w:val="009B7552"/>
    <w:rsid w:val="009B7630"/>
    <w:rsid w:val="009B7A19"/>
    <w:rsid w:val="009B7DBD"/>
    <w:rsid w:val="009B7DD2"/>
    <w:rsid w:val="009C005B"/>
    <w:rsid w:val="009C00C4"/>
    <w:rsid w:val="009C00F1"/>
    <w:rsid w:val="009C0143"/>
    <w:rsid w:val="009C02E0"/>
    <w:rsid w:val="009C0471"/>
    <w:rsid w:val="009C0487"/>
    <w:rsid w:val="009C05ED"/>
    <w:rsid w:val="009C0663"/>
    <w:rsid w:val="009C0676"/>
    <w:rsid w:val="009C0741"/>
    <w:rsid w:val="009C087C"/>
    <w:rsid w:val="009C0A01"/>
    <w:rsid w:val="009C0AC0"/>
    <w:rsid w:val="009C0CFD"/>
    <w:rsid w:val="009C0D21"/>
    <w:rsid w:val="009C0D28"/>
    <w:rsid w:val="009C0E5D"/>
    <w:rsid w:val="009C0E76"/>
    <w:rsid w:val="009C11C0"/>
    <w:rsid w:val="009C1237"/>
    <w:rsid w:val="009C13E4"/>
    <w:rsid w:val="009C1420"/>
    <w:rsid w:val="009C1489"/>
    <w:rsid w:val="009C1639"/>
    <w:rsid w:val="009C16BF"/>
    <w:rsid w:val="009C16E6"/>
    <w:rsid w:val="009C1759"/>
    <w:rsid w:val="009C19FF"/>
    <w:rsid w:val="009C1EE8"/>
    <w:rsid w:val="009C1F63"/>
    <w:rsid w:val="009C2086"/>
    <w:rsid w:val="009C23BD"/>
    <w:rsid w:val="009C26A0"/>
    <w:rsid w:val="009C2740"/>
    <w:rsid w:val="009C2765"/>
    <w:rsid w:val="009C2787"/>
    <w:rsid w:val="009C284D"/>
    <w:rsid w:val="009C2C09"/>
    <w:rsid w:val="009C2C22"/>
    <w:rsid w:val="009C2CF8"/>
    <w:rsid w:val="009C2CFF"/>
    <w:rsid w:val="009C2FF9"/>
    <w:rsid w:val="009C3021"/>
    <w:rsid w:val="009C3027"/>
    <w:rsid w:val="009C31C5"/>
    <w:rsid w:val="009C33F5"/>
    <w:rsid w:val="009C34A7"/>
    <w:rsid w:val="009C34A9"/>
    <w:rsid w:val="009C36EA"/>
    <w:rsid w:val="009C3A3E"/>
    <w:rsid w:val="009C3A9B"/>
    <w:rsid w:val="009C3AE8"/>
    <w:rsid w:val="009C3CA2"/>
    <w:rsid w:val="009C3CEA"/>
    <w:rsid w:val="009C3F7A"/>
    <w:rsid w:val="009C40EF"/>
    <w:rsid w:val="009C4168"/>
    <w:rsid w:val="009C418D"/>
    <w:rsid w:val="009C41E8"/>
    <w:rsid w:val="009C4237"/>
    <w:rsid w:val="009C462C"/>
    <w:rsid w:val="009C4D89"/>
    <w:rsid w:val="009C4DF7"/>
    <w:rsid w:val="009C5023"/>
    <w:rsid w:val="009C508E"/>
    <w:rsid w:val="009C50C0"/>
    <w:rsid w:val="009C5353"/>
    <w:rsid w:val="009C536C"/>
    <w:rsid w:val="009C5422"/>
    <w:rsid w:val="009C5909"/>
    <w:rsid w:val="009C5929"/>
    <w:rsid w:val="009C59C9"/>
    <w:rsid w:val="009C59D4"/>
    <w:rsid w:val="009C5BC5"/>
    <w:rsid w:val="009C5BFD"/>
    <w:rsid w:val="009C5C13"/>
    <w:rsid w:val="009C5D8B"/>
    <w:rsid w:val="009C5E67"/>
    <w:rsid w:val="009C601E"/>
    <w:rsid w:val="009C60A9"/>
    <w:rsid w:val="009C60E1"/>
    <w:rsid w:val="009C66BE"/>
    <w:rsid w:val="009C69BC"/>
    <w:rsid w:val="009C6A14"/>
    <w:rsid w:val="009C6A68"/>
    <w:rsid w:val="009C6C6D"/>
    <w:rsid w:val="009C6CD0"/>
    <w:rsid w:val="009C6E24"/>
    <w:rsid w:val="009C6EF9"/>
    <w:rsid w:val="009C6F95"/>
    <w:rsid w:val="009C7216"/>
    <w:rsid w:val="009C723A"/>
    <w:rsid w:val="009C728F"/>
    <w:rsid w:val="009C740E"/>
    <w:rsid w:val="009C7492"/>
    <w:rsid w:val="009C75B8"/>
    <w:rsid w:val="009C7659"/>
    <w:rsid w:val="009C77D6"/>
    <w:rsid w:val="009C7AA2"/>
    <w:rsid w:val="009C7B81"/>
    <w:rsid w:val="009C7D30"/>
    <w:rsid w:val="009D0240"/>
    <w:rsid w:val="009D04E7"/>
    <w:rsid w:val="009D057B"/>
    <w:rsid w:val="009D0790"/>
    <w:rsid w:val="009D0835"/>
    <w:rsid w:val="009D0883"/>
    <w:rsid w:val="009D0A45"/>
    <w:rsid w:val="009D0C08"/>
    <w:rsid w:val="009D0D97"/>
    <w:rsid w:val="009D1064"/>
    <w:rsid w:val="009D1070"/>
    <w:rsid w:val="009D1084"/>
    <w:rsid w:val="009D1740"/>
    <w:rsid w:val="009D180D"/>
    <w:rsid w:val="009D1A39"/>
    <w:rsid w:val="009D1A86"/>
    <w:rsid w:val="009D1B93"/>
    <w:rsid w:val="009D1BB7"/>
    <w:rsid w:val="009D1DCA"/>
    <w:rsid w:val="009D1F76"/>
    <w:rsid w:val="009D206A"/>
    <w:rsid w:val="009D2102"/>
    <w:rsid w:val="009D241B"/>
    <w:rsid w:val="009D2472"/>
    <w:rsid w:val="009D24CC"/>
    <w:rsid w:val="009D25A3"/>
    <w:rsid w:val="009D2614"/>
    <w:rsid w:val="009D2898"/>
    <w:rsid w:val="009D2914"/>
    <w:rsid w:val="009D2BB8"/>
    <w:rsid w:val="009D2C33"/>
    <w:rsid w:val="009D2EDE"/>
    <w:rsid w:val="009D2F51"/>
    <w:rsid w:val="009D2F95"/>
    <w:rsid w:val="009D313A"/>
    <w:rsid w:val="009D316F"/>
    <w:rsid w:val="009D32FD"/>
    <w:rsid w:val="009D337F"/>
    <w:rsid w:val="009D360C"/>
    <w:rsid w:val="009D3913"/>
    <w:rsid w:val="009D39E0"/>
    <w:rsid w:val="009D3A05"/>
    <w:rsid w:val="009D3CAF"/>
    <w:rsid w:val="009D3DD8"/>
    <w:rsid w:val="009D4120"/>
    <w:rsid w:val="009D416F"/>
    <w:rsid w:val="009D41D7"/>
    <w:rsid w:val="009D4249"/>
    <w:rsid w:val="009D436B"/>
    <w:rsid w:val="009D4518"/>
    <w:rsid w:val="009D495C"/>
    <w:rsid w:val="009D4AEE"/>
    <w:rsid w:val="009D4EE3"/>
    <w:rsid w:val="009D4F02"/>
    <w:rsid w:val="009D51C5"/>
    <w:rsid w:val="009D5394"/>
    <w:rsid w:val="009D53AD"/>
    <w:rsid w:val="009D5586"/>
    <w:rsid w:val="009D58F3"/>
    <w:rsid w:val="009D5920"/>
    <w:rsid w:val="009D5C26"/>
    <w:rsid w:val="009D5CD6"/>
    <w:rsid w:val="009D5D10"/>
    <w:rsid w:val="009D5D22"/>
    <w:rsid w:val="009D6045"/>
    <w:rsid w:val="009D62E6"/>
    <w:rsid w:val="009D6420"/>
    <w:rsid w:val="009D6425"/>
    <w:rsid w:val="009D66AA"/>
    <w:rsid w:val="009D66E0"/>
    <w:rsid w:val="009D6903"/>
    <w:rsid w:val="009D6B7B"/>
    <w:rsid w:val="009D714D"/>
    <w:rsid w:val="009D72F5"/>
    <w:rsid w:val="009D7542"/>
    <w:rsid w:val="009D7790"/>
    <w:rsid w:val="009D77BF"/>
    <w:rsid w:val="009D7AE5"/>
    <w:rsid w:val="009D7E68"/>
    <w:rsid w:val="009D7EF9"/>
    <w:rsid w:val="009D7FA3"/>
    <w:rsid w:val="009D7FD0"/>
    <w:rsid w:val="009E01D1"/>
    <w:rsid w:val="009E01FF"/>
    <w:rsid w:val="009E026F"/>
    <w:rsid w:val="009E02A7"/>
    <w:rsid w:val="009E02AB"/>
    <w:rsid w:val="009E04A2"/>
    <w:rsid w:val="009E04D6"/>
    <w:rsid w:val="009E057B"/>
    <w:rsid w:val="009E05A4"/>
    <w:rsid w:val="009E0775"/>
    <w:rsid w:val="009E07B0"/>
    <w:rsid w:val="009E0885"/>
    <w:rsid w:val="009E08FA"/>
    <w:rsid w:val="009E0954"/>
    <w:rsid w:val="009E0B28"/>
    <w:rsid w:val="009E0B58"/>
    <w:rsid w:val="009E0B6A"/>
    <w:rsid w:val="009E0C1B"/>
    <w:rsid w:val="009E0E2A"/>
    <w:rsid w:val="009E0FD1"/>
    <w:rsid w:val="009E1092"/>
    <w:rsid w:val="009E16AA"/>
    <w:rsid w:val="009E17AA"/>
    <w:rsid w:val="009E1809"/>
    <w:rsid w:val="009E1947"/>
    <w:rsid w:val="009E1974"/>
    <w:rsid w:val="009E1A60"/>
    <w:rsid w:val="009E1B20"/>
    <w:rsid w:val="009E1E57"/>
    <w:rsid w:val="009E215A"/>
    <w:rsid w:val="009E21B7"/>
    <w:rsid w:val="009E2462"/>
    <w:rsid w:val="009E25F0"/>
    <w:rsid w:val="009E2638"/>
    <w:rsid w:val="009E267C"/>
    <w:rsid w:val="009E2852"/>
    <w:rsid w:val="009E2A72"/>
    <w:rsid w:val="009E2CEE"/>
    <w:rsid w:val="009E32D1"/>
    <w:rsid w:val="009E3411"/>
    <w:rsid w:val="009E3435"/>
    <w:rsid w:val="009E383A"/>
    <w:rsid w:val="009E39AE"/>
    <w:rsid w:val="009E3AAF"/>
    <w:rsid w:val="009E3F1C"/>
    <w:rsid w:val="009E3F75"/>
    <w:rsid w:val="009E3F94"/>
    <w:rsid w:val="009E3FF6"/>
    <w:rsid w:val="009E410E"/>
    <w:rsid w:val="009E43BB"/>
    <w:rsid w:val="009E4552"/>
    <w:rsid w:val="009E4958"/>
    <w:rsid w:val="009E4AA4"/>
    <w:rsid w:val="009E4B11"/>
    <w:rsid w:val="009E508A"/>
    <w:rsid w:val="009E57E8"/>
    <w:rsid w:val="009E5BB9"/>
    <w:rsid w:val="009E5E20"/>
    <w:rsid w:val="009E5E2C"/>
    <w:rsid w:val="009E5F2D"/>
    <w:rsid w:val="009E5F71"/>
    <w:rsid w:val="009E5FC0"/>
    <w:rsid w:val="009E60C5"/>
    <w:rsid w:val="009E6245"/>
    <w:rsid w:val="009E6444"/>
    <w:rsid w:val="009E65A1"/>
    <w:rsid w:val="009E6A96"/>
    <w:rsid w:val="009E70AD"/>
    <w:rsid w:val="009E726F"/>
    <w:rsid w:val="009E736C"/>
    <w:rsid w:val="009E73AB"/>
    <w:rsid w:val="009E73FC"/>
    <w:rsid w:val="009E7416"/>
    <w:rsid w:val="009E75C5"/>
    <w:rsid w:val="009E7A74"/>
    <w:rsid w:val="009E7BAA"/>
    <w:rsid w:val="009E7EBB"/>
    <w:rsid w:val="009E7FF5"/>
    <w:rsid w:val="009F00EE"/>
    <w:rsid w:val="009F01A3"/>
    <w:rsid w:val="009F02CA"/>
    <w:rsid w:val="009F0529"/>
    <w:rsid w:val="009F05C8"/>
    <w:rsid w:val="009F0631"/>
    <w:rsid w:val="009F0825"/>
    <w:rsid w:val="009F0AB2"/>
    <w:rsid w:val="009F0AFE"/>
    <w:rsid w:val="009F0EC3"/>
    <w:rsid w:val="009F0EF3"/>
    <w:rsid w:val="009F0F23"/>
    <w:rsid w:val="009F0F3B"/>
    <w:rsid w:val="009F1791"/>
    <w:rsid w:val="009F18A0"/>
    <w:rsid w:val="009F19F3"/>
    <w:rsid w:val="009F1A57"/>
    <w:rsid w:val="009F1B97"/>
    <w:rsid w:val="009F1BB9"/>
    <w:rsid w:val="009F1CA9"/>
    <w:rsid w:val="009F2340"/>
    <w:rsid w:val="009F2386"/>
    <w:rsid w:val="009F253A"/>
    <w:rsid w:val="009F25C0"/>
    <w:rsid w:val="009F29B7"/>
    <w:rsid w:val="009F2C2E"/>
    <w:rsid w:val="009F2D5E"/>
    <w:rsid w:val="009F2EA1"/>
    <w:rsid w:val="009F31C5"/>
    <w:rsid w:val="009F3287"/>
    <w:rsid w:val="009F3393"/>
    <w:rsid w:val="009F3468"/>
    <w:rsid w:val="009F34EB"/>
    <w:rsid w:val="009F38EA"/>
    <w:rsid w:val="009F3BB3"/>
    <w:rsid w:val="009F3E79"/>
    <w:rsid w:val="009F3F27"/>
    <w:rsid w:val="009F42E0"/>
    <w:rsid w:val="009F464A"/>
    <w:rsid w:val="009F4700"/>
    <w:rsid w:val="009F4754"/>
    <w:rsid w:val="009F4933"/>
    <w:rsid w:val="009F4986"/>
    <w:rsid w:val="009F4B9C"/>
    <w:rsid w:val="009F4C53"/>
    <w:rsid w:val="009F4DE1"/>
    <w:rsid w:val="009F4EC0"/>
    <w:rsid w:val="009F501F"/>
    <w:rsid w:val="009F5333"/>
    <w:rsid w:val="009F5598"/>
    <w:rsid w:val="009F575B"/>
    <w:rsid w:val="009F59C6"/>
    <w:rsid w:val="009F60D8"/>
    <w:rsid w:val="009F62D1"/>
    <w:rsid w:val="009F64E4"/>
    <w:rsid w:val="009F664E"/>
    <w:rsid w:val="009F67B9"/>
    <w:rsid w:val="009F680F"/>
    <w:rsid w:val="009F6A64"/>
    <w:rsid w:val="009F6F3C"/>
    <w:rsid w:val="009F6FBC"/>
    <w:rsid w:val="009F72AF"/>
    <w:rsid w:val="009F7418"/>
    <w:rsid w:val="009F756A"/>
    <w:rsid w:val="009F76B7"/>
    <w:rsid w:val="009F787B"/>
    <w:rsid w:val="009F7B76"/>
    <w:rsid w:val="009F7C8F"/>
    <w:rsid w:val="009F7F4C"/>
    <w:rsid w:val="00A0001A"/>
    <w:rsid w:val="00A0058C"/>
    <w:rsid w:val="00A00623"/>
    <w:rsid w:val="00A00670"/>
    <w:rsid w:val="00A0083F"/>
    <w:rsid w:val="00A00B4C"/>
    <w:rsid w:val="00A00D04"/>
    <w:rsid w:val="00A00D8D"/>
    <w:rsid w:val="00A012EA"/>
    <w:rsid w:val="00A012EF"/>
    <w:rsid w:val="00A0148C"/>
    <w:rsid w:val="00A014F0"/>
    <w:rsid w:val="00A01A53"/>
    <w:rsid w:val="00A01CF0"/>
    <w:rsid w:val="00A02033"/>
    <w:rsid w:val="00A0268A"/>
    <w:rsid w:val="00A028FB"/>
    <w:rsid w:val="00A02B60"/>
    <w:rsid w:val="00A02BC8"/>
    <w:rsid w:val="00A02D25"/>
    <w:rsid w:val="00A02FF5"/>
    <w:rsid w:val="00A030E3"/>
    <w:rsid w:val="00A031AB"/>
    <w:rsid w:val="00A032D4"/>
    <w:rsid w:val="00A032DE"/>
    <w:rsid w:val="00A03356"/>
    <w:rsid w:val="00A03509"/>
    <w:rsid w:val="00A0378F"/>
    <w:rsid w:val="00A0389C"/>
    <w:rsid w:val="00A038AD"/>
    <w:rsid w:val="00A038D6"/>
    <w:rsid w:val="00A039BE"/>
    <w:rsid w:val="00A04053"/>
    <w:rsid w:val="00A04335"/>
    <w:rsid w:val="00A043F5"/>
    <w:rsid w:val="00A04452"/>
    <w:rsid w:val="00A04539"/>
    <w:rsid w:val="00A0460D"/>
    <w:rsid w:val="00A0463A"/>
    <w:rsid w:val="00A0494F"/>
    <w:rsid w:val="00A04AAE"/>
    <w:rsid w:val="00A04D76"/>
    <w:rsid w:val="00A04EDA"/>
    <w:rsid w:val="00A0502B"/>
    <w:rsid w:val="00A055AF"/>
    <w:rsid w:val="00A056CD"/>
    <w:rsid w:val="00A056FC"/>
    <w:rsid w:val="00A0576E"/>
    <w:rsid w:val="00A0578F"/>
    <w:rsid w:val="00A05B7B"/>
    <w:rsid w:val="00A062E5"/>
    <w:rsid w:val="00A06433"/>
    <w:rsid w:val="00A066AA"/>
    <w:rsid w:val="00A068FA"/>
    <w:rsid w:val="00A069F4"/>
    <w:rsid w:val="00A06A65"/>
    <w:rsid w:val="00A06F66"/>
    <w:rsid w:val="00A07131"/>
    <w:rsid w:val="00A071CD"/>
    <w:rsid w:val="00A07637"/>
    <w:rsid w:val="00A076B0"/>
    <w:rsid w:val="00A07771"/>
    <w:rsid w:val="00A07830"/>
    <w:rsid w:val="00A0790C"/>
    <w:rsid w:val="00A0793E"/>
    <w:rsid w:val="00A079DB"/>
    <w:rsid w:val="00A07B49"/>
    <w:rsid w:val="00A07B8A"/>
    <w:rsid w:val="00A07C0A"/>
    <w:rsid w:val="00A10039"/>
    <w:rsid w:val="00A10197"/>
    <w:rsid w:val="00A10245"/>
    <w:rsid w:val="00A10370"/>
    <w:rsid w:val="00A1047F"/>
    <w:rsid w:val="00A10564"/>
    <w:rsid w:val="00A10706"/>
    <w:rsid w:val="00A1074B"/>
    <w:rsid w:val="00A10A7A"/>
    <w:rsid w:val="00A10F71"/>
    <w:rsid w:val="00A1114D"/>
    <w:rsid w:val="00A11193"/>
    <w:rsid w:val="00A112DE"/>
    <w:rsid w:val="00A112FB"/>
    <w:rsid w:val="00A11397"/>
    <w:rsid w:val="00A113FF"/>
    <w:rsid w:val="00A1148F"/>
    <w:rsid w:val="00A114C8"/>
    <w:rsid w:val="00A1156B"/>
    <w:rsid w:val="00A11617"/>
    <w:rsid w:val="00A1184A"/>
    <w:rsid w:val="00A11981"/>
    <w:rsid w:val="00A11BA3"/>
    <w:rsid w:val="00A11DD1"/>
    <w:rsid w:val="00A11E94"/>
    <w:rsid w:val="00A11F46"/>
    <w:rsid w:val="00A11FAB"/>
    <w:rsid w:val="00A1218C"/>
    <w:rsid w:val="00A12232"/>
    <w:rsid w:val="00A126D7"/>
    <w:rsid w:val="00A126DE"/>
    <w:rsid w:val="00A12E77"/>
    <w:rsid w:val="00A1305A"/>
    <w:rsid w:val="00A131C3"/>
    <w:rsid w:val="00A13296"/>
    <w:rsid w:val="00A13303"/>
    <w:rsid w:val="00A1330D"/>
    <w:rsid w:val="00A13343"/>
    <w:rsid w:val="00A1353C"/>
    <w:rsid w:val="00A13A52"/>
    <w:rsid w:val="00A13B6F"/>
    <w:rsid w:val="00A142E4"/>
    <w:rsid w:val="00A145C5"/>
    <w:rsid w:val="00A1488B"/>
    <w:rsid w:val="00A148F0"/>
    <w:rsid w:val="00A14AB3"/>
    <w:rsid w:val="00A14BE3"/>
    <w:rsid w:val="00A14CF6"/>
    <w:rsid w:val="00A151BA"/>
    <w:rsid w:val="00A15484"/>
    <w:rsid w:val="00A154DB"/>
    <w:rsid w:val="00A1574E"/>
    <w:rsid w:val="00A15A58"/>
    <w:rsid w:val="00A15B3D"/>
    <w:rsid w:val="00A1634C"/>
    <w:rsid w:val="00A164B8"/>
    <w:rsid w:val="00A164FC"/>
    <w:rsid w:val="00A1671F"/>
    <w:rsid w:val="00A16744"/>
    <w:rsid w:val="00A16755"/>
    <w:rsid w:val="00A16ABA"/>
    <w:rsid w:val="00A16EBF"/>
    <w:rsid w:val="00A16FA9"/>
    <w:rsid w:val="00A1710F"/>
    <w:rsid w:val="00A171EE"/>
    <w:rsid w:val="00A17293"/>
    <w:rsid w:val="00A173A8"/>
    <w:rsid w:val="00A173DE"/>
    <w:rsid w:val="00A175A3"/>
    <w:rsid w:val="00A17994"/>
    <w:rsid w:val="00A17E44"/>
    <w:rsid w:val="00A201CC"/>
    <w:rsid w:val="00A20224"/>
    <w:rsid w:val="00A205F9"/>
    <w:rsid w:val="00A208D0"/>
    <w:rsid w:val="00A20921"/>
    <w:rsid w:val="00A20BE1"/>
    <w:rsid w:val="00A20C0C"/>
    <w:rsid w:val="00A20D0D"/>
    <w:rsid w:val="00A20DD3"/>
    <w:rsid w:val="00A21139"/>
    <w:rsid w:val="00A212BF"/>
    <w:rsid w:val="00A214B0"/>
    <w:rsid w:val="00A2159D"/>
    <w:rsid w:val="00A215F3"/>
    <w:rsid w:val="00A217DF"/>
    <w:rsid w:val="00A219E2"/>
    <w:rsid w:val="00A21A6C"/>
    <w:rsid w:val="00A21A7D"/>
    <w:rsid w:val="00A21C83"/>
    <w:rsid w:val="00A21D33"/>
    <w:rsid w:val="00A21E61"/>
    <w:rsid w:val="00A22158"/>
    <w:rsid w:val="00A222BE"/>
    <w:rsid w:val="00A224F6"/>
    <w:rsid w:val="00A225DC"/>
    <w:rsid w:val="00A2298F"/>
    <w:rsid w:val="00A22C27"/>
    <w:rsid w:val="00A22F6B"/>
    <w:rsid w:val="00A23159"/>
    <w:rsid w:val="00A231F0"/>
    <w:rsid w:val="00A23255"/>
    <w:rsid w:val="00A2329D"/>
    <w:rsid w:val="00A23487"/>
    <w:rsid w:val="00A234E9"/>
    <w:rsid w:val="00A23615"/>
    <w:rsid w:val="00A23619"/>
    <w:rsid w:val="00A238BA"/>
    <w:rsid w:val="00A2398E"/>
    <w:rsid w:val="00A23A18"/>
    <w:rsid w:val="00A23A92"/>
    <w:rsid w:val="00A23CC6"/>
    <w:rsid w:val="00A23E86"/>
    <w:rsid w:val="00A23FBD"/>
    <w:rsid w:val="00A241FF"/>
    <w:rsid w:val="00A24336"/>
    <w:rsid w:val="00A244DF"/>
    <w:rsid w:val="00A2488C"/>
    <w:rsid w:val="00A24BB4"/>
    <w:rsid w:val="00A24D50"/>
    <w:rsid w:val="00A24EFF"/>
    <w:rsid w:val="00A25050"/>
    <w:rsid w:val="00A2519A"/>
    <w:rsid w:val="00A25233"/>
    <w:rsid w:val="00A25736"/>
    <w:rsid w:val="00A257C9"/>
    <w:rsid w:val="00A25899"/>
    <w:rsid w:val="00A2589C"/>
    <w:rsid w:val="00A25F62"/>
    <w:rsid w:val="00A25FFF"/>
    <w:rsid w:val="00A260B3"/>
    <w:rsid w:val="00A2623B"/>
    <w:rsid w:val="00A26282"/>
    <w:rsid w:val="00A262AC"/>
    <w:rsid w:val="00A2636E"/>
    <w:rsid w:val="00A26687"/>
    <w:rsid w:val="00A266BF"/>
    <w:rsid w:val="00A26A14"/>
    <w:rsid w:val="00A26AB3"/>
    <w:rsid w:val="00A26CA7"/>
    <w:rsid w:val="00A26E73"/>
    <w:rsid w:val="00A27543"/>
    <w:rsid w:val="00A27860"/>
    <w:rsid w:val="00A27A6B"/>
    <w:rsid w:val="00A27BED"/>
    <w:rsid w:val="00A30209"/>
    <w:rsid w:val="00A302B4"/>
    <w:rsid w:val="00A30451"/>
    <w:rsid w:val="00A305CA"/>
    <w:rsid w:val="00A30602"/>
    <w:rsid w:val="00A3061B"/>
    <w:rsid w:val="00A30944"/>
    <w:rsid w:val="00A3099F"/>
    <w:rsid w:val="00A30C15"/>
    <w:rsid w:val="00A31062"/>
    <w:rsid w:val="00A31087"/>
    <w:rsid w:val="00A311AC"/>
    <w:rsid w:val="00A311AE"/>
    <w:rsid w:val="00A3121B"/>
    <w:rsid w:val="00A3164C"/>
    <w:rsid w:val="00A31A2C"/>
    <w:rsid w:val="00A31A3F"/>
    <w:rsid w:val="00A31A44"/>
    <w:rsid w:val="00A31AA6"/>
    <w:rsid w:val="00A31D39"/>
    <w:rsid w:val="00A31E9A"/>
    <w:rsid w:val="00A322FE"/>
    <w:rsid w:val="00A3233E"/>
    <w:rsid w:val="00A323F4"/>
    <w:rsid w:val="00A3286F"/>
    <w:rsid w:val="00A32C93"/>
    <w:rsid w:val="00A32CA6"/>
    <w:rsid w:val="00A33244"/>
    <w:rsid w:val="00A332E6"/>
    <w:rsid w:val="00A3334E"/>
    <w:rsid w:val="00A3335E"/>
    <w:rsid w:val="00A33440"/>
    <w:rsid w:val="00A33570"/>
    <w:rsid w:val="00A3359E"/>
    <w:rsid w:val="00A3394A"/>
    <w:rsid w:val="00A33B29"/>
    <w:rsid w:val="00A33C62"/>
    <w:rsid w:val="00A33CAC"/>
    <w:rsid w:val="00A33CEC"/>
    <w:rsid w:val="00A33E48"/>
    <w:rsid w:val="00A33EA2"/>
    <w:rsid w:val="00A33EBD"/>
    <w:rsid w:val="00A33EDA"/>
    <w:rsid w:val="00A34145"/>
    <w:rsid w:val="00A3438B"/>
    <w:rsid w:val="00A34418"/>
    <w:rsid w:val="00A34688"/>
    <w:rsid w:val="00A346D3"/>
    <w:rsid w:val="00A348F5"/>
    <w:rsid w:val="00A349CC"/>
    <w:rsid w:val="00A34A1A"/>
    <w:rsid w:val="00A34A23"/>
    <w:rsid w:val="00A34C15"/>
    <w:rsid w:val="00A34D24"/>
    <w:rsid w:val="00A34E2B"/>
    <w:rsid w:val="00A34F1E"/>
    <w:rsid w:val="00A3500F"/>
    <w:rsid w:val="00A35350"/>
    <w:rsid w:val="00A353B6"/>
    <w:rsid w:val="00A3554E"/>
    <w:rsid w:val="00A355DC"/>
    <w:rsid w:val="00A35633"/>
    <w:rsid w:val="00A35D8B"/>
    <w:rsid w:val="00A35F28"/>
    <w:rsid w:val="00A365A9"/>
    <w:rsid w:val="00A365E6"/>
    <w:rsid w:val="00A366A4"/>
    <w:rsid w:val="00A36769"/>
    <w:rsid w:val="00A369CB"/>
    <w:rsid w:val="00A36CF8"/>
    <w:rsid w:val="00A37180"/>
    <w:rsid w:val="00A372F5"/>
    <w:rsid w:val="00A373CE"/>
    <w:rsid w:val="00A37521"/>
    <w:rsid w:val="00A3760A"/>
    <w:rsid w:val="00A37755"/>
    <w:rsid w:val="00A377FA"/>
    <w:rsid w:val="00A3789D"/>
    <w:rsid w:val="00A3799A"/>
    <w:rsid w:val="00A37B37"/>
    <w:rsid w:val="00A37B89"/>
    <w:rsid w:val="00A37E68"/>
    <w:rsid w:val="00A40026"/>
    <w:rsid w:val="00A40210"/>
    <w:rsid w:val="00A40224"/>
    <w:rsid w:val="00A40316"/>
    <w:rsid w:val="00A40391"/>
    <w:rsid w:val="00A40428"/>
    <w:rsid w:val="00A40493"/>
    <w:rsid w:val="00A40525"/>
    <w:rsid w:val="00A405A7"/>
    <w:rsid w:val="00A4082F"/>
    <w:rsid w:val="00A4098B"/>
    <w:rsid w:val="00A40D14"/>
    <w:rsid w:val="00A40F4F"/>
    <w:rsid w:val="00A41034"/>
    <w:rsid w:val="00A411CE"/>
    <w:rsid w:val="00A4136A"/>
    <w:rsid w:val="00A41504"/>
    <w:rsid w:val="00A417A4"/>
    <w:rsid w:val="00A41A87"/>
    <w:rsid w:val="00A41BCE"/>
    <w:rsid w:val="00A41F5B"/>
    <w:rsid w:val="00A41FB1"/>
    <w:rsid w:val="00A42004"/>
    <w:rsid w:val="00A4215B"/>
    <w:rsid w:val="00A4264D"/>
    <w:rsid w:val="00A42706"/>
    <w:rsid w:val="00A42723"/>
    <w:rsid w:val="00A42823"/>
    <w:rsid w:val="00A42914"/>
    <w:rsid w:val="00A42BE1"/>
    <w:rsid w:val="00A42D51"/>
    <w:rsid w:val="00A42D8F"/>
    <w:rsid w:val="00A42EDF"/>
    <w:rsid w:val="00A42F53"/>
    <w:rsid w:val="00A431CE"/>
    <w:rsid w:val="00A43255"/>
    <w:rsid w:val="00A43257"/>
    <w:rsid w:val="00A432E3"/>
    <w:rsid w:val="00A4380F"/>
    <w:rsid w:val="00A43A6F"/>
    <w:rsid w:val="00A43E4C"/>
    <w:rsid w:val="00A440CE"/>
    <w:rsid w:val="00A443DF"/>
    <w:rsid w:val="00A4481F"/>
    <w:rsid w:val="00A4494F"/>
    <w:rsid w:val="00A44994"/>
    <w:rsid w:val="00A44A8E"/>
    <w:rsid w:val="00A44AAD"/>
    <w:rsid w:val="00A44AFF"/>
    <w:rsid w:val="00A44CAE"/>
    <w:rsid w:val="00A44CCD"/>
    <w:rsid w:val="00A44FEB"/>
    <w:rsid w:val="00A450CA"/>
    <w:rsid w:val="00A45232"/>
    <w:rsid w:val="00A45314"/>
    <w:rsid w:val="00A45437"/>
    <w:rsid w:val="00A45534"/>
    <w:rsid w:val="00A45602"/>
    <w:rsid w:val="00A45781"/>
    <w:rsid w:val="00A459BF"/>
    <w:rsid w:val="00A45A3B"/>
    <w:rsid w:val="00A45E0B"/>
    <w:rsid w:val="00A46008"/>
    <w:rsid w:val="00A46454"/>
    <w:rsid w:val="00A4660D"/>
    <w:rsid w:val="00A46A29"/>
    <w:rsid w:val="00A46D24"/>
    <w:rsid w:val="00A46EEA"/>
    <w:rsid w:val="00A46F34"/>
    <w:rsid w:val="00A4738E"/>
    <w:rsid w:val="00A47490"/>
    <w:rsid w:val="00A474FA"/>
    <w:rsid w:val="00A47511"/>
    <w:rsid w:val="00A475F1"/>
    <w:rsid w:val="00A4761F"/>
    <w:rsid w:val="00A47B03"/>
    <w:rsid w:val="00A47F1E"/>
    <w:rsid w:val="00A503EE"/>
    <w:rsid w:val="00A50486"/>
    <w:rsid w:val="00A507DA"/>
    <w:rsid w:val="00A508AC"/>
    <w:rsid w:val="00A50B20"/>
    <w:rsid w:val="00A50B70"/>
    <w:rsid w:val="00A51395"/>
    <w:rsid w:val="00A51440"/>
    <w:rsid w:val="00A515A9"/>
    <w:rsid w:val="00A51864"/>
    <w:rsid w:val="00A5197C"/>
    <w:rsid w:val="00A51D41"/>
    <w:rsid w:val="00A51EBC"/>
    <w:rsid w:val="00A51ED4"/>
    <w:rsid w:val="00A52138"/>
    <w:rsid w:val="00A5236E"/>
    <w:rsid w:val="00A5236F"/>
    <w:rsid w:val="00A5237E"/>
    <w:rsid w:val="00A52608"/>
    <w:rsid w:val="00A52913"/>
    <w:rsid w:val="00A52C38"/>
    <w:rsid w:val="00A52D1A"/>
    <w:rsid w:val="00A52D4B"/>
    <w:rsid w:val="00A52DF2"/>
    <w:rsid w:val="00A52EDC"/>
    <w:rsid w:val="00A531A2"/>
    <w:rsid w:val="00A532CD"/>
    <w:rsid w:val="00A533C0"/>
    <w:rsid w:val="00A535D7"/>
    <w:rsid w:val="00A53B11"/>
    <w:rsid w:val="00A53D88"/>
    <w:rsid w:val="00A53E5B"/>
    <w:rsid w:val="00A53FC7"/>
    <w:rsid w:val="00A544E3"/>
    <w:rsid w:val="00A54624"/>
    <w:rsid w:val="00A547CD"/>
    <w:rsid w:val="00A54A90"/>
    <w:rsid w:val="00A54B9C"/>
    <w:rsid w:val="00A54D5D"/>
    <w:rsid w:val="00A54EFD"/>
    <w:rsid w:val="00A552DC"/>
    <w:rsid w:val="00A5545F"/>
    <w:rsid w:val="00A55468"/>
    <w:rsid w:val="00A554B7"/>
    <w:rsid w:val="00A556B5"/>
    <w:rsid w:val="00A556F2"/>
    <w:rsid w:val="00A55868"/>
    <w:rsid w:val="00A559EC"/>
    <w:rsid w:val="00A559F5"/>
    <w:rsid w:val="00A55A24"/>
    <w:rsid w:val="00A55AC3"/>
    <w:rsid w:val="00A55E43"/>
    <w:rsid w:val="00A5605E"/>
    <w:rsid w:val="00A5611B"/>
    <w:rsid w:val="00A564FE"/>
    <w:rsid w:val="00A56704"/>
    <w:rsid w:val="00A5673B"/>
    <w:rsid w:val="00A567F7"/>
    <w:rsid w:val="00A567FC"/>
    <w:rsid w:val="00A5683A"/>
    <w:rsid w:val="00A5696B"/>
    <w:rsid w:val="00A56A4C"/>
    <w:rsid w:val="00A56D2E"/>
    <w:rsid w:val="00A56E56"/>
    <w:rsid w:val="00A57015"/>
    <w:rsid w:val="00A57123"/>
    <w:rsid w:val="00A57282"/>
    <w:rsid w:val="00A574B5"/>
    <w:rsid w:val="00A575FF"/>
    <w:rsid w:val="00A576E8"/>
    <w:rsid w:val="00A57845"/>
    <w:rsid w:val="00A57881"/>
    <w:rsid w:val="00A578D0"/>
    <w:rsid w:val="00A57CF5"/>
    <w:rsid w:val="00A57DAC"/>
    <w:rsid w:val="00A57EDA"/>
    <w:rsid w:val="00A57F4A"/>
    <w:rsid w:val="00A603EB"/>
    <w:rsid w:val="00A60455"/>
    <w:rsid w:val="00A60489"/>
    <w:rsid w:val="00A60653"/>
    <w:rsid w:val="00A6098F"/>
    <w:rsid w:val="00A60AF8"/>
    <w:rsid w:val="00A60B5A"/>
    <w:rsid w:val="00A610C2"/>
    <w:rsid w:val="00A615B4"/>
    <w:rsid w:val="00A61678"/>
    <w:rsid w:val="00A61985"/>
    <w:rsid w:val="00A61AFD"/>
    <w:rsid w:val="00A61CA1"/>
    <w:rsid w:val="00A61DF6"/>
    <w:rsid w:val="00A61E83"/>
    <w:rsid w:val="00A61F8E"/>
    <w:rsid w:val="00A62026"/>
    <w:rsid w:val="00A6214E"/>
    <w:rsid w:val="00A62367"/>
    <w:rsid w:val="00A62561"/>
    <w:rsid w:val="00A627BC"/>
    <w:rsid w:val="00A62877"/>
    <w:rsid w:val="00A628A9"/>
    <w:rsid w:val="00A6299E"/>
    <w:rsid w:val="00A62C52"/>
    <w:rsid w:val="00A62CE1"/>
    <w:rsid w:val="00A62E22"/>
    <w:rsid w:val="00A62EBB"/>
    <w:rsid w:val="00A62EF0"/>
    <w:rsid w:val="00A63584"/>
    <w:rsid w:val="00A638D4"/>
    <w:rsid w:val="00A639B7"/>
    <w:rsid w:val="00A63A3C"/>
    <w:rsid w:val="00A63AF9"/>
    <w:rsid w:val="00A63BBE"/>
    <w:rsid w:val="00A63CC0"/>
    <w:rsid w:val="00A63DFF"/>
    <w:rsid w:val="00A64216"/>
    <w:rsid w:val="00A64470"/>
    <w:rsid w:val="00A64711"/>
    <w:rsid w:val="00A64EBC"/>
    <w:rsid w:val="00A64F22"/>
    <w:rsid w:val="00A65012"/>
    <w:rsid w:val="00A65336"/>
    <w:rsid w:val="00A65397"/>
    <w:rsid w:val="00A654A8"/>
    <w:rsid w:val="00A656E8"/>
    <w:rsid w:val="00A656EA"/>
    <w:rsid w:val="00A658D5"/>
    <w:rsid w:val="00A65924"/>
    <w:rsid w:val="00A65976"/>
    <w:rsid w:val="00A65A39"/>
    <w:rsid w:val="00A65A5C"/>
    <w:rsid w:val="00A65E21"/>
    <w:rsid w:val="00A65E58"/>
    <w:rsid w:val="00A6676F"/>
    <w:rsid w:val="00A66AD5"/>
    <w:rsid w:val="00A66AE4"/>
    <w:rsid w:val="00A66B92"/>
    <w:rsid w:val="00A66C87"/>
    <w:rsid w:val="00A66EEE"/>
    <w:rsid w:val="00A66FBB"/>
    <w:rsid w:val="00A670CE"/>
    <w:rsid w:val="00A670E6"/>
    <w:rsid w:val="00A67259"/>
    <w:rsid w:val="00A6745B"/>
    <w:rsid w:val="00A67565"/>
    <w:rsid w:val="00A676C9"/>
    <w:rsid w:val="00A67826"/>
    <w:rsid w:val="00A679EA"/>
    <w:rsid w:val="00A67C99"/>
    <w:rsid w:val="00A67DE8"/>
    <w:rsid w:val="00A67E0B"/>
    <w:rsid w:val="00A67F4E"/>
    <w:rsid w:val="00A67FB1"/>
    <w:rsid w:val="00A705C6"/>
    <w:rsid w:val="00A709ED"/>
    <w:rsid w:val="00A70B10"/>
    <w:rsid w:val="00A70BCB"/>
    <w:rsid w:val="00A715CE"/>
    <w:rsid w:val="00A717D0"/>
    <w:rsid w:val="00A71999"/>
    <w:rsid w:val="00A7212C"/>
    <w:rsid w:val="00A72268"/>
    <w:rsid w:val="00A7238A"/>
    <w:rsid w:val="00A7241D"/>
    <w:rsid w:val="00A72E5D"/>
    <w:rsid w:val="00A7304C"/>
    <w:rsid w:val="00A7304D"/>
    <w:rsid w:val="00A73378"/>
    <w:rsid w:val="00A733B3"/>
    <w:rsid w:val="00A7359D"/>
    <w:rsid w:val="00A73615"/>
    <w:rsid w:val="00A73725"/>
    <w:rsid w:val="00A7380C"/>
    <w:rsid w:val="00A73967"/>
    <w:rsid w:val="00A73995"/>
    <w:rsid w:val="00A741C4"/>
    <w:rsid w:val="00A74214"/>
    <w:rsid w:val="00A74815"/>
    <w:rsid w:val="00A74C92"/>
    <w:rsid w:val="00A74D83"/>
    <w:rsid w:val="00A74F73"/>
    <w:rsid w:val="00A750DC"/>
    <w:rsid w:val="00A750E0"/>
    <w:rsid w:val="00A75565"/>
    <w:rsid w:val="00A75683"/>
    <w:rsid w:val="00A75B2C"/>
    <w:rsid w:val="00A75F75"/>
    <w:rsid w:val="00A76067"/>
    <w:rsid w:val="00A762A6"/>
    <w:rsid w:val="00A76326"/>
    <w:rsid w:val="00A763F4"/>
    <w:rsid w:val="00A76553"/>
    <w:rsid w:val="00A766B7"/>
    <w:rsid w:val="00A766C8"/>
    <w:rsid w:val="00A76739"/>
    <w:rsid w:val="00A7679B"/>
    <w:rsid w:val="00A769D6"/>
    <w:rsid w:val="00A76B06"/>
    <w:rsid w:val="00A76CFA"/>
    <w:rsid w:val="00A76D75"/>
    <w:rsid w:val="00A76EBB"/>
    <w:rsid w:val="00A7752E"/>
    <w:rsid w:val="00A775C4"/>
    <w:rsid w:val="00A775ED"/>
    <w:rsid w:val="00A776BE"/>
    <w:rsid w:val="00A77A4B"/>
    <w:rsid w:val="00A77D42"/>
    <w:rsid w:val="00A77D6A"/>
    <w:rsid w:val="00A77DAE"/>
    <w:rsid w:val="00A77F5C"/>
    <w:rsid w:val="00A80088"/>
    <w:rsid w:val="00A8014F"/>
    <w:rsid w:val="00A801A2"/>
    <w:rsid w:val="00A801CA"/>
    <w:rsid w:val="00A80442"/>
    <w:rsid w:val="00A80589"/>
    <w:rsid w:val="00A808E6"/>
    <w:rsid w:val="00A8091C"/>
    <w:rsid w:val="00A809E6"/>
    <w:rsid w:val="00A80B46"/>
    <w:rsid w:val="00A80BAD"/>
    <w:rsid w:val="00A80D99"/>
    <w:rsid w:val="00A80ED3"/>
    <w:rsid w:val="00A8109C"/>
    <w:rsid w:val="00A810EF"/>
    <w:rsid w:val="00A8156E"/>
    <w:rsid w:val="00A815BD"/>
    <w:rsid w:val="00A81A7E"/>
    <w:rsid w:val="00A81B1C"/>
    <w:rsid w:val="00A81B99"/>
    <w:rsid w:val="00A81BC3"/>
    <w:rsid w:val="00A81EDC"/>
    <w:rsid w:val="00A82206"/>
    <w:rsid w:val="00A822B6"/>
    <w:rsid w:val="00A822EB"/>
    <w:rsid w:val="00A822F6"/>
    <w:rsid w:val="00A8239F"/>
    <w:rsid w:val="00A82426"/>
    <w:rsid w:val="00A824CF"/>
    <w:rsid w:val="00A82573"/>
    <w:rsid w:val="00A8267A"/>
    <w:rsid w:val="00A82727"/>
    <w:rsid w:val="00A82880"/>
    <w:rsid w:val="00A82EDE"/>
    <w:rsid w:val="00A83030"/>
    <w:rsid w:val="00A836BD"/>
    <w:rsid w:val="00A83974"/>
    <w:rsid w:val="00A83B16"/>
    <w:rsid w:val="00A83BB3"/>
    <w:rsid w:val="00A840F5"/>
    <w:rsid w:val="00A841DD"/>
    <w:rsid w:val="00A842A8"/>
    <w:rsid w:val="00A84360"/>
    <w:rsid w:val="00A84909"/>
    <w:rsid w:val="00A84A59"/>
    <w:rsid w:val="00A84A9C"/>
    <w:rsid w:val="00A84C73"/>
    <w:rsid w:val="00A8502B"/>
    <w:rsid w:val="00A850DF"/>
    <w:rsid w:val="00A85677"/>
    <w:rsid w:val="00A857E3"/>
    <w:rsid w:val="00A85A7A"/>
    <w:rsid w:val="00A85C12"/>
    <w:rsid w:val="00A8655C"/>
    <w:rsid w:val="00A868F5"/>
    <w:rsid w:val="00A86D1E"/>
    <w:rsid w:val="00A87050"/>
    <w:rsid w:val="00A872D6"/>
    <w:rsid w:val="00A872F6"/>
    <w:rsid w:val="00A87B5C"/>
    <w:rsid w:val="00A87BB1"/>
    <w:rsid w:val="00A87DB3"/>
    <w:rsid w:val="00A87E97"/>
    <w:rsid w:val="00A90696"/>
    <w:rsid w:val="00A907FE"/>
    <w:rsid w:val="00A90AA3"/>
    <w:rsid w:val="00A90CD0"/>
    <w:rsid w:val="00A90F7F"/>
    <w:rsid w:val="00A91073"/>
    <w:rsid w:val="00A912A6"/>
    <w:rsid w:val="00A91739"/>
    <w:rsid w:val="00A9177E"/>
    <w:rsid w:val="00A91A04"/>
    <w:rsid w:val="00A91A35"/>
    <w:rsid w:val="00A91B02"/>
    <w:rsid w:val="00A91DF8"/>
    <w:rsid w:val="00A91FEC"/>
    <w:rsid w:val="00A92068"/>
    <w:rsid w:val="00A9216C"/>
    <w:rsid w:val="00A92206"/>
    <w:rsid w:val="00A92249"/>
    <w:rsid w:val="00A922ED"/>
    <w:rsid w:val="00A9269D"/>
    <w:rsid w:val="00A92BAF"/>
    <w:rsid w:val="00A92E57"/>
    <w:rsid w:val="00A930BA"/>
    <w:rsid w:val="00A93313"/>
    <w:rsid w:val="00A935E0"/>
    <w:rsid w:val="00A936F7"/>
    <w:rsid w:val="00A93729"/>
    <w:rsid w:val="00A93A98"/>
    <w:rsid w:val="00A93B0C"/>
    <w:rsid w:val="00A93DB3"/>
    <w:rsid w:val="00A93EA7"/>
    <w:rsid w:val="00A94149"/>
    <w:rsid w:val="00A946CB"/>
    <w:rsid w:val="00A9476D"/>
    <w:rsid w:val="00A947EB"/>
    <w:rsid w:val="00A9487B"/>
    <w:rsid w:val="00A94989"/>
    <w:rsid w:val="00A94A68"/>
    <w:rsid w:val="00A94A7F"/>
    <w:rsid w:val="00A94AAD"/>
    <w:rsid w:val="00A94D03"/>
    <w:rsid w:val="00A94DAF"/>
    <w:rsid w:val="00A94FFF"/>
    <w:rsid w:val="00A955E6"/>
    <w:rsid w:val="00A95636"/>
    <w:rsid w:val="00A95761"/>
    <w:rsid w:val="00A95767"/>
    <w:rsid w:val="00A958C2"/>
    <w:rsid w:val="00A959DF"/>
    <w:rsid w:val="00A95AF8"/>
    <w:rsid w:val="00A95CA9"/>
    <w:rsid w:val="00A95D8B"/>
    <w:rsid w:val="00A95DFA"/>
    <w:rsid w:val="00A961C1"/>
    <w:rsid w:val="00A96388"/>
    <w:rsid w:val="00A9638E"/>
    <w:rsid w:val="00A96508"/>
    <w:rsid w:val="00A96543"/>
    <w:rsid w:val="00A965D9"/>
    <w:rsid w:val="00A9663F"/>
    <w:rsid w:val="00A96661"/>
    <w:rsid w:val="00A96844"/>
    <w:rsid w:val="00A968BD"/>
    <w:rsid w:val="00A96D0B"/>
    <w:rsid w:val="00A96D3A"/>
    <w:rsid w:val="00A96FC5"/>
    <w:rsid w:val="00A97013"/>
    <w:rsid w:val="00A97018"/>
    <w:rsid w:val="00A97447"/>
    <w:rsid w:val="00A97462"/>
    <w:rsid w:val="00A97616"/>
    <w:rsid w:val="00A97880"/>
    <w:rsid w:val="00A9793D"/>
    <w:rsid w:val="00A979F3"/>
    <w:rsid w:val="00A97B5D"/>
    <w:rsid w:val="00A97B8A"/>
    <w:rsid w:val="00A97F6F"/>
    <w:rsid w:val="00AA0086"/>
    <w:rsid w:val="00AA0166"/>
    <w:rsid w:val="00AA027C"/>
    <w:rsid w:val="00AA02A7"/>
    <w:rsid w:val="00AA0603"/>
    <w:rsid w:val="00AA0639"/>
    <w:rsid w:val="00AA0974"/>
    <w:rsid w:val="00AA0F79"/>
    <w:rsid w:val="00AA11D0"/>
    <w:rsid w:val="00AA17B3"/>
    <w:rsid w:val="00AA1812"/>
    <w:rsid w:val="00AA18FC"/>
    <w:rsid w:val="00AA1FEC"/>
    <w:rsid w:val="00AA206B"/>
    <w:rsid w:val="00AA2813"/>
    <w:rsid w:val="00AA2886"/>
    <w:rsid w:val="00AA28E9"/>
    <w:rsid w:val="00AA29A0"/>
    <w:rsid w:val="00AA2C12"/>
    <w:rsid w:val="00AA2C34"/>
    <w:rsid w:val="00AA2CE5"/>
    <w:rsid w:val="00AA2D90"/>
    <w:rsid w:val="00AA2FEE"/>
    <w:rsid w:val="00AA331E"/>
    <w:rsid w:val="00AA33A6"/>
    <w:rsid w:val="00AA37D4"/>
    <w:rsid w:val="00AA3C49"/>
    <w:rsid w:val="00AA3F06"/>
    <w:rsid w:val="00AA4384"/>
    <w:rsid w:val="00AA44AB"/>
    <w:rsid w:val="00AA4812"/>
    <w:rsid w:val="00AA4861"/>
    <w:rsid w:val="00AA48EA"/>
    <w:rsid w:val="00AA49F2"/>
    <w:rsid w:val="00AA4B2A"/>
    <w:rsid w:val="00AA4BAC"/>
    <w:rsid w:val="00AA516D"/>
    <w:rsid w:val="00AA5302"/>
    <w:rsid w:val="00AA541E"/>
    <w:rsid w:val="00AA564B"/>
    <w:rsid w:val="00AA568B"/>
    <w:rsid w:val="00AA56C4"/>
    <w:rsid w:val="00AA5750"/>
    <w:rsid w:val="00AA58DB"/>
    <w:rsid w:val="00AA5916"/>
    <w:rsid w:val="00AA5923"/>
    <w:rsid w:val="00AA59F9"/>
    <w:rsid w:val="00AA5C06"/>
    <w:rsid w:val="00AA5EAD"/>
    <w:rsid w:val="00AA6080"/>
    <w:rsid w:val="00AA610D"/>
    <w:rsid w:val="00AA62F3"/>
    <w:rsid w:val="00AA6856"/>
    <w:rsid w:val="00AA6CDD"/>
    <w:rsid w:val="00AA6D11"/>
    <w:rsid w:val="00AA6D3C"/>
    <w:rsid w:val="00AA703C"/>
    <w:rsid w:val="00AA70F2"/>
    <w:rsid w:val="00AA7173"/>
    <w:rsid w:val="00AA71CD"/>
    <w:rsid w:val="00AA74D0"/>
    <w:rsid w:val="00AA7535"/>
    <w:rsid w:val="00AA7831"/>
    <w:rsid w:val="00AA78F9"/>
    <w:rsid w:val="00AA79DB"/>
    <w:rsid w:val="00AA7E38"/>
    <w:rsid w:val="00AA7F86"/>
    <w:rsid w:val="00AB0258"/>
    <w:rsid w:val="00AB0288"/>
    <w:rsid w:val="00AB033A"/>
    <w:rsid w:val="00AB035A"/>
    <w:rsid w:val="00AB0503"/>
    <w:rsid w:val="00AB0642"/>
    <w:rsid w:val="00AB088F"/>
    <w:rsid w:val="00AB08EB"/>
    <w:rsid w:val="00AB0927"/>
    <w:rsid w:val="00AB0A2F"/>
    <w:rsid w:val="00AB0B07"/>
    <w:rsid w:val="00AB0C13"/>
    <w:rsid w:val="00AB0CDB"/>
    <w:rsid w:val="00AB0D08"/>
    <w:rsid w:val="00AB0FEB"/>
    <w:rsid w:val="00AB1015"/>
    <w:rsid w:val="00AB11BE"/>
    <w:rsid w:val="00AB11F4"/>
    <w:rsid w:val="00AB1588"/>
    <w:rsid w:val="00AB1813"/>
    <w:rsid w:val="00AB1838"/>
    <w:rsid w:val="00AB1932"/>
    <w:rsid w:val="00AB1A63"/>
    <w:rsid w:val="00AB1AD4"/>
    <w:rsid w:val="00AB1AD5"/>
    <w:rsid w:val="00AB1C66"/>
    <w:rsid w:val="00AB24C1"/>
    <w:rsid w:val="00AB2709"/>
    <w:rsid w:val="00AB271A"/>
    <w:rsid w:val="00AB27C0"/>
    <w:rsid w:val="00AB290B"/>
    <w:rsid w:val="00AB2EB9"/>
    <w:rsid w:val="00AB31CC"/>
    <w:rsid w:val="00AB34D6"/>
    <w:rsid w:val="00AB365D"/>
    <w:rsid w:val="00AB3771"/>
    <w:rsid w:val="00AB3A97"/>
    <w:rsid w:val="00AB3B3B"/>
    <w:rsid w:val="00AB3E9B"/>
    <w:rsid w:val="00AB410E"/>
    <w:rsid w:val="00AB4183"/>
    <w:rsid w:val="00AB41B6"/>
    <w:rsid w:val="00AB4346"/>
    <w:rsid w:val="00AB4689"/>
    <w:rsid w:val="00AB4ACF"/>
    <w:rsid w:val="00AB4BDE"/>
    <w:rsid w:val="00AB4F28"/>
    <w:rsid w:val="00AB5287"/>
    <w:rsid w:val="00AB53B3"/>
    <w:rsid w:val="00AB546B"/>
    <w:rsid w:val="00AB5820"/>
    <w:rsid w:val="00AB5A2D"/>
    <w:rsid w:val="00AB5BA1"/>
    <w:rsid w:val="00AB5FAA"/>
    <w:rsid w:val="00AB6085"/>
    <w:rsid w:val="00AB6131"/>
    <w:rsid w:val="00AB626C"/>
    <w:rsid w:val="00AB6298"/>
    <w:rsid w:val="00AB637F"/>
    <w:rsid w:val="00AB6429"/>
    <w:rsid w:val="00AB6562"/>
    <w:rsid w:val="00AB668B"/>
    <w:rsid w:val="00AB671B"/>
    <w:rsid w:val="00AB67C3"/>
    <w:rsid w:val="00AB69E9"/>
    <w:rsid w:val="00AB6DAE"/>
    <w:rsid w:val="00AB6E96"/>
    <w:rsid w:val="00AB70AC"/>
    <w:rsid w:val="00AB70B6"/>
    <w:rsid w:val="00AB75F0"/>
    <w:rsid w:val="00AB76B6"/>
    <w:rsid w:val="00AB7843"/>
    <w:rsid w:val="00AB79DA"/>
    <w:rsid w:val="00AB7F97"/>
    <w:rsid w:val="00AC01F2"/>
    <w:rsid w:val="00AC0207"/>
    <w:rsid w:val="00AC037C"/>
    <w:rsid w:val="00AC03CD"/>
    <w:rsid w:val="00AC03D7"/>
    <w:rsid w:val="00AC0428"/>
    <w:rsid w:val="00AC05B9"/>
    <w:rsid w:val="00AC08E1"/>
    <w:rsid w:val="00AC08EB"/>
    <w:rsid w:val="00AC0D75"/>
    <w:rsid w:val="00AC0D90"/>
    <w:rsid w:val="00AC1031"/>
    <w:rsid w:val="00AC110C"/>
    <w:rsid w:val="00AC1270"/>
    <w:rsid w:val="00AC14C3"/>
    <w:rsid w:val="00AC15E8"/>
    <w:rsid w:val="00AC199A"/>
    <w:rsid w:val="00AC1A5A"/>
    <w:rsid w:val="00AC1AB6"/>
    <w:rsid w:val="00AC1C44"/>
    <w:rsid w:val="00AC1D70"/>
    <w:rsid w:val="00AC1EC2"/>
    <w:rsid w:val="00AC1F88"/>
    <w:rsid w:val="00AC2217"/>
    <w:rsid w:val="00AC256B"/>
    <w:rsid w:val="00AC2602"/>
    <w:rsid w:val="00AC26CF"/>
    <w:rsid w:val="00AC274C"/>
    <w:rsid w:val="00AC27C6"/>
    <w:rsid w:val="00AC285E"/>
    <w:rsid w:val="00AC2D47"/>
    <w:rsid w:val="00AC3040"/>
    <w:rsid w:val="00AC30A7"/>
    <w:rsid w:val="00AC313E"/>
    <w:rsid w:val="00AC3355"/>
    <w:rsid w:val="00AC33E0"/>
    <w:rsid w:val="00AC34DD"/>
    <w:rsid w:val="00AC36B2"/>
    <w:rsid w:val="00AC3879"/>
    <w:rsid w:val="00AC38AE"/>
    <w:rsid w:val="00AC3ACF"/>
    <w:rsid w:val="00AC3C55"/>
    <w:rsid w:val="00AC3D26"/>
    <w:rsid w:val="00AC3F03"/>
    <w:rsid w:val="00AC4036"/>
    <w:rsid w:val="00AC4370"/>
    <w:rsid w:val="00AC4479"/>
    <w:rsid w:val="00AC449B"/>
    <w:rsid w:val="00AC4886"/>
    <w:rsid w:val="00AC4B87"/>
    <w:rsid w:val="00AC4E58"/>
    <w:rsid w:val="00AC4EEC"/>
    <w:rsid w:val="00AC4F9C"/>
    <w:rsid w:val="00AC5232"/>
    <w:rsid w:val="00AC5360"/>
    <w:rsid w:val="00AC5409"/>
    <w:rsid w:val="00AC541A"/>
    <w:rsid w:val="00AC5A24"/>
    <w:rsid w:val="00AC5B2E"/>
    <w:rsid w:val="00AC5CCE"/>
    <w:rsid w:val="00AC5EDE"/>
    <w:rsid w:val="00AC5F58"/>
    <w:rsid w:val="00AC60BC"/>
    <w:rsid w:val="00AC62AF"/>
    <w:rsid w:val="00AC6420"/>
    <w:rsid w:val="00AC649D"/>
    <w:rsid w:val="00AC64B7"/>
    <w:rsid w:val="00AC6A21"/>
    <w:rsid w:val="00AC6A6F"/>
    <w:rsid w:val="00AC6BD2"/>
    <w:rsid w:val="00AC6E7F"/>
    <w:rsid w:val="00AC6FF0"/>
    <w:rsid w:val="00AC7161"/>
    <w:rsid w:val="00AC7354"/>
    <w:rsid w:val="00AC7617"/>
    <w:rsid w:val="00AC7709"/>
    <w:rsid w:val="00AC7944"/>
    <w:rsid w:val="00AD0375"/>
    <w:rsid w:val="00AD0380"/>
    <w:rsid w:val="00AD04C2"/>
    <w:rsid w:val="00AD0734"/>
    <w:rsid w:val="00AD08D4"/>
    <w:rsid w:val="00AD0AD8"/>
    <w:rsid w:val="00AD0B0D"/>
    <w:rsid w:val="00AD0B27"/>
    <w:rsid w:val="00AD0B65"/>
    <w:rsid w:val="00AD0D0C"/>
    <w:rsid w:val="00AD12EF"/>
    <w:rsid w:val="00AD148C"/>
    <w:rsid w:val="00AD1586"/>
    <w:rsid w:val="00AD15F6"/>
    <w:rsid w:val="00AD1C13"/>
    <w:rsid w:val="00AD1CD8"/>
    <w:rsid w:val="00AD1D80"/>
    <w:rsid w:val="00AD1F18"/>
    <w:rsid w:val="00AD21AC"/>
    <w:rsid w:val="00AD21AD"/>
    <w:rsid w:val="00AD23F0"/>
    <w:rsid w:val="00AD2445"/>
    <w:rsid w:val="00AD2559"/>
    <w:rsid w:val="00AD2AF3"/>
    <w:rsid w:val="00AD3245"/>
    <w:rsid w:val="00AD32C0"/>
    <w:rsid w:val="00AD3360"/>
    <w:rsid w:val="00AD3365"/>
    <w:rsid w:val="00AD3531"/>
    <w:rsid w:val="00AD3628"/>
    <w:rsid w:val="00AD376E"/>
    <w:rsid w:val="00AD3925"/>
    <w:rsid w:val="00AD3D2A"/>
    <w:rsid w:val="00AD3D45"/>
    <w:rsid w:val="00AD3F6D"/>
    <w:rsid w:val="00AD4D2F"/>
    <w:rsid w:val="00AD4EDC"/>
    <w:rsid w:val="00AD5259"/>
    <w:rsid w:val="00AD53CE"/>
    <w:rsid w:val="00AD54C2"/>
    <w:rsid w:val="00AD54FC"/>
    <w:rsid w:val="00AD5722"/>
    <w:rsid w:val="00AD5739"/>
    <w:rsid w:val="00AD61F2"/>
    <w:rsid w:val="00AD62BA"/>
    <w:rsid w:val="00AD6315"/>
    <w:rsid w:val="00AD63E1"/>
    <w:rsid w:val="00AD6640"/>
    <w:rsid w:val="00AD6889"/>
    <w:rsid w:val="00AD68C9"/>
    <w:rsid w:val="00AD68ED"/>
    <w:rsid w:val="00AD69E5"/>
    <w:rsid w:val="00AD6A4D"/>
    <w:rsid w:val="00AD6B53"/>
    <w:rsid w:val="00AD6BB6"/>
    <w:rsid w:val="00AD6C9C"/>
    <w:rsid w:val="00AD6DC7"/>
    <w:rsid w:val="00AD700B"/>
    <w:rsid w:val="00AD7027"/>
    <w:rsid w:val="00AD720F"/>
    <w:rsid w:val="00AD722B"/>
    <w:rsid w:val="00AD7A60"/>
    <w:rsid w:val="00AD7AD3"/>
    <w:rsid w:val="00AD7BEA"/>
    <w:rsid w:val="00AD7D0E"/>
    <w:rsid w:val="00AD7D78"/>
    <w:rsid w:val="00AD7EF4"/>
    <w:rsid w:val="00AE0149"/>
    <w:rsid w:val="00AE017E"/>
    <w:rsid w:val="00AE0250"/>
    <w:rsid w:val="00AE05C1"/>
    <w:rsid w:val="00AE05C4"/>
    <w:rsid w:val="00AE0A1B"/>
    <w:rsid w:val="00AE0AE8"/>
    <w:rsid w:val="00AE0F54"/>
    <w:rsid w:val="00AE0F97"/>
    <w:rsid w:val="00AE1276"/>
    <w:rsid w:val="00AE1643"/>
    <w:rsid w:val="00AE1780"/>
    <w:rsid w:val="00AE1AEB"/>
    <w:rsid w:val="00AE1D6B"/>
    <w:rsid w:val="00AE1E7F"/>
    <w:rsid w:val="00AE1ECA"/>
    <w:rsid w:val="00AE1F48"/>
    <w:rsid w:val="00AE20E8"/>
    <w:rsid w:val="00AE2216"/>
    <w:rsid w:val="00AE2243"/>
    <w:rsid w:val="00AE2293"/>
    <w:rsid w:val="00AE23DB"/>
    <w:rsid w:val="00AE2566"/>
    <w:rsid w:val="00AE25B7"/>
    <w:rsid w:val="00AE25ED"/>
    <w:rsid w:val="00AE2821"/>
    <w:rsid w:val="00AE2AF8"/>
    <w:rsid w:val="00AE2B67"/>
    <w:rsid w:val="00AE2C15"/>
    <w:rsid w:val="00AE2C2F"/>
    <w:rsid w:val="00AE2C5D"/>
    <w:rsid w:val="00AE2D3B"/>
    <w:rsid w:val="00AE2F20"/>
    <w:rsid w:val="00AE2F65"/>
    <w:rsid w:val="00AE2FB3"/>
    <w:rsid w:val="00AE302F"/>
    <w:rsid w:val="00AE35F7"/>
    <w:rsid w:val="00AE382E"/>
    <w:rsid w:val="00AE388D"/>
    <w:rsid w:val="00AE3930"/>
    <w:rsid w:val="00AE39E0"/>
    <w:rsid w:val="00AE3ABE"/>
    <w:rsid w:val="00AE3F26"/>
    <w:rsid w:val="00AE4073"/>
    <w:rsid w:val="00AE40C5"/>
    <w:rsid w:val="00AE4284"/>
    <w:rsid w:val="00AE4351"/>
    <w:rsid w:val="00AE444E"/>
    <w:rsid w:val="00AE4B36"/>
    <w:rsid w:val="00AE4C2E"/>
    <w:rsid w:val="00AE4E50"/>
    <w:rsid w:val="00AE5022"/>
    <w:rsid w:val="00AE5160"/>
    <w:rsid w:val="00AE53F4"/>
    <w:rsid w:val="00AE5411"/>
    <w:rsid w:val="00AE544E"/>
    <w:rsid w:val="00AE5451"/>
    <w:rsid w:val="00AE5957"/>
    <w:rsid w:val="00AE5B74"/>
    <w:rsid w:val="00AE5CF1"/>
    <w:rsid w:val="00AE5D72"/>
    <w:rsid w:val="00AE5E8A"/>
    <w:rsid w:val="00AE60B7"/>
    <w:rsid w:val="00AE6289"/>
    <w:rsid w:val="00AE64F9"/>
    <w:rsid w:val="00AE67FF"/>
    <w:rsid w:val="00AE68E2"/>
    <w:rsid w:val="00AE69AD"/>
    <w:rsid w:val="00AE6A15"/>
    <w:rsid w:val="00AE6CC3"/>
    <w:rsid w:val="00AE6CDD"/>
    <w:rsid w:val="00AE6CF9"/>
    <w:rsid w:val="00AE6CFD"/>
    <w:rsid w:val="00AE6D1E"/>
    <w:rsid w:val="00AE6EF5"/>
    <w:rsid w:val="00AE7022"/>
    <w:rsid w:val="00AE725E"/>
    <w:rsid w:val="00AE736A"/>
    <w:rsid w:val="00AE73C5"/>
    <w:rsid w:val="00AE7410"/>
    <w:rsid w:val="00AE74DD"/>
    <w:rsid w:val="00AE75CA"/>
    <w:rsid w:val="00AE797B"/>
    <w:rsid w:val="00AE79F3"/>
    <w:rsid w:val="00AE7A8E"/>
    <w:rsid w:val="00AE7BE5"/>
    <w:rsid w:val="00AE7D37"/>
    <w:rsid w:val="00AF008D"/>
    <w:rsid w:val="00AF043D"/>
    <w:rsid w:val="00AF0511"/>
    <w:rsid w:val="00AF069C"/>
    <w:rsid w:val="00AF06DB"/>
    <w:rsid w:val="00AF06E7"/>
    <w:rsid w:val="00AF0819"/>
    <w:rsid w:val="00AF086D"/>
    <w:rsid w:val="00AF09E3"/>
    <w:rsid w:val="00AF0B0D"/>
    <w:rsid w:val="00AF0D7D"/>
    <w:rsid w:val="00AF0DC3"/>
    <w:rsid w:val="00AF0F49"/>
    <w:rsid w:val="00AF0F64"/>
    <w:rsid w:val="00AF123F"/>
    <w:rsid w:val="00AF178D"/>
    <w:rsid w:val="00AF1AC4"/>
    <w:rsid w:val="00AF1F15"/>
    <w:rsid w:val="00AF1FAE"/>
    <w:rsid w:val="00AF2027"/>
    <w:rsid w:val="00AF2113"/>
    <w:rsid w:val="00AF2378"/>
    <w:rsid w:val="00AF23F1"/>
    <w:rsid w:val="00AF24D1"/>
    <w:rsid w:val="00AF263C"/>
    <w:rsid w:val="00AF26B2"/>
    <w:rsid w:val="00AF2906"/>
    <w:rsid w:val="00AF2AC8"/>
    <w:rsid w:val="00AF2CBF"/>
    <w:rsid w:val="00AF2E20"/>
    <w:rsid w:val="00AF2FCC"/>
    <w:rsid w:val="00AF33EF"/>
    <w:rsid w:val="00AF34E3"/>
    <w:rsid w:val="00AF352A"/>
    <w:rsid w:val="00AF3694"/>
    <w:rsid w:val="00AF36E2"/>
    <w:rsid w:val="00AF3AB7"/>
    <w:rsid w:val="00AF3C82"/>
    <w:rsid w:val="00AF3E8A"/>
    <w:rsid w:val="00AF3EFC"/>
    <w:rsid w:val="00AF3F7B"/>
    <w:rsid w:val="00AF4083"/>
    <w:rsid w:val="00AF40A1"/>
    <w:rsid w:val="00AF439F"/>
    <w:rsid w:val="00AF48E4"/>
    <w:rsid w:val="00AF4A39"/>
    <w:rsid w:val="00AF4CB7"/>
    <w:rsid w:val="00AF4FE3"/>
    <w:rsid w:val="00AF528E"/>
    <w:rsid w:val="00AF532F"/>
    <w:rsid w:val="00AF53E4"/>
    <w:rsid w:val="00AF5691"/>
    <w:rsid w:val="00AF5750"/>
    <w:rsid w:val="00AF5985"/>
    <w:rsid w:val="00AF5A28"/>
    <w:rsid w:val="00AF5A9F"/>
    <w:rsid w:val="00AF5B1B"/>
    <w:rsid w:val="00AF5C56"/>
    <w:rsid w:val="00AF604D"/>
    <w:rsid w:val="00AF6182"/>
    <w:rsid w:val="00AF622C"/>
    <w:rsid w:val="00AF6300"/>
    <w:rsid w:val="00AF6304"/>
    <w:rsid w:val="00AF6477"/>
    <w:rsid w:val="00AF657D"/>
    <w:rsid w:val="00AF65CD"/>
    <w:rsid w:val="00AF67C8"/>
    <w:rsid w:val="00AF69E8"/>
    <w:rsid w:val="00AF6B34"/>
    <w:rsid w:val="00AF6CF4"/>
    <w:rsid w:val="00AF6E73"/>
    <w:rsid w:val="00AF70D3"/>
    <w:rsid w:val="00AF7181"/>
    <w:rsid w:val="00AF73A3"/>
    <w:rsid w:val="00AF7503"/>
    <w:rsid w:val="00AF757A"/>
    <w:rsid w:val="00AF765C"/>
    <w:rsid w:val="00AF7922"/>
    <w:rsid w:val="00AF7CAF"/>
    <w:rsid w:val="00AF7D31"/>
    <w:rsid w:val="00B00116"/>
    <w:rsid w:val="00B002F9"/>
    <w:rsid w:val="00B00460"/>
    <w:rsid w:val="00B00557"/>
    <w:rsid w:val="00B00671"/>
    <w:rsid w:val="00B007BB"/>
    <w:rsid w:val="00B00A69"/>
    <w:rsid w:val="00B00B90"/>
    <w:rsid w:val="00B00D13"/>
    <w:rsid w:val="00B00D22"/>
    <w:rsid w:val="00B010E5"/>
    <w:rsid w:val="00B0148E"/>
    <w:rsid w:val="00B015D7"/>
    <w:rsid w:val="00B019E2"/>
    <w:rsid w:val="00B01B08"/>
    <w:rsid w:val="00B01C46"/>
    <w:rsid w:val="00B01E29"/>
    <w:rsid w:val="00B02188"/>
    <w:rsid w:val="00B02195"/>
    <w:rsid w:val="00B0220F"/>
    <w:rsid w:val="00B02314"/>
    <w:rsid w:val="00B023A5"/>
    <w:rsid w:val="00B023DC"/>
    <w:rsid w:val="00B025E3"/>
    <w:rsid w:val="00B02922"/>
    <w:rsid w:val="00B02999"/>
    <w:rsid w:val="00B029E3"/>
    <w:rsid w:val="00B02C4D"/>
    <w:rsid w:val="00B02CAA"/>
    <w:rsid w:val="00B02E8A"/>
    <w:rsid w:val="00B0301C"/>
    <w:rsid w:val="00B0310D"/>
    <w:rsid w:val="00B031D7"/>
    <w:rsid w:val="00B0340E"/>
    <w:rsid w:val="00B0352A"/>
    <w:rsid w:val="00B03532"/>
    <w:rsid w:val="00B0361C"/>
    <w:rsid w:val="00B03731"/>
    <w:rsid w:val="00B039A9"/>
    <w:rsid w:val="00B039C1"/>
    <w:rsid w:val="00B03A5D"/>
    <w:rsid w:val="00B03B9A"/>
    <w:rsid w:val="00B03BC0"/>
    <w:rsid w:val="00B03D18"/>
    <w:rsid w:val="00B03D68"/>
    <w:rsid w:val="00B03E39"/>
    <w:rsid w:val="00B03E6A"/>
    <w:rsid w:val="00B03F1D"/>
    <w:rsid w:val="00B03FAF"/>
    <w:rsid w:val="00B0401E"/>
    <w:rsid w:val="00B04959"/>
    <w:rsid w:val="00B04980"/>
    <w:rsid w:val="00B04DE4"/>
    <w:rsid w:val="00B04F9B"/>
    <w:rsid w:val="00B053FC"/>
    <w:rsid w:val="00B05830"/>
    <w:rsid w:val="00B0589C"/>
    <w:rsid w:val="00B05A55"/>
    <w:rsid w:val="00B05CB7"/>
    <w:rsid w:val="00B05DC7"/>
    <w:rsid w:val="00B05E33"/>
    <w:rsid w:val="00B06180"/>
    <w:rsid w:val="00B06492"/>
    <w:rsid w:val="00B06524"/>
    <w:rsid w:val="00B065D3"/>
    <w:rsid w:val="00B06625"/>
    <w:rsid w:val="00B0668F"/>
    <w:rsid w:val="00B06772"/>
    <w:rsid w:val="00B0683C"/>
    <w:rsid w:val="00B06906"/>
    <w:rsid w:val="00B069CF"/>
    <w:rsid w:val="00B06BCA"/>
    <w:rsid w:val="00B07449"/>
    <w:rsid w:val="00B0774E"/>
    <w:rsid w:val="00B078BB"/>
    <w:rsid w:val="00B07A62"/>
    <w:rsid w:val="00B07C18"/>
    <w:rsid w:val="00B07F66"/>
    <w:rsid w:val="00B07FB4"/>
    <w:rsid w:val="00B10384"/>
    <w:rsid w:val="00B1057E"/>
    <w:rsid w:val="00B105E0"/>
    <w:rsid w:val="00B10847"/>
    <w:rsid w:val="00B10A3F"/>
    <w:rsid w:val="00B10BAE"/>
    <w:rsid w:val="00B10CC4"/>
    <w:rsid w:val="00B10CCB"/>
    <w:rsid w:val="00B10D19"/>
    <w:rsid w:val="00B10E05"/>
    <w:rsid w:val="00B10F7F"/>
    <w:rsid w:val="00B110CD"/>
    <w:rsid w:val="00B113F1"/>
    <w:rsid w:val="00B11770"/>
    <w:rsid w:val="00B117C3"/>
    <w:rsid w:val="00B11819"/>
    <w:rsid w:val="00B11E79"/>
    <w:rsid w:val="00B1214A"/>
    <w:rsid w:val="00B12200"/>
    <w:rsid w:val="00B1225C"/>
    <w:rsid w:val="00B128A6"/>
    <w:rsid w:val="00B128BE"/>
    <w:rsid w:val="00B12AAF"/>
    <w:rsid w:val="00B12C80"/>
    <w:rsid w:val="00B13182"/>
    <w:rsid w:val="00B131AC"/>
    <w:rsid w:val="00B134F7"/>
    <w:rsid w:val="00B136A8"/>
    <w:rsid w:val="00B13825"/>
    <w:rsid w:val="00B1382E"/>
    <w:rsid w:val="00B13922"/>
    <w:rsid w:val="00B13BFA"/>
    <w:rsid w:val="00B13C2D"/>
    <w:rsid w:val="00B13F53"/>
    <w:rsid w:val="00B13F6F"/>
    <w:rsid w:val="00B1423D"/>
    <w:rsid w:val="00B1426E"/>
    <w:rsid w:val="00B1431B"/>
    <w:rsid w:val="00B1451E"/>
    <w:rsid w:val="00B145A5"/>
    <w:rsid w:val="00B14A43"/>
    <w:rsid w:val="00B14AB8"/>
    <w:rsid w:val="00B14B39"/>
    <w:rsid w:val="00B14D3B"/>
    <w:rsid w:val="00B14F24"/>
    <w:rsid w:val="00B1515C"/>
    <w:rsid w:val="00B152BE"/>
    <w:rsid w:val="00B1558B"/>
    <w:rsid w:val="00B15620"/>
    <w:rsid w:val="00B15D23"/>
    <w:rsid w:val="00B15E32"/>
    <w:rsid w:val="00B15E99"/>
    <w:rsid w:val="00B15EBD"/>
    <w:rsid w:val="00B163C2"/>
    <w:rsid w:val="00B164AD"/>
    <w:rsid w:val="00B16591"/>
    <w:rsid w:val="00B16BB4"/>
    <w:rsid w:val="00B170E4"/>
    <w:rsid w:val="00B1742D"/>
    <w:rsid w:val="00B17750"/>
    <w:rsid w:val="00B17835"/>
    <w:rsid w:val="00B17AAD"/>
    <w:rsid w:val="00B17D0D"/>
    <w:rsid w:val="00B17DAB"/>
    <w:rsid w:val="00B17FAC"/>
    <w:rsid w:val="00B17FD7"/>
    <w:rsid w:val="00B2006B"/>
    <w:rsid w:val="00B200D5"/>
    <w:rsid w:val="00B200DA"/>
    <w:rsid w:val="00B20418"/>
    <w:rsid w:val="00B2054D"/>
    <w:rsid w:val="00B20AA2"/>
    <w:rsid w:val="00B20B95"/>
    <w:rsid w:val="00B20BAC"/>
    <w:rsid w:val="00B21089"/>
    <w:rsid w:val="00B211BC"/>
    <w:rsid w:val="00B2124F"/>
    <w:rsid w:val="00B212C7"/>
    <w:rsid w:val="00B212E7"/>
    <w:rsid w:val="00B212FE"/>
    <w:rsid w:val="00B213E3"/>
    <w:rsid w:val="00B215E4"/>
    <w:rsid w:val="00B219DB"/>
    <w:rsid w:val="00B21B72"/>
    <w:rsid w:val="00B21BA3"/>
    <w:rsid w:val="00B21E19"/>
    <w:rsid w:val="00B21EF5"/>
    <w:rsid w:val="00B21F7B"/>
    <w:rsid w:val="00B22349"/>
    <w:rsid w:val="00B226FC"/>
    <w:rsid w:val="00B229A3"/>
    <w:rsid w:val="00B229A7"/>
    <w:rsid w:val="00B22C1D"/>
    <w:rsid w:val="00B22D35"/>
    <w:rsid w:val="00B22D98"/>
    <w:rsid w:val="00B234B7"/>
    <w:rsid w:val="00B23540"/>
    <w:rsid w:val="00B235C6"/>
    <w:rsid w:val="00B23776"/>
    <w:rsid w:val="00B2380F"/>
    <w:rsid w:val="00B23B02"/>
    <w:rsid w:val="00B23B51"/>
    <w:rsid w:val="00B23BDD"/>
    <w:rsid w:val="00B23C3C"/>
    <w:rsid w:val="00B23F49"/>
    <w:rsid w:val="00B246BD"/>
    <w:rsid w:val="00B246CD"/>
    <w:rsid w:val="00B246D1"/>
    <w:rsid w:val="00B25291"/>
    <w:rsid w:val="00B252D2"/>
    <w:rsid w:val="00B25425"/>
    <w:rsid w:val="00B25787"/>
    <w:rsid w:val="00B259FA"/>
    <w:rsid w:val="00B25BDB"/>
    <w:rsid w:val="00B25FD2"/>
    <w:rsid w:val="00B25FD9"/>
    <w:rsid w:val="00B260C2"/>
    <w:rsid w:val="00B264CF"/>
    <w:rsid w:val="00B267FC"/>
    <w:rsid w:val="00B26863"/>
    <w:rsid w:val="00B26913"/>
    <w:rsid w:val="00B269B2"/>
    <w:rsid w:val="00B26C7A"/>
    <w:rsid w:val="00B26D13"/>
    <w:rsid w:val="00B26E7E"/>
    <w:rsid w:val="00B26EF7"/>
    <w:rsid w:val="00B26FE1"/>
    <w:rsid w:val="00B26FE5"/>
    <w:rsid w:val="00B26FEC"/>
    <w:rsid w:val="00B27009"/>
    <w:rsid w:val="00B270C6"/>
    <w:rsid w:val="00B27212"/>
    <w:rsid w:val="00B27272"/>
    <w:rsid w:val="00B27284"/>
    <w:rsid w:val="00B276D5"/>
    <w:rsid w:val="00B27786"/>
    <w:rsid w:val="00B27808"/>
    <w:rsid w:val="00B27A75"/>
    <w:rsid w:val="00B27AEB"/>
    <w:rsid w:val="00B27B74"/>
    <w:rsid w:val="00B27C0F"/>
    <w:rsid w:val="00B27C6A"/>
    <w:rsid w:val="00B30315"/>
    <w:rsid w:val="00B309BB"/>
    <w:rsid w:val="00B30CDF"/>
    <w:rsid w:val="00B30F21"/>
    <w:rsid w:val="00B30F8F"/>
    <w:rsid w:val="00B310FC"/>
    <w:rsid w:val="00B3118A"/>
    <w:rsid w:val="00B3141D"/>
    <w:rsid w:val="00B31421"/>
    <w:rsid w:val="00B3147A"/>
    <w:rsid w:val="00B31761"/>
    <w:rsid w:val="00B3198E"/>
    <w:rsid w:val="00B31E0D"/>
    <w:rsid w:val="00B320E0"/>
    <w:rsid w:val="00B320F6"/>
    <w:rsid w:val="00B322D0"/>
    <w:rsid w:val="00B322FA"/>
    <w:rsid w:val="00B32376"/>
    <w:rsid w:val="00B324FF"/>
    <w:rsid w:val="00B32557"/>
    <w:rsid w:val="00B32D8E"/>
    <w:rsid w:val="00B32E41"/>
    <w:rsid w:val="00B32EFE"/>
    <w:rsid w:val="00B3306D"/>
    <w:rsid w:val="00B3350F"/>
    <w:rsid w:val="00B33666"/>
    <w:rsid w:val="00B3390F"/>
    <w:rsid w:val="00B33B73"/>
    <w:rsid w:val="00B33C9E"/>
    <w:rsid w:val="00B33E20"/>
    <w:rsid w:val="00B33ECA"/>
    <w:rsid w:val="00B34230"/>
    <w:rsid w:val="00B3443A"/>
    <w:rsid w:val="00B345E3"/>
    <w:rsid w:val="00B346E5"/>
    <w:rsid w:val="00B3477E"/>
    <w:rsid w:val="00B34BD5"/>
    <w:rsid w:val="00B34C87"/>
    <w:rsid w:val="00B34E05"/>
    <w:rsid w:val="00B34F44"/>
    <w:rsid w:val="00B35006"/>
    <w:rsid w:val="00B35189"/>
    <w:rsid w:val="00B351C5"/>
    <w:rsid w:val="00B3536F"/>
    <w:rsid w:val="00B35707"/>
    <w:rsid w:val="00B3597A"/>
    <w:rsid w:val="00B35D80"/>
    <w:rsid w:val="00B360B9"/>
    <w:rsid w:val="00B36383"/>
    <w:rsid w:val="00B363AF"/>
    <w:rsid w:val="00B3645F"/>
    <w:rsid w:val="00B366A0"/>
    <w:rsid w:val="00B3671A"/>
    <w:rsid w:val="00B36C1D"/>
    <w:rsid w:val="00B36E66"/>
    <w:rsid w:val="00B36EC5"/>
    <w:rsid w:val="00B371A8"/>
    <w:rsid w:val="00B371CD"/>
    <w:rsid w:val="00B3723F"/>
    <w:rsid w:val="00B37288"/>
    <w:rsid w:val="00B372C5"/>
    <w:rsid w:val="00B3753A"/>
    <w:rsid w:val="00B3757E"/>
    <w:rsid w:val="00B378DB"/>
    <w:rsid w:val="00B379A3"/>
    <w:rsid w:val="00B37ADF"/>
    <w:rsid w:val="00B37B3D"/>
    <w:rsid w:val="00B37E50"/>
    <w:rsid w:val="00B4001C"/>
    <w:rsid w:val="00B400A5"/>
    <w:rsid w:val="00B4012B"/>
    <w:rsid w:val="00B40239"/>
    <w:rsid w:val="00B4032A"/>
    <w:rsid w:val="00B4040A"/>
    <w:rsid w:val="00B40548"/>
    <w:rsid w:val="00B40977"/>
    <w:rsid w:val="00B40B7B"/>
    <w:rsid w:val="00B40E1A"/>
    <w:rsid w:val="00B40E7A"/>
    <w:rsid w:val="00B40F1F"/>
    <w:rsid w:val="00B40F34"/>
    <w:rsid w:val="00B40FF4"/>
    <w:rsid w:val="00B4101B"/>
    <w:rsid w:val="00B411B5"/>
    <w:rsid w:val="00B411BF"/>
    <w:rsid w:val="00B412C6"/>
    <w:rsid w:val="00B415A9"/>
    <w:rsid w:val="00B41B49"/>
    <w:rsid w:val="00B41BEA"/>
    <w:rsid w:val="00B41E0E"/>
    <w:rsid w:val="00B41FA1"/>
    <w:rsid w:val="00B423D2"/>
    <w:rsid w:val="00B4250B"/>
    <w:rsid w:val="00B4268F"/>
    <w:rsid w:val="00B428C9"/>
    <w:rsid w:val="00B42A10"/>
    <w:rsid w:val="00B42A39"/>
    <w:rsid w:val="00B42B7A"/>
    <w:rsid w:val="00B42D23"/>
    <w:rsid w:val="00B42D99"/>
    <w:rsid w:val="00B42DD3"/>
    <w:rsid w:val="00B42ECD"/>
    <w:rsid w:val="00B42F1C"/>
    <w:rsid w:val="00B43065"/>
    <w:rsid w:val="00B435D2"/>
    <w:rsid w:val="00B4364E"/>
    <w:rsid w:val="00B437C4"/>
    <w:rsid w:val="00B43D75"/>
    <w:rsid w:val="00B43E32"/>
    <w:rsid w:val="00B44032"/>
    <w:rsid w:val="00B441AC"/>
    <w:rsid w:val="00B441DF"/>
    <w:rsid w:val="00B44315"/>
    <w:rsid w:val="00B4438C"/>
    <w:rsid w:val="00B4478C"/>
    <w:rsid w:val="00B447D5"/>
    <w:rsid w:val="00B44A68"/>
    <w:rsid w:val="00B44BA4"/>
    <w:rsid w:val="00B44C15"/>
    <w:rsid w:val="00B44ED3"/>
    <w:rsid w:val="00B451AD"/>
    <w:rsid w:val="00B4521C"/>
    <w:rsid w:val="00B452A0"/>
    <w:rsid w:val="00B45321"/>
    <w:rsid w:val="00B4545F"/>
    <w:rsid w:val="00B45524"/>
    <w:rsid w:val="00B45786"/>
    <w:rsid w:val="00B457B6"/>
    <w:rsid w:val="00B458B9"/>
    <w:rsid w:val="00B45BF5"/>
    <w:rsid w:val="00B45DAF"/>
    <w:rsid w:val="00B45EA7"/>
    <w:rsid w:val="00B45F3B"/>
    <w:rsid w:val="00B460DA"/>
    <w:rsid w:val="00B460E1"/>
    <w:rsid w:val="00B4620D"/>
    <w:rsid w:val="00B4639B"/>
    <w:rsid w:val="00B467B8"/>
    <w:rsid w:val="00B468DD"/>
    <w:rsid w:val="00B46A37"/>
    <w:rsid w:val="00B46A3A"/>
    <w:rsid w:val="00B46BFE"/>
    <w:rsid w:val="00B46C46"/>
    <w:rsid w:val="00B46E1E"/>
    <w:rsid w:val="00B4750B"/>
    <w:rsid w:val="00B47535"/>
    <w:rsid w:val="00B47555"/>
    <w:rsid w:val="00B475B4"/>
    <w:rsid w:val="00B4781D"/>
    <w:rsid w:val="00B47B5F"/>
    <w:rsid w:val="00B47CEF"/>
    <w:rsid w:val="00B47EFB"/>
    <w:rsid w:val="00B503F0"/>
    <w:rsid w:val="00B5045C"/>
    <w:rsid w:val="00B504B9"/>
    <w:rsid w:val="00B507D5"/>
    <w:rsid w:val="00B5089A"/>
    <w:rsid w:val="00B5089F"/>
    <w:rsid w:val="00B50A5B"/>
    <w:rsid w:val="00B50B31"/>
    <w:rsid w:val="00B510CA"/>
    <w:rsid w:val="00B51119"/>
    <w:rsid w:val="00B5118C"/>
    <w:rsid w:val="00B511D5"/>
    <w:rsid w:val="00B512F8"/>
    <w:rsid w:val="00B516B9"/>
    <w:rsid w:val="00B517C3"/>
    <w:rsid w:val="00B51807"/>
    <w:rsid w:val="00B51B4E"/>
    <w:rsid w:val="00B51C4A"/>
    <w:rsid w:val="00B5201A"/>
    <w:rsid w:val="00B523F6"/>
    <w:rsid w:val="00B52456"/>
    <w:rsid w:val="00B52690"/>
    <w:rsid w:val="00B526D9"/>
    <w:rsid w:val="00B528B7"/>
    <w:rsid w:val="00B52A72"/>
    <w:rsid w:val="00B52B3C"/>
    <w:rsid w:val="00B52CE0"/>
    <w:rsid w:val="00B52D0F"/>
    <w:rsid w:val="00B52F62"/>
    <w:rsid w:val="00B52FCA"/>
    <w:rsid w:val="00B532B9"/>
    <w:rsid w:val="00B539F8"/>
    <w:rsid w:val="00B53F89"/>
    <w:rsid w:val="00B5410D"/>
    <w:rsid w:val="00B541AB"/>
    <w:rsid w:val="00B54223"/>
    <w:rsid w:val="00B54788"/>
    <w:rsid w:val="00B549BE"/>
    <w:rsid w:val="00B54A19"/>
    <w:rsid w:val="00B55010"/>
    <w:rsid w:val="00B55053"/>
    <w:rsid w:val="00B550F8"/>
    <w:rsid w:val="00B5517A"/>
    <w:rsid w:val="00B55491"/>
    <w:rsid w:val="00B558DF"/>
    <w:rsid w:val="00B55959"/>
    <w:rsid w:val="00B55BF2"/>
    <w:rsid w:val="00B55CE7"/>
    <w:rsid w:val="00B560F4"/>
    <w:rsid w:val="00B56106"/>
    <w:rsid w:val="00B56160"/>
    <w:rsid w:val="00B5616F"/>
    <w:rsid w:val="00B562DC"/>
    <w:rsid w:val="00B5650E"/>
    <w:rsid w:val="00B565E9"/>
    <w:rsid w:val="00B567C6"/>
    <w:rsid w:val="00B568F7"/>
    <w:rsid w:val="00B56BEC"/>
    <w:rsid w:val="00B56E34"/>
    <w:rsid w:val="00B56F15"/>
    <w:rsid w:val="00B57043"/>
    <w:rsid w:val="00B57070"/>
    <w:rsid w:val="00B5707C"/>
    <w:rsid w:val="00B571A7"/>
    <w:rsid w:val="00B57272"/>
    <w:rsid w:val="00B573F6"/>
    <w:rsid w:val="00B57458"/>
    <w:rsid w:val="00B577E6"/>
    <w:rsid w:val="00B57814"/>
    <w:rsid w:val="00B57827"/>
    <w:rsid w:val="00B57A4A"/>
    <w:rsid w:val="00B57D55"/>
    <w:rsid w:val="00B57D66"/>
    <w:rsid w:val="00B57EFF"/>
    <w:rsid w:val="00B60008"/>
    <w:rsid w:val="00B602F3"/>
    <w:rsid w:val="00B60338"/>
    <w:rsid w:val="00B60560"/>
    <w:rsid w:val="00B60620"/>
    <w:rsid w:val="00B60BC8"/>
    <w:rsid w:val="00B60CEE"/>
    <w:rsid w:val="00B611E6"/>
    <w:rsid w:val="00B61346"/>
    <w:rsid w:val="00B61374"/>
    <w:rsid w:val="00B614D3"/>
    <w:rsid w:val="00B61506"/>
    <w:rsid w:val="00B616EA"/>
    <w:rsid w:val="00B61A93"/>
    <w:rsid w:val="00B61B60"/>
    <w:rsid w:val="00B61B84"/>
    <w:rsid w:val="00B61CCD"/>
    <w:rsid w:val="00B61E0A"/>
    <w:rsid w:val="00B61F70"/>
    <w:rsid w:val="00B61F95"/>
    <w:rsid w:val="00B62039"/>
    <w:rsid w:val="00B6227B"/>
    <w:rsid w:val="00B62298"/>
    <w:rsid w:val="00B624CB"/>
    <w:rsid w:val="00B62582"/>
    <w:rsid w:val="00B62917"/>
    <w:rsid w:val="00B62E14"/>
    <w:rsid w:val="00B62FAF"/>
    <w:rsid w:val="00B62FB5"/>
    <w:rsid w:val="00B63013"/>
    <w:rsid w:val="00B63179"/>
    <w:rsid w:val="00B63217"/>
    <w:rsid w:val="00B6345E"/>
    <w:rsid w:val="00B63717"/>
    <w:rsid w:val="00B637AC"/>
    <w:rsid w:val="00B638C7"/>
    <w:rsid w:val="00B63B77"/>
    <w:rsid w:val="00B63E66"/>
    <w:rsid w:val="00B64329"/>
    <w:rsid w:val="00B643A9"/>
    <w:rsid w:val="00B64601"/>
    <w:rsid w:val="00B64779"/>
    <w:rsid w:val="00B648E7"/>
    <w:rsid w:val="00B64C0B"/>
    <w:rsid w:val="00B64C11"/>
    <w:rsid w:val="00B64FF5"/>
    <w:rsid w:val="00B650EC"/>
    <w:rsid w:val="00B65221"/>
    <w:rsid w:val="00B65378"/>
    <w:rsid w:val="00B65550"/>
    <w:rsid w:val="00B655AC"/>
    <w:rsid w:val="00B65698"/>
    <w:rsid w:val="00B657E6"/>
    <w:rsid w:val="00B659F2"/>
    <w:rsid w:val="00B65D0A"/>
    <w:rsid w:val="00B65D5E"/>
    <w:rsid w:val="00B65E28"/>
    <w:rsid w:val="00B6606C"/>
    <w:rsid w:val="00B66169"/>
    <w:rsid w:val="00B661C5"/>
    <w:rsid w:val="00B663B1"/>
    <w:rsid w:val="00B6657C"/>
    <w:rsid w:val="00B66678"/>
    <w:rsid w:val="00B666E3"/>
    <w:rsid w:val="00B66799"/>
    <w:rsid w:val="00B669BD"/>
    <w:rsid w:val="00B66AC7"/>
    <w:rsid w:val="00B66B35"/>
    <w:rsid w:val="00B66E48"/>
    <w:rsid w:val="00B6705A"/>
    <w:rsid w:val="00B6712E"/>
    <w:rsid w:val="00B671AA"/>
    <w:rsid w:val="00B67527"/>
    <w:rsid w:val="00B67616"/>
    <w:rsid w:val="00B67975"/>
    <w:rsid w:val="00B67F93"/>
    <w:rsid w:val="00B701D0"/>
    <w:rsid w:val="00B70242"/>
    <w:rsid w:val="00B7031F"/>
    <w:rsid w:val="00B70549"/>
    <w:rsid w:val="00B707F7"/>
    <w:rsid w:val="00B70828"/>
    <w:rsid w:val="00B709F9"/>
    <w:rsid w:val="00B70C31"/>
    <w:rsid w:val="00B70FB6"/>
    <w:rsid w:val="00B710C0"/>
    <w:rsid w:val="00B719CE"/>
    <w:rsid w:val="00B71BB9"/>
    <w:rsid w:val="00B71C5F"/>
    <w:rsid w:val="00B71CD9"/>
    <w:rsid w:val="00B71D7A"/>
    <w:rsid w:val="00B71FB0"/>
    <w:rsid w:val="00B71FFF"/>
    <w:rsid w:val="00B72307"/>
    <w:rsid w:val="00B72CE7"/>
    <w:rsid w:val="00B72CFF"/>
    <w:rsid w:val="00B72E01"/>
    <w:rsid w:val="00B72E15"/>
    <w:rsid w:val="00B72EF4"/>
    <w:rsid w:val="00B72FC5"/>
    <w:rsid w:val="00B730D9"/>
    <w:rsid w:val="00B732A3"/>
    <w:rsid w:val="00B73341"/>
    <w:rsid w:val="00B73664"/>
    <w:rsid w:val="00B736DA"/>
    <w:rsid w:val="00B7388E"/>
    <w:rsid w:val="00B73A45"/>
    <w:rsid w:val="00B73BAB"/>
    <w:rsid w:val="00B73C2A"/>
    <w:rsid w:val="00B73E38"/>
    <w:rsid w:val="00B73F98"/>
    <w:rsid w:val="00B7434D"/>
    <w:rsid w:val="00B74395"/>
    <w:rsid w:val="00B74441"/>
    <w:rsid w:val="00B7449C"/>
    <w:rsid w:val="00B744CD"/>
    <w:rsid w:val="00B744D0"/>
    <w:rsid w:val="00B74538"/>
    <w:rsid w:val="00B74653"/>
    <w:rsid w:val="00B74793"/>
    <w:rsid w:val="00B74AE6"/>
    <w:rsid w:val="00B751EB"/>
    <w:rsid w:val="00B7540B"/>
    <w:rsid w:val="00B7551F"/>
    <w:rsid w:val="00B75765"/>
    <w:rsid w:val="00B75C57"/>
    <w:rsid w:val="00B75FDC"/>
    <w:rsid w:val="00B7601F"/>
    <w:rsid w:val="00B76080"/>
    <w:rsid w:val="00B761D4"/>
    <w:rsid w:val="00B76473"/>
    <w:rsid w:val="00B76530"/>
    <w:rsid w:val="00B7678C"/>
    <w:rsid w:val="00B767C2"/>
    <w:rsid w:val="00B769F1"/>
    <w:rsid w:val="00B76B10"/>
    <w:rsid w:val="00B76B75"/>
    <w:rsid w:val="00B76CF3"/>
    <w:rsid w:val="00B76CFA"/>
    <w:rsid w:val="00B76E9C"/>
    <w:rsid w:val="00B76FC7"/>
    <w:rsid w:val="00B772D0"/>
    <w:rsid w:val="00B7765F"/>
    <w:rsid w:val="00B77767"/>
    <w:rsid w:val="00B77796"/>
    <w:rsid w:val="00B778A8"/>
    <w:rsid w:val="00B77995"/>
    <w:rsid w:val="00B779AA"/>
    <w:rsid w:val="00B77C97"/>
    <w:rsid w:val="00B77F00"/>
    <w:rsid w:val="00B8005B"/>
    <w:rsid w:val="00B80088"/>
    <w:rsid w:val="00B804A4"/>
    <w:rsid w:val="00B80652"/>
    <w:rsid w:val="00B8086A"/>
    <w:rsid w:val="00B809B0"/>
    <w:rsid w:val="00B809EE"/>
    <w:rsid w:val="00B80C3E"/>
    <w:rsid w:val="00B80D02"/>
    <w:rsid w:val="00B80D89"/>
    <w:rsid w:val="00B80E2D"/>
    <w:rsid w:val="00B81162"/>
    <w:rsid w:val="00B81321"/>
    <w:rsid w:val="00B8169E"/>
    <w:rsid w:val="00B81830"/>
    <w:rsid w:val="00B81901"/>
    <w:rsid w:val="00B81B1E"/>
    <w:rsid w:val="00B81B32"/>
    <w:rsid w:val="00B81E42"/>
    <w:rsid w:val="00B81F30"/>
    <w:rsid w:val="00B81F51"/>
    <w:rsid w:val="00B8201C"/>
    <w:rsid w:val="00B82201"/>
    <w:rsid w:val="00B82368"/>
    <w:rsid w:val="00B82422"/>
    <w:rsid w:val="00B82529"/>
    <w:rsid w:val="00B8276A"/>
    <w:rsid w:val="00B827B7"/>
    <w:rsid w:val="00B82837"/>
    <w:rsid w:val="00B82845"/>
    <w:rsid w:val="00B829A6"/>
    <w:rsid w:val="00B82BA6"/>
    <w:rsid w:val="00B82C93"/>
    <w:rsid w:val="00B82F72"/>
    <w:rsid w:val="00B83106"/>
    <w:rsid w:val="00B833DB"/>
    <w:rsid w:val="00B83897"/>
    <w:rsid w:val="00B8390C"/>
    <w:rsid w:val="00B83B82"/>
    <w:rsid w:val="00B83D07"/>
    <w:rsid w:val="00B83F55"/>
    <w:rsid w:val="00B83F66"/>
    <w:rsid w:val="00B83F6B"/>
    <w:rsid w:val="00B84234"/>
    <w:rsid w:val="00B84506"/>
    <w:rsid w:val="00B84852"/>
    <w:rsid w:val="00B84860"/>
    <w:rsid w:val="00B848F1"/>
    <w:rsid w:val="00B84FDF"/>
    <w:rsid w:val="00B852C6"/>
    <w:rsid w:val="00B85354"/>
    <w:rsid w:val="00B85B13"/>
    <w:rsid w:val="00B85E35"/>
    <w:rsid w:val="00B85EB3"/>
    <w:rsid w:val="00B85ED2"/>
    <w:rsid w:val="00B8609D"/>
    <w:rsid w:val="00B860F3"/>
    <w:rsid w:val="00B860F4"/>
    <w:rsid w:val="00B8617C"/>
    <w:rsid w:val="00B8622B"/>
    <w:rsid w:val="00B862E7"/>
    <w:rsid w:val="00B8630E"/>
    <w:rsid w:val="00B866BC"/>
    <w:rsid w:val="00B8674D"/>
    <w:rsid w:val="00B869F6"/>
    <w:rsid w:val="00B86B44"/>
    <w:rsid w:val="00B86CC8"/>
    <w:rsid w:val="00B86E1A"/>
    <w:rsid w:val="00B874BE"/>
    <w:rsid w:val="00B874F0"/>
    <w:rsid w:val="00B87607"/>
    <w:rsid w:val="00B87674"/>
    <w:rsid w:val="00B876EB"/>
    <w:rsid w:val="00B87905"/>
    <w:rsid w:val="00B87A49"/>
    <w:rsid w:val="00B87CD6"/>
    <w:rsid w:val="00B87DBF"/>
    <w:rsid w:val="00B87FB8"/>
    <w:rsid w:val="00B9031B"/>
    <w:rsid w:val="00B9055A"/>
    <w:rsid w:val="00B906A7"/>
    <w:rsid w:val="00B90913"/>
    <w:rsid w:val="00B90969"/>
    <w:rsid w:val="00B90CBE"/>
    <w:rsid w:val="00B90CFC"/>
    <w:rsid w:val="00B90E10"/>
    <w:rsid w:val="00B90E56"/>
    <w:rsid w:val="00B90EA3"/>
    <w:rsid w:val="00B90F14"/>
    <w:rsid w:val="00B91024"/>
    <w:rsid w:val="00B91029"/>
    <w:rsid w:val="00B91030"/>
    <w:rsid w:val="00B910CE"/>
    <w:rsid w:val="00B91402"/>
    <w:rsid w:val="00B91566"/>
    <w:rsid w:val="00B9164D"/>
    <w:rsid w:val="00B9174C"/>
    <w:rsid w:val="00B917DF"/>
    <w:rsid w:val="00B917EA"/>
    <w:rsid w:val="00B919C1"/>
    <w:rsid w:val="00B91A13"/>
    <w:rsid w:val="00B91A80"/>
    <w:rsid w:val="00B91A81"/>
    <w:rsid w:val="00B91BBF"/>
    <w:rsid w:val="00B91EB4"/>
    <w:rsid w:val="00B91FAC"/>
    <w:rsid w:val="00B92045"/>
    <w:rsid w:val="00B9233D"/>
    <w:rsid w:val="00B9282A"/>
    <w:rsid w:val="00B92863"/>
    <w:rsid w:val="00B928B8"/>
    <w:rsid w:val="00B929CB"/>
    <w:rsid w:val="00B92B31"/>
    <w:rsid w:val="00B92E53"/>
    <w:rsid w:val="00B93069"/>
    <w:rsid w:val="00B9312A"/>
    <w:rsid w:val="00B93577"/>
    <w:rsid w:val="00B937D0"/>
    <w:rsid w:val="00B93961"/>
    <w:rsid w:val="00B93CA2"/>
    <w:rsid w:val="00B93D69"/>
    <w:rsid w:val="00B93F83"/>
    <w:rsid w:val="00B9403A"/>
    <w:rsid w:val="00B9430F"/>
    <w:rsid w:val="00B944FB"/>
    <w:rsid w:val="00B9492E"/>
    <w:rsid w:val="00B94AC6"/>
    <w:rsid w:val="00B94C31"/>
    <w:rsid w:val="00B94D33"/>
    <w:rsid w:val="00B94F8F"/>
    <w:rsid w:val="00B950BB"/>
    <w:rsid w:val="00B9514E"/>
    <w:rsid w:val="00B95197"/>
    <w:rsid w:val="00B95789"/>
    <w:rsid w:val="00B95951"/>
    <w:rsid w:val="00B95D9B"/>
    <w:rsid w:val="00B95E25"/>
    <w:rsid w:val="00B9643D"/>
    <w:rsid w:val="00B96537"/>
    <w:rsid w:val="00B96584"/>
    <w:rsid w:val="00B965E5"/>
    <w:rsid w:val="00B96CD0"/>
    <w:rsid w:val="00B96EE1"/>
    <w:rsid w:val="00B97027"/>
    <w:rsid w:val="00B97107"/>
    <w:rsid w:val="00B97114"/>
    <w:rsid w:val="00B97815"/>
    <w:rsid w:val="00B97842"/>
    <w:rsid w:val="00B97BC9"/>
    <w:rsid w:val="00B97D74"/>
    <w:rsid w:val="00B97F06"/>
    <w:rsid w:val="00BA0221"/>
    <w:rsid w:val="00BA027B"/>
    <w:rsid w:val="00BA0329"/>
    <w:rsid w:val="00BA07BF"/>
    <w:rsid w:val="00BA0878"/>
    <w:rsid w:val="00BA08AE"/>
    <w:rsid w:val="00BA0967"/>
    <w:rsid w:val="00BA0CD2"/>
    <w:rsid w:val="00BA0D1D"/>
    <w:rsid w:val="00BA0F90"/>
    <w:rsid w:val="00BA1016"/>
    <w:rsid w:val="00BA10A4"/>
    <w:rsid w:val="00BA10AF"/>
    <w:rsid w:val="00BA10DA"/>
    <w:rsid w:val="00BA124B"/>
    <w:rsid w:val="00BA1434"/>
    <w:rsid w:val="00BA14DB"/>
    <w:rsid w:val="00BA1615"/>
    <w:rsid w:val="00BA1673"/>
    <w:rsid w:val="00BA1CC3"/>
    <w:rsid w:val="00BA1E5B"/>
    <w:rsid w:val="00BA1E99"/>
    <w:rsid w:val="00BA1F9F"/>
    <w:rsid w:val="00BA1FEB"/>
    <w:rsid w:val="00BA2050"/>
    <w:rsid w:val="00BA217E"/>
    <w:rsid w:val="00BA21F8"/>
    <w:rsid w:val="00BA2308"/>
    <w:rsid w:val="00BA252D"/>
    <w:rsid w:val="00BA2852"/>
    <w:rsid w:val="00BA2AA6"/>
    <w:rsid w:val="00BA2EBB"/>
    <w:rsid w:val="00BA2FFB"/>
    <w:rsid w:val="00BA3051"/>
    <w:rsid w:val="00BA31FC"/>
    <w:rsid w:val="00BA357A"/>
    <w:rsid w:val="00BA359D"/>
    <w:rsid w:val="00BA36A9"/>
    <w:rsid w:val="00BA39B7"/>
    <w:rsid w:val="00BA3A83"/>
    <w:rsid w:val="00BA3AED"/>
    <w:rsid w:val="00BA3EF6"/>
    <w:rsid w:val="00BA421F"/>
    <w:rsid w:val="00BA427C"/>
    <w:rsid w:val="00BA448E"/>
    <w:rsid w:val="00BA4617"/>
    <w:rsid w:val="00BA4720"/>
    <w:rsid w:val="00BA47B4"/>
    <w:rsid w:val="00BA480D"/>
    <w:rsid w:val="00BA49B4"/>
    <w:rsid w:val="00BA4AEB"/>
    <w:rsid w:val="00BA4F06"/>
    <w:rsid w:val="00BA501F"/>
    <w:rsid w:val="00BA5164"/>
    <w:rsid w:val="00BA51E2"/>
    <w:rsid w:val="00BA555F"/>
    <w:rsid w:val="00BA55F9"/>
    <w:rsid w:val="00BA579B"/>
    <w:rsid w:val="00BA5B17"/>
    <w:rsid w:val="00BA5DA4"/>
    <w:rsid w:val="00BA5DC2"/>
    <w:rsid w:val="00BA5DDC"/>
    <w:rsid w:val="00BA5F61"/>
    <w:rsid w:val="00BA5F80"/>
    <w:rsid w:val="00BA646E"/>
    <w:rsid w:val="00BA64B1"/>
    <w:rsid w:val="00BA65A0"/>
    <w:rsid w:val="00BA664D"/>
    <w:rsid w:val="00BA68C7"/>
    <w:rsid w:val="00BA6952"/>
    <w:rsid w:val="00BA69E8"/>
    <w:rsid w:val="00BA6B1C"/>
    <w:rsid w:val="00BA6DDB"/>
    <w:rsid w:val="00BA6E7D"/>
    <w:rsid w:val="00BA6E94"/>
    <w:rsid w:val="00BA6F4A"/>
    <w:rsid w:val="00BA723F"/>
    <w:rsid w:val="00BA72A5"/>
    <w:rsid w:val="00BA75AC"/>
    <w:rsid w:val="00BA779B"/>
    <w:rsid w:val="00BA7948"/>
    <w:rsid w:val="00BA7CFE"/>
    <w:rsid w:val="00BA7D64"/>
    <w:rsid w:val="00BA7F4D"/>
    <w:rsid w:val="00BB0764"/>
    <w:rsid w:val="00BB08E5"/>
    <w:rsid w:val="00BB0A4E"/>
    <w:rsid w:val="00BB0C34"/>
    <w:rsid w:val="00BB0C37"/>
    <w:rsid w:val="00BB0CEA"/>
    <w:rsid w:val="00BB0E2C"/>
    <w:rsid w:val="00BB0F18"/>
    <w:rsid w:val="00BB0F1C"/>
    <w:rsid w:val="00BB0FBA"/>
    <w:rsid w:val="00BB11BE"/>
    <w:rsid w:val="00BB134F"/>
    <w:rsid w:val="00BB13AB"/>
    <w:rsid w:val="00BB15D6"/>
    <w:rsid w:val="00BB170C"/>
    <w:rsid w:val="00BB179A"/>
    <w:rsid w:val="00BB19FA"/>
    <w:rsid w:val="00BB1E95"/>
    <w:rsid w:val="00BB1F24"/>
    <w:rsid w:val="00BB23F2"/>
    <w:rsid w:val="00BB2428"/>
    <w:rsid w:val="00BB2725"/>
    <w:rsid w:val="00BB2EE4"/>
    <w:rsid w:val="00BB2FC3"/>
    <w:rsid w:val="00BB305B"/>
    <w:rsid w:val="00BB3369"/>
    <w:rsid w:val="00BB3714"/>
    <w:rsid w:val="00BB375E"/>
    <w:rsid w:val="00BB38DF"/>
    <w:rsid w:val="00BB4364"/>
    <w:rsid w:val="00BB43B6"/>
    <w:rsid w:val="00BB45BA"/>
    <w:rsid w:val="00BB4810"/>
    <w:rsid w:val="00BB48BF"/>
    <w:rsid w:val="00BB48D7"/>
    <w:rsid w:val="00BB4A53"/>
    <w:rsid w:val="00BB4B0B"/>
    <w:rsid w:val="00BB4C3A"/>
    <w:rsid w:val="00BB4DB1"/>
    <w:rsid w:val="00BB4E44"/>
    <w:rsid w:val="00BB4F72"/>
    <w:rsid w:val="00BB4F77"/>
    <w:rsid w:val="00BB4F81"/>
    <w:rsid w:val="00BB4F86"/>
    <w:rsid w:val="00BB50AC"/>
    <w:rsid w:val="00BB53CF"/>
    <w:rsid w:val="00BB552F"/>
    <w:rsid w:val="00BB555C"/>
    <w:rsid w:val="00BB5587"/>
    <w:rsid w:val="00BB5590"/>
    <w:rsid w:val="00BB576C"/>
    <w:rsid w:val="00BB57C2"/>
    <w:rsid w:val="00BB59CD"/>
    <w:rsid w:val="00BB5A51"/>
    <w:rsid w:val="00BB5C09"/>
    <w:rsid w:val="00BB5C51"/>
    <w:rsid w:val="00BB5E2A"/>
    <w:rsid w:val="00BB5E95"/>
    <w:rsid w:val="00BB637A"/>
    <w:rsid w:val="00BB63BD"/>
    <w:rsid w:val="00BB63C2"/>
    <w:rsid w:val="00BB659D"/>
    <w:rsid w:val="00BB6794"/>
    <w:rsid w:val="00BB68EA"/>
    <w:rsid w:val="00BB6916"/>
    <w:rsid w:val="00BB6AF7"/>
    <w:rsid w:val="00BB6B20"/>
    <w:rsid w:val="00BB6C08"/>
    <w:rsid w:val="00BB6D79"/>
    <w:rsid w:val="00BB72BC"/>
    <w:rsid w:val="00BB7384"/>
    <w:rsid w:val="00BB7471"/>
    <w:rsid w:val="00BB74B7"/>
    <w:rsid w:val="00BB7A19"/>
    <w:rsid w:val="00BB7A33"/>
    <w:rsid w:val="00BB7A9D"/>
    <w:rsid w:val="00BB7AA5"/>
    <w:rsid w:val="00BB7B87"/>
    <w:rsid w:val="00BB7DC9"/>
    <w:rsid w:val="00BB7E67"/>
    <w:rsid w:val="00BB7E9B"/>
    <w:rsid w:val="00BB7ECE"/>
    <w:rsid w:val="00BB7F8D"/>
    <w:rsid w:val="00BC00AC"/>
    <w:rsid w:val="00BC01D8"/>
    <w:rsid w:val="00BC0209"/>
    <w:rsid w:val="00BC05C0"/>
    <w:rsid w:val="00BC06AD"/>
    <w:rsid w:val="00BC09DE"/>
    <w:rsid w:val="00BC0A37"/>
    <w:rsid w:val="00BC0AE9"/>
    <w:rsid w:val="00BC0AF1"/>
    <w:rsid w:val="00BC0B75"/>
    <w:rsid w:val="00BC0C64"/>
    <w:rsid w:val="00BC0E99"/>
    <w:rsid w:val="00BC0F8A"/>
    <w:rsid w:val="00BC0F8F"/>
    <w:rsid w:val="00BC0FB0"/>
    <w:rsid w:val="00BC0FC2"/>
    <w:rsid w:val="00BC107B"/>
    <w:rsid w:val="00BC110D"/>
    <w:rsid w:val="00BC11D9"/>
    <w:rsid w:val="00BC11FE"/>
    <w:rsid w:val="00BC1320"/>
    <w:rsid w:val="00BC1524"/>
    <w:rsid w:val="00BC154C"/>
    <w:rsid w:val="00BC1569"/>
    <w:rsid w:val="00BC16E2"/>
    <w:rsid w:val="00BC1796"/>
    <w:rsid w:val="00BC17A3"/>
    <w:rsid w:val="00BC1B7F"/>
    <w:rsid w:val="00BC1DE2"/>
    <w:rsid w:val="00BC1F68"/>
    <w:rsid w:val="00BC1F74"/>
    <w:rsid w:val="00BC2014"/>
    <w:rsid w:val="00BC26B7"/>
    <w:rsid w:val="00BC2875"/>
    <w:rsid w:val="00BC28AB"/>
    <w:rsid w:val="00BC292E"/>
    <w:rsid w:val="00BC2930"/>
    <w:rsid w:val="00BC2D4D"/>
    <w:rsid w:val="00BC2E0F"/>
    <w:rsid w:val="00BC30B0"/>
    <w:rsid w:val="00BC327D"/>
    <w:rsid w:val="00BC3313"/>
    <w:rsid w:val="00BC334E"/>
    <w:rsid w:val="00BC33B9"/>
    <w:rsid w:val="00BC33DD"/>
    <w:rsid w:val="00BC3690"/>
    <w:rsid w:val="00BC389E"/>
    <w:rsid w:val="00BC38DA"/>
    <w:rsid w:val="00BC39DA"/>
    <w:rsid w:val="00BC3AA6"/>
    <w:rsid w:val="00BC3B14"/>
    <w:rsid w:val="00BC3EE3"/>
    <w:rsid w:val="00BC4170"/>
    <w:rsid w:val="00BC452D"/>
    <w:rsid w:val="00BC461A"/>
    <w:rsid w:val="00BC480A"/>
    <w:rsid w:val="00BC492D"/>
    <w:rsid w:val="00BC4A65"/>
    <w:rsid w:val="00BC52B6"/>
    <w:rsid w:val="00BC53A3"/>
    <w:rsid w:val="00BC55AA"/>
    <w:rsid w:val="00BC5656"/>
    <w:rsid w:val="00BC5899"/>
    <w:rsid w:val="00BC5909"/>
    <w:rsid w:val="00BC5B52"/>
    <w:rsid w:val="00BC5E2D"/>
    <w:rsid w:val="00BC5E61"/>
    <w:rsid w:val="00BC6069"/>
    <w:rsid w:val="00BC60DA"/>
    <w:rsid w:val="00BC62AF"/>
    <w:rsid w:val="00BC62F2"/>
    <w:rsid w:val="00BC649D"/>
    <w:rsid w:val="00BC6838"/>
    <w:rsid w:val="00BC69E4"/>
    <w:rsid w:val="00BC6D8B"/>
    <w:rsid w:val="00BC6D8C"/>
    <w:rsid w:val="00BC700E"/>
    <w:rsid w:val="00BC70C2"/>
    <w:rsid w:val="00BC7223"/>
    <w:rsid w:val="00BC7441"/>
    <w:rsid w:val="00BC7485"/>
    <w:rsid w:val="00BC761F"/>
    <w:rsid w:val="00BC76DC"/>
    <w:rsid w:val="00BC78FD"/>
    <w:rsid w:val="00BC7ABD"/>
    <w:rsid w:val="00BC7BF5"/>
    <w:rsid w:val="00BC7FC7"/>
    <w:rsid w:val="00BD0144"/>
    <w:rsid w:val="00BD0388"/>
    <w:rsid w:val="00BD03F5"/>
    <w:rsid w:val="00BD0504"/>
    <w:rsid w:val="00BD0521"/>
    <w:rsid w:val="00BD0910"/>
    <w:rsid w:val="00BD0B97"/>
    <w:rsid w:val="00BD0D39"/>
    <w:rsid w:val="00BD1016"/>
    <w:rsid w:val="00BD111B"/>
    <w:rsid w:val="00BD134B"/>
    <w:rsid w:val="00BD16D3"/>
    <w:rsid w:val="00BD19E5"/>
    <w:rsid w:val="00BD1A87"/>
    <w:rsid w:val="00BD1ACB"/>
    <w:rsid w:val="00BD1C27"/>
    <w:rsid w:val="00BD1C36"/>
    <w:rsid w:val="00BD1CF5"/>
    <w:rsid w:val="00BD1D5D"/>
    <w:rsid w:val="00BD1E24"/>
    <w:rsid w:val="00BD1F4C"/>
    <w:rsid w:val="00BD22E4"/>
    <w:rsid w:val="00BD2521"/>
    <w:rsid w:val="00BD290E"/>
    <w:rsid w:val="00BD2AF9"/>
    <w:rsid w:val="00BD2DBB"/>
    <w:rsid w:val="00BD2EB6"/>
    <w:rsid w:val="00BD2F15"/>
    <w:rsid w:val="00BD2F1C"/>
    <w:rsid w:val="00BD319E"/>
    <w:rsid w:val="00BD31FB"/>
    <w:rsid w:val="00BD3300"/>
    <w:rsid w:val="00BD3411"/>
    <w:rsid w:val="00BD3498"/>
    <w:rsid w:val="00BD3556"/>
    <w:rsid w:val="00BD36BC"/>
    <w:rsid w:val="00BD3A04"/>
    <w:rsid w:val="00BD3C18"/>
    <w:rsid w:val="00BD3E22"/>
    <w:rsid w:val="00BD3FCE"/>
    <w:rsid w:val="00BD4241"/>
    <w:rsid w:val="00BD425D"/>
    <w:rsid w:val="00BD433C"/>
    <w:rsid w:val="00BD4614"/>
    <w:rsid w:val="00BD462B"/>
    <w:rsid w:val="00BD465F"/>
    <w:rsid w:val="00BD4847"/>
    <w:rsid w:val="00BD4B75"/>
    <w:rsid w:val="00BD4C49"/>
    <w:rsid w:val="00BD4C58"/>
    <w:rsid w:val="00BD4CA6"/>
    <w:rsid w:val="00BD4CBA"/>
    <w:rsid w:val="00BD4D67"/>
    <w:rsid w:val="00BD4DA0"/>
    <w:rsid w:val="00BD54FE"/>
    <w:rsid w:val="00BD5593"/>
    <w:rsid w:val="00BD5850"/>
    <w:rsid w:val="00BD5BD2"/>
    <w:rsid w:val="00BD5ED4"/>
    <w:rsid w:val="00BD5F58"/>
    <w:rsid w:val="00BD6005"/>
    <w:rsid w:val="00BD615E"/>
    <w:rsid w:val="00BD6526"/>
    <w:rsid w:val="00BD69CE"/>
    <w:rsid w:val="00BD6A53"/>
    <w:rsid w:val="00BD6CA8"/>
    <w:rsid w:val="00BD6CD1"/>
    <w:rsid w:val="00BD6E36"/>
    <w:rsid w:val="00BD6E46"/>
    <w:rsid w:val="00BD745B"/>
    <w:rsid w:val="00BD74D3"/>
    <w:rsid w:val="00BD755F"/>
    <w:rsid w:val="00BD7668"/>
    <w:rsid w:val="00BD7697"/>
    <w:rsid w:val="00BD76EC"/>
    <w:rsid w:val="00BD79E7"/>
    <w:rsid w:val="00BD7CE3"/>
    <w:rsid w:val="00BD7F1F"/>
    <w:rsid w:val="00BE0055"/>
    <w:rsid w:val="00BE00A0"/>
    <w:rsid w:val="00BE0180"/>
    <w:rsid w:val="00BE04C1"/>
    <w:rsid w:val="00BE0A86"/>
    <w:rsid w:val="00BE0AE8"/>
    <w:rsid w:val="00BE0B33"/>
    <w:rsid w:val="00BE0F09"/>
    <w:rsid w:val="00BE0F82"/>
    <w:rsid w:val="00BE0FDC"/>
    <w:rsid w:val="00BE1EC4"/>
    <w:rsid w:val="00BE1EF2"/>
    <w:rsid w:val="00BE20AB"/>
    <w:rsid w:val="00BE20E2"/>
    <w:rsid w:val="00BE2105"/>
    <w:rsid w:val="00BE2183"/>
    <w:rsid w:val="00BE26CC"/>
    <w:rsid w:val="00BE283C"/>
    <w:rsid w:val="00BE298C"/>
    <w:rsid w:val="00BE29C8"/>
    <w:rsid w:val="00BE2A78"/>
    <w:rsid w:val="00BE2E28"/>
    <w:rsid w:val="00BE30E9"/>
    <w:rsid w:val="00BE32BF"/>
    <w:rsid w:val="00BE3389"/>
    <w:rsid w:val="00BE3417"/>
    <w:rsid w:val="00BE3894"/>
    <w:rsid w:val="00BE3E0B"/>
    <w:rsid w:val="00BE3FA0"/>
    <w:rsid w:val="00BE409D"/>
    <w:rsid w:val="00BE4100"/>
    <w:rsid w:val="00BE4141"/>
    <w:rsid w:val="00BE4174"/>
    <w:rsid w:val="00BE42F6"/>
    <w:rsid w:val="00BE4383"/>
    <w:rsid w:val="00BE46AD"/>
    <w:rsid w:val="00BE478A"/>
    <w:rsid w:val="00BE4A84"/>
    <w:rsid w:val="00BE4BA9"/>
    <w:rsid w:val="00BE4CD6"/>
    <w:rsid w:val="00BE530D"/>
    <w:rsid w:val="00BE5470"/>
    <w:rsid w:val="00BE55C1"/>
    <w:rsid w:val="00BE58C7"/>
    <w:rsid w:val="00BE594D"/>
    <w:rsid w:val="00BE594E"/>
    <w:rsid w:val="00BE59C1"/>
    <w:rsid w:val="00BE5D98"/>
    <w:rsid w:val="00BE5E63"/>
    <w:rsid w:val="00BE5F34"/>
    <w:rsid w:val="00BE60E1"/>
    <w:rsid w:val="00BE63C1"/>
    <w:rsid w:val="00BE644F"/>
    <w:rsid w:val="00BE66D2"/>
    <w:rsid w:val="00BE66F6"/>
    <w:rsid w:val="00BE6A63"/>
    <w:rsid w:val="00BE6A9C"/>
    <w:rsid w:val="00BE6AC2"/>
    <w:rsid w:val="00BE6BDF"/>
    <w:rsid w:val="00BE6C5D"/>
    <w:rsid w:val="00BE6D1E"/>
    <w:rsid w:val="00BE6E7D"/>
    <w:rsid w:val="00BE737F"/>
    <w:rsid w:val="00BE745B"/>
    <w:rsid w:val="00BE76E8"/>
    <w:rsid w:val="00BE792F"/>
    <w:rsid w:val="00BE7A4F"/>
    <w:rsid w:val="00BE7AC7"/>
    <w:rsid w:val="00BE7DF1"/>
    <w:rsid w:val="00BE7E07"/>
    <w:rsid w:val="00BF0027"/>
    <w:rsid w:val="00BF0295"/>
    <w:rsid w:val="00BF04FC"/>
    <w:rsid w:val="00BF06D2"/>
    <w:rsid w:val="00BF07D1"/>
    <w:rsid w:val="00BF0822"/>
    <w:rsid w:val="00BF0959"/>
    <w:rsid w:val="00BF0A67"/>
    <w:rsid w:val="00BF0A8F"/>
    <w:rsid w:val="00BF0C92"/>
    <w:rsid w:val="00BF0E23"/>
    <w:rsid w:val="00BF0EA5"/>
    <w:rsid w:val="00BF0EF7"/>
    <w:rsid w:val="00BF0F2C"/>
    <w:rsid w:val="00BF10FA"/>
    <w:rsid w:val="00BF1195"/>
    <w:rsid w:val="00BF15AF"/>
    <w:rsid w:val="00BF172C"/>
    <w:rsid w:val="00BF179A"/>
    <w:rsid w:val="00BF17A7"/>
    <w:rsid w:val="00BF1889"/>
    <w:rsid w:val="00BF194D"/>
    <w:rsid w:val="00BF1974"/>
    <w:rsid w:val="00BF1F07"/>
    <w:rsid w:val="00BF1FD0"/>
    <w:rsid w:val="00BF20D0"/>
    <w:rsid w:val="00BF2242"/>
    <w:rsid w:val="00BF22BC"/>
    <w:rsid w:val="00BF2548"/>
    <w:rsid w:val="00BF2710"/>
    <w:rsid w:val="00BF27BD"/>
    <w:rsid w:val="00BF2AC9"/>
    <w:rsid w:val="00BF2DA5"/>
    <w:rsid w:val="00BF3013"/>
    <w:rsid w:val="00BF3077"/>
    <w:rsid w:val="00BF3116"/>
    <w:rsid w:val="00BF327F"/>
    <w:rsid w:val="00BF3289"/>
    <w:rsid w:val="00BF3347"/>
    <w:rsid w:val="00BF357C"/>
    <w:rsid w:val="00BF36A6"/>
    <w:rsid w:val="00BF3862"/>
    <w:rsid w:val="00BF38A8"/>
    <w:rsid w:val="00BF3918"/>
    <w:rsid w:val="00BF395E"/>
    <w:rsid w:val="00BF4198"/>
    <w:rsid w:val="00BF4464"/>
    <w:rsid w:val="00BF450C"/>
    <w:rsid w:val="00BF48B9"/>
    <w:rsid w:val="00BF4A3B"/>
    <w:rsid w:val="00BF4AA1"/>
    <w:rsid w:val="00BF4B96"/>
    <w:rsid w:val="00BF4BB0"/>
    <w:rsid w:val="00BF4D43"/>
    <w:rsid w:val="00BF4DBC"/>
    <w:rsid w:val="00BF4DFB"/>
    <w:rsid w:val="00BF4EEE"/>
    <w:rsid w:val="00BF5025"/>
    <w:rsid w:val="00BF5242"/>
    <w:rsid w:val="00BF52F5"/>
    <w:rsid w:val="00BF5486"/>
    <w:rsid w:val="00BF58DC"/>
    <w:rsid w:val="00BF5B46"/>
    <w:rsid w:val="00BF5B4F"/>
    <w:rsid w:val="00BF5BCE"/>
    <w:rsid w:val="00BF60AC"/>
    <w:rsid w:val="00BF6157"/>
    <w:rsid w:val="00BF61C5"/>
    <w:rsid w:val="00BF6298"/>
    <w:rsid w:val="00BF63A9"/>
    <w:rsid w:val="00BF63B6"/>
    <w:rsid w:val="00BF654E"/>
    <w:rsid w:val="00BF666C"/>
    <w:rsid w:val="00BF6783"/>
    <w:rsid w:val="00BF67CE"/>
    <w:rsid w:val="00BF67F6"/>
    <w:rsid w:val="00BF6AA0"/>
    <w:rsid w:val="00BF6B79"/>
    <w:rsid w:val="00BF6BFB"/>
    <w:rsid w:val="00BF6D0D"/>
    <w:rsid w:val="00BF6EB9"/>
    <w:rsid w:val="00BF6EBB"/>
    <w:rsid w:val="00BF6EBD"/>
    <w:rsid w:val="00BF705E"/>
    <w:rsid w:val="00BF7070"/>
    <w:rsid w:val="00BF7382"/>
    <w:rsid w:val="00BF7570"/>
    <w:rsid w:val="00BF77BF"/>
    <w:rsid w:val="00BF7847"/>
    <w:rsid w:val="00BF7CE0"/>
    <w:rsid w:val="00BF7D27"/>
    <w:rsid w:val="00BF7DFB"/>
    <w:rsid w:val="00BF7F02"/>
    <w:rsid w:val="00C000AF"/>
    <w:rsid w:val="00C001C0"/>
    <w:rsid w:val="00C002D8"/>
    <w:rsid w:val="00C00493"/>
    <w:rsid w:val="00C004FA"/>
    <w:rsid w:val="00C00636"/>
    <w:rsid w:val="00C00978"/>
    <w:rsid w:val="00C00A8A"/>
    <w:rsid w:val="00C00DEE"/>
    <w:rsid w:val="00C00FF1"/>
    <w:rsid w:val="00C01091"/>
    <w:rsid w:val="00C017C0"/>
    <w:rsid w:val="00C01AC3"/>
    <w:rsid w:val="00C01C9A"/>
    <w:rsid w:val="00C01E88"/>
    <w:rsid w:val="00C022AA"/>
    <w:rsid w:val="00C02508"/>
    <w:rsid w:val="00C0253B"/>
    <w:rsid w:val="00C02782"/>
    <w:rsid w:val="00C02823"/>
    <w:rsid w:val="00C028BA"/>
    <w:rsid w:val="00C02994"/>
    <w:rsid w:val="00C02B07"/>
    <w:rsid w:val="00C02D38"/>
    <w:rsid w:val="00C02DD6"/>
    <w:rsid w:val="00C02E3A"/>
    <w:rsid w:val="00C02F3F"/>
    <w:rsid w:val="00C03334"/>
    <w:rsid w:val="00C03503"/>
    <w:rsid w:val="00C03584"/>
    <w:rsid w:val="00C0372D"/>
    <w:rsid w:val="00C0394F"/>
    <w:rsid w:val="00C03AF3"/>
    <w:rsid w:val="00C03C82"/>
    <w:rsid w:val="00C03FAF"/>
    <w:rsid w:val="00C040F9"/>
    <w:rsid w:val="00C0412A"/>
    <w:rsid w:val="00C0439F"/>
    <w:rsid w:val="00C04786"/>
    <w:rsid w:val="00C04E9A"/>
    <w:rsid w:val="00C0506A"/>
    <w:rsid w:val="00C050D1"/>
    <w:rsid w:val="00C05158"/>
    <w:rsid w:val="00C052B2"/>
    <w:rsid w:val="00C053D7"/>
    <w:rsid w:val="00C05442"/>
    <w:rsid w:val="00C05807"/>
    <w:rsid w:val="00C05814"/>
    <w:rsid w:val="00C0588C"/>
    <w:rsid w:val="00C058A2"/>
    <w:rsid w:val="00C0597C"/>
    <w:rsid w:val="00C05AFE"/>
    <w:rsid w:val="00C05B3E"/>
    <w:rsid w:val="00C05B96"/>
    <w:rsid w:val="00C05C6F"/>
    <w:rsid w:val="00C0613E"/>
    <w:rsid w:val="00C061B7"/>
    <w:rsid w:val="00C061D4"/>
    <w:rsid w:val="00C062F4"/>
    <w:rsid w:val="00C06338"/>
    <w:rsid w:val="00C065E9"/>
    <w:rsid w:val="00C06B7F"/>
    <w:rsid w:val="00C06D8A"/>
    <w:rsid w:val="00C06DB3"/>
    <w:rsid w:val="00C07485"/>
    <w:rsid w:val="00C0786D"/>
    <w:rsid w:val="00C07989"/>
    <w:rsid w:val="00C07F01"/>
    <w:rsid w:val="00C07FB8"/>
    <w:rsid w:val="00C07FC8"/>
    <w:rsid w:val="00C100FF"/>
    <w:rsid w:val="00C1029A"/>
    <w:rsid w:val="00C10426"/>
    <w:rsid w:val="00C10700"/>
    <w:rsid w:val="00C1087D"/>
    <w:rsid w:val="00C109CF"/>
    <w:rsid w:val="00C10A32"/>
    <w:rsid w:val="00C10C5E"/>
    <w:rsid w:val="00C11070"/>
    <w:rsid w:val="00C112D3"/>
    <w:rsid w:val="00C1140F"/>
    <w:rsid w:val="00C114E0"/>
    <w:rsid w:val="00C11605"/>
    <w:rsid w:val="00C11617"/>
    <w:rsid w:val="00C1186C"/>
    <w:rsid w:val="00C11AF7"/>
    <w:rsid w:val="00C11E23"/>
    <w:rsid w:val="00C1201A"/>
    <w:rsid w:val="00C12B55"/>
    <w:rsid w:val="00C12E6F"/>
    <w:rsid w:val="00C12EBC"/>
    <w:rsid w:val="00C12F2A"/>
    <w:rsid w:val="00C12FD6"/>
    <w:rsid w:val="00C1311B"/>
    <w:rsid w:val="00C13223"/>
    <w:rsid w:val="00C1339E"/>
    <w:rsid w:val="00C133F0"/>
    <w:rsid w:val="00C13419"/>
    <w:rsid w:val="00C13933"/>
    <w:rsid w:val="00C1393A"/>
    <w:rsid w:val="00C13A0D"/>
    <w:rsid w:val="00C13B8D"/>
    <w:rsid w:val="00C13C65"/>
    <w:rsid w:val="00C14025"/>
    <w:rsid w:val="00C1406A"/>
    <w:rsid w:val="00C1428C"/>
    <w:rsid w:val="00C1429D"/>
    <w:rsid w:val="00C144F3"/>
    <w:rsid w:val="00C1470B"/>
    <w:rsid w:val="00C14731"/>
    <w:rsid w:val="00C1475C"/>
    <w:rsid w:val="00C14959"/>
    <w:rsid w:val="00C15146"/>
    <w:rsid w:val="00C15764"/>
    <w:rsid w:val="00C1591F"/>
    <w:rsid w:val="00C15A75"/>
    <w:rsid w:val="00C15D24"/>
    <w:rsid w:val="00C15EB0"/>
    <w:rsid w:val="00C1623F"/>
    <w:rsid w:val="00C1627D"/>
    <w:rsid w:val="00C165A7"/>
    <w:rsid w:val="00C165D4"/>
    <w:rsid w:val="00C16A2E"/>
    <w:rsid w:val="00C16A31"/>
    <w:rsid w:val="00C16A4D"/>
    <w:rsid w:val="00C16AFF"/>
    <w:rsid w:val="00C16BF4"/>
    <w:rsid w:val="00C16C52"/>
    <w:rsid w:val="00C16D28"/>
    <w:rsid w:val="00C16D2A"/>
    <w:rsid w:val="00C17154"/>
    <w:rsid w:val="00C172CC"/>
    <w:rsid w:val="00C17345"/>
    <w:rsid w:val="00C173A6"/>
    <w:rsid w:val="00C175DD"/>
    <w:rsid w:val="00C17820"/>
    <w:rsid w:val="00C179A0"/>
    <w:rsid w:val="00C17A77"/>
    <w:rsid w:val="00C17BB5"/>
    <w:rsid w:val="00C17D44"/>
    <w:rsid w:val="00C17DAE"/>
    <w:rsid w:val="00C2044F"/>
    <w:rsid w:val="00C20BC9"/>
    <w:rsid w:val="00C20D99"/>
    <w:rsid w:val="00C20F85"/>
    <w:rsid w:val="00C21098"/>
    <w:rsid w:val="00C2116C"/>
    <w:rsid w:val="00C211E9"/>
    <w:rsid w:val="00C212FA"/>
    <w:rsid w:val="00C213CE"/>
    <w:rsid w:val="00C214AA"/>
    <w:rsid w:val="00C214D4"/>
    <w:rsid w:val="00C21508"/>
    <w:rsid w:val="00C2174F"/>
    <w:rsid w:val="00C217AE"/>
    <w:rsid w:val="00C2181B"/>
    <w:rsid w:val="00C21880"/>
    <w:rsid w:val="00C21934"/>
    <w:rsid w:val="00C21A50"/>
    <w:rsid w:val="00C21CFE"/>
    <w:rsid w:val="00C21D33"/>
    <w:rsid w:val="00C22007"/>
    <w:rsid w:val="00C22164"/>
    <w:rsid w:val="00C2223F"/>
    <w:rsid w:val="00C2266F"/>
    <w:rsid w:val="00C22760"/>
    <w:rsid w:val="00C22ADA"/>
    <w:rsid w:val="00C22B7A"/>
    <w:rsid w:val="00C22FA7"/>
    <w:rsid w:val="00C23022"/>
    <w:rsid w:val="00C23074"/>
    <w:rsid w:val="00C2346C"/>
    <w:rsid w:val="00C23858"/>
    <w:rsid w:val="00C238BA"/>
    <w:rsid w:val="00C23B2D"/>
    <w:rsid w:val="00C23D2C"/>
    <w:rsid w:val="00C2435B"/>
    <w:rsid w:val="00C24499"/>
    <w:rsid w:val="00C2450A"/>
    <w:rsid w:val="00C24D8B"/>
    <w:rsid w:val="00C250B2"/>
    <w:rsid w:val="00C251DC"/>
    <w:rsid w:val="00C2526A"/>
    <w:rsid w:val="00C25425"/>
    <w:rsid w:val="00C2559A"/>
    <w:rsid w:val="00C25641"/>
    <w:rsid w:val="00C2565B"/>
    <w:rsid w:val="00C257E2"/>
    <w:rsid w:val="00C25925"/>
    <w:rsid w:val="00C25B3F"/>
    <w:rsid w:val="00C25DBA"/>
    <w:rsid w:val="00C25EA3"/>
    <w:rsid w:val="00C2610C"/>
    <w:rsid w:val="00C26160"/>
    <w:rsid w:val="00C26304"/>
    <w:rsid w:val="00C26413"/>
    <w:rsid w:val="00C2659F"/>
    <w:rsid w:val="00C266C7"/>
    <w:rsid w:val="00C26833"/>
    <w:rsid w:val="00C26871"/>
    <w:rsid w:val="00C268BF"/>
    <w:rsid w:val="00C269B8"/>
    <w:rsid w:val="00C26A6B"/>
    <w:rsid w:val="00C26BDC"/>
    <w:rsid w:val="00C26CA0"/>
    <w:rsid w:val="00C26EC1"/>
    <w:rsid w:val="00C270D5"/>
    <w:rsid w:val="00C2731B"/>
    <w:rsid w:val="00C275EB"/>
    <w:rsid w:val="00C27933"/>
    <w:rsid w:val="00C27C0A"/>
    <w:rsid w:val="00C27EB4"/>
    <w:rsid w:val="00C300BE"/>
    <w:rsid w:val="00C303A8"/>
    <w:rsid w:val="00C30606"/>
    <w:rsid w:val="00C30BF3"/>
    <w:rsid w:val="00C30E0B"/>
    <w:rsid w:val="00C30E8D"/>
    <w:rsid w:val="00C30EB4"/>
    <w:rsid w:val="00C30EE9"/>
    <w:rsid w:val="00C30FFD"/>
    <w:rsid w:val="00C310FD"/>
    <w:rsid w:val="00C3114C"/>
    <w:rsid w:val="00C31579"/>
    <w:rsid w:val="00C3162B"/>
    <w:rsid w:val="00C3162E"/>
    <w:rsid w:val="00C3198C"/>
    <w:rsid w:val="00C31ABA"/>
    <w:rsid w:val="00C31B82"/>
    <w:rsid w:val="00C31E0B"/>
    <w:rsid w:val="00C3261F"/>
    <w:rsid w:val="00C3264A"/>
    <w:rsid w:val="00C326C4"/>
    <w:rsid w:val="00C32852"/>
    <w:rsid w:val="00C3291E"/>
    <w:rsid w:val="00C32AAB"/>
    <w:rsid w:val="00C32C9E"/>
    <w:rsid w:val="00C32D63"/>
    <w:rsid w:val="00C32E03"/>
    <w:rsid w:val="00C330BE"/>
    <w:rsid w:val="00C33195"/>
    <w:rsid w:val="00C3320D"/>
    <w:rsid w:val="00C33281"/>
    <w:rsid w:val="00C33956"/>
    <w:rsid w:val="00C339CF"/>
    <w:rsid w:val="00C33A13"/>
    <w:rsid w:val="00C33BD8"/>
    <w:rsid w:val="00C33C09"/>
    <w:rsid w:val="00C33EC2"/>
    <w:rsid w:val="00C33FC9"/>
    <w:rsid w:val="00C34044"/>
    <w:rsid w:val="00C3437C"/>
    <w:rsid w:val="00C34394"/>
    <w:rsid w:val="00C34650"/>
    <w:rsid w:val="00C34687"/>
    <w:rsid w:val="00C347CD"/>
    <w:rsid w:val="00C34842"/>
    <w:rsid w:val="00C34BDB"/>
    <w:rsid w:val="00C34F0D"/>
    <w:rsid w:val="00C34F85"/>
    <w:rsid w:val="00C35068"/>
    <w:rsid w:val="00C3530D"/>
    <w:rsid w:val="00C35378"/>
    <w:rsid w:val="00C35480"/>
    <w:rsid w:val="00C354B1"/>
    <w:rsid w:val="00C356C0"/>
    <w:rsid w:val="00C356D0"/>
    <w:rsid w:val="00C357B9"/>
    <w:rsid w:val="00C357D5"/>
    <w:rsid w:val="00C35A89"/>
    <w:rsid w:val="00C35AEF"/>
    <w:rsid w:val="00C35CC0"/>
    <w:rsid w:val="00C35D21"/>
    <w:rsid w:val="00C35DAE"/>
    <w:rsid w:val="00C36008"/>
    <w:rsid w:val="00C36165"/>
    <w:rsid w:val="00C3620C"/>
    <w:rsid w:val="00C36475"/>
    <w:rsid w:val="00C36667"/>
    <w:rsid w:val="00C3672C"/>
    <w:rsid w:val="00C36733"/>
    <w:rsid w:val="00C369C8"/>
    <w:rsid w:val="00C36B52"/>
    <w:rsid w:val="00C36DF6"/>
    <w:rsid w:val="00C36E8B"/>
    <w:rsid w:val="00C36FB6"/>
    <w:rsid w:val="00C37070"/>
    <w:rsid w:val="00C37085"/>
    <w:rsid w:val="00C372D8"/>
    <w:rsid w:val="00C37481"/>
    <w:rsid w:val="00C376E1"/>
    <w:rsid w:val="00C37796"/>
    <w:rsid w:val="00C37A8D"/>
    <w:rsid w:val="00C37CC0"/>
    <w:rsid w:val="00C40416"/>
    <w:rsid w:val="00C405B2"/>
    <w:rsid w:val="00C4060A"/>
    <w:rsid w:val="00C408C2"/>
    <w:rsid w:val="00C40C09"/>
    <w:rsid w:val="00C410B8"/>
    <w:rsid w:val="00C412E5"/>
    <w:rsid w:val="00C413FA"/>
    <w:rsid w:val="00C41430"/>
    <w:rsid w:val="00C4144D"/>
    <w:rsid w:val="00C41875"/>
    <w:rsid w:val="00C4191B"/>
    <w:rsid w:val="00C41948"/>
    <w:rsid w:val="00C41BE4"/>
    <w:rsid w:val="00C41CCE"/>
    <w:rsid w:val="00C41E18"/>
    <w:rsid w:val="00C42086"/>
    <w:rsid w:val="00C421E2"/>
    <w:rsid w:val="00C423C0"/>
    <w:rsid w:val="00C4298B"/>
    <w:rsid w:val="00C42B17"/>
    <w:rsid w:val="00C42C81"/>
    <w:rsid w:val="00C42C8C"/>
    <w:rsid w:val="00C42D6E"/>
    <w:rsid w:val="00C43135"/>
    <w:rsid w:val="00C431A6"/>
    <w:rsid w:val="00C431F0"/>
    <w:rsid w:val="00C4320B"/>
    <w:rsid w:val="00C43565"/>
    <w:rsid w:val="00C438E2"/>
    <w:rsid w:val="00C43B6D"/>
    <w:rsid w:val="00C43C54"/>
    <w:rsid w:val="00C43CEC"/>
    <w:rsid w:val="00C43E73"/>
    <w:rsid w:val="00C43F23"/>
    <w:rsid w:val="00C43F91"/>
    <w:rsid w:val="00C440E6"/>
    <w:rsid w:val="00C4415E"/>
    <w:rsid w:val="00C44517"/>
    <w:rsid w:val="00C449FD"/>
    <w:rsid w:val="00C44BCB"/>
    <w:rsid w:val="00C44BE5"/>
    <w:rsid w:val="00C44CB0"/>
    <w:rsid w:val="00C44D5E"/>
    <w:rsid w:val="00C44F9C"/>
    <w:rsid w:val="00C4502B"/>
    <w:rsid w:val="00C4505E"/>
    <w:rsid w:val="00C45315"/>
    <w:rsid w:val="00C45465"/>
    <w:rsid w:val="00C459ED"/>
    <w:rsid w:val="00C45A58"/>
    <w:rsid w:val="00C45D43"/>
    <w:rsid w:val="00C45F8C"/>
    <w:rsid w:val="00C46527"/>
    <w:rsid w:val="00C4660E"/>
    <w:rsid w:val="00C46701"/>
    <w:rsid w:val="00C46825"/>
    <w:rsid w:val="00C4695B"/>
    <w:rsid w:val="00C46BB7"/>
    <w:rsid w:val="00C46C35"/>
    <w:rsid w:val="00C46DF9"/>
    <w:rsid w:val="00C47066"/>
    <w:rsid w:val="00C471D0"/>
    <w:rsid w:val="00C4727B"/>
    <w:rsid w:val="00C47765"/>
    <w:rsid w:val="00C479D0"/>
    <w:rsid w:val="00C47A6C"/>
    <w:rsid w:val="00C47A86"/>
    <w:rsid w:val="00C47B3A"/>
    <w:rsid w:val="00C47BAE"/>
    <w:rsid w:val="00C47DEF"/>
    <w:rsid w:val="00C47E0E"/>
    <w:rsid w:val="00C47E9A"/>
    <w:rsid w:val="00C47F0A"/>
    <w:rsid w:val="00C47F83"/>
    <w:rsid w:val="00C50364"/>
    <w:rsid w:val="00C505D6"/>
    <w:rsid w:val="00C507C7"/>
    <w:rsid w:val="00C509CB"/>
    <w:rsid w:val="00C50C9D"/>
    <w:rsid w:val="00C50F5F"/>
    <w:rsid w:val="00C51001"/>
    <w:rsid w:val="00C5134C"/>
    <w:rsid w:val="00C51436"/>
    <w:rsid w:val="00C5163B"/>
    <w:rsid w:val="00C52175"/>
    <w:rsid w:val="00C5228B"/>
    <w:rsid w:val="00C522AF"/>
    <w:rsid w:val="00C52380"/>
    <w:rsid w:val="00C52409"/>
    <w:rsid w:val="00C52788"/>
    <w:rsid w:val="00C52879"/>
    <w:rsid w:val="00C52B71"/>
    <w:rsid w:val="00C52D4A"/>
    <w:rsid w:val="00C52E3C"/>
    <w:rsid w:val="00C52FE6"/>
    <w:rsid w:val="00C53162"/>
    <w:rsid w:val="00C535DE"/>
    <w:rsid w:val="00C53692"/>
    <w:rsid w:val="00C539D2"/>
    <w:rsid w:val="00C53A16"/>
    <w:rsid w:val="00C53BBE"/>
    <w:rsid w:val="00C53C88"/>
    <w:rsid w:val="00C53E1A"/>
    <w:rsid w:val="00C5416F"/>
    <w:rsid w:val="00C542FD"/>
    <w:rsid w:val="00C5432A"/>
    <w:rsid w:val="00C5461A"/>
    <w:rsid w:val="00C54657"/>
    <w:rsid w:val="00C548E8"/>
    <w:rsid w:val="00C54998"/>
    <w:rsid w:val="00C549B7"/>
    <w:rsid w:val="00C54A17"/>
    <w:rsid w:val="00C54C84"/>
    <w:rsid w:val="00C54CE2"/>
    <w:rsid w:val="00C54CEB"/>
    <w:rsid w:val="00C54DD1"/>
    <w:rsid w:val="00C54FD8"/>
    <w:rsid w:val="00C55174"/>
    <w:rsid w:val="00C551A5"/>
    <w:rsid w:val="00C55266"/>
    <w:rsid w:val="00C55754"/>
    <w:rsid w:val="00C55BA1"/>
    <w:rsid w:val="00C55C83"/>
    <w:rsid w:val="00C55CDC"/>
    <w:rsid w:val="00C55D06"/>
    <w:rsid w:val="00C55E00"/>
    <w:rsid w:val="00C55F31"/>
    <w:rsid w:val="00C560C9"/>
    <w:rsid w:val="00C56281"/>
    <w:rsid w:val="00C562D6"/>
    <w:rsid w:val="00C565E6"/>
    <w:rsid w:val="00C5669B"/>
    <w:rsid w:val="00C5693C"/>
    <w:rsid w:val="00C56B71"/>
    <w:rsid w:val="00C56C0F"/>
    <w:rsid w:val="00C56D53"/>
    <w:rsid w:val="00C56DF4"/>
    <w:rsid w:val="00C56F99"/>
    <w:rsid w:val="00C56FA3"/>
    <w:rsid w:val="00C5715C"/>
    <w:rsid w:val="00C57461"/>
    <w:rsid w:val="00C575FB"/>
    <w:rsid w:val="00C577BF"/>
    <w:rsid w:val="00C57876"/>
    <w:rsid w:val="00C5796E"/>
    <w:rsid w:val="00C57A74"/>
    <w:rsid w:val="00C57B82"/>
    <w:rsid w:val="00C57C22"/>
    <w:rsid w:val="00C57CD6"/>
    <w:rsid w:val="00C57CE5"/>
    <w:rsid w:val="00C600A7"/>
    <w:rsid w:val="00C601E6"/>
    <w:rsid w:val="00C60272"/>
    <w:rsid w:val="00C6066A"/>
    <w:rsid w:val="00C606E4"/>
    <w:rsid w:val="00C6075B"/>
    <w:rsid w:val="00C607E3"/>
    <w:rsid w:val="00C608E4"/>
    <w:rsid w:val="00C60951"/>
    <w:rsid w:val="00C60DA1"/>
    <w:rsid w:val="00C60DAF"/>
    <w:rsid w:val="00C61101"/>
    <w:rsid w:val="00C61124"/>
    <w:rsid w:val="00C611D5"/>
    <w:rsid w:val="00C61295"/>
    <w:rsid w:val="00C612E9"/>
    <w:rsid w:val="00C613E3"/>
    <w:rsid w:val="00C61559"/>
    <w:rsid w:val="00C61601"/>
    <w:rsid w:val="00C61731"/>
    <w:rsid w:val="00C619D4"/>
    <w:rsid w:val="00C61A1A"/>
    <w:rsid w:val="00C61B71"/>
    <w:rsid w:val="00C61C35"/>
    <w:rsid w:val="00C61D3A"/>
    <w:rsid w:val="00C61EEE"/>
    <w:rsid w:val="00C620DC"/>
    <w:rsid w:val="00C62216"/>
    <w:rsid w:val="00C6235D"/>
    <w:rsid w:val="00C623A2"/>
    <w:rsid w:val="00C62802"/>
    <w:rsid w:val="00C628C5"/>
    <w:rsid w:val="00C628DE"/>
    <w:rsid w:val="00C629F3"/>
    <w:rsid w:val="00C62D81"/>
    <w:rsid w:val="00C62ED9"/>
    <w:rsid w:val="00C63023"/>
    <w:rsid w:val="00C6312E"/>
    <w:rsid w:val="00C6344F"/>
    <w:rsid w:val="00C63522"/>
    <w:rsid w:val="00C63638"/>
    <w:rsid w:val="00C63703"/>
    <w:rsid w:val="00C63746"/>
    <w:rsid w:val="00C63939"/>
    <w:rsid w:val="00C63BFF"/>
    <w:rsid w:val="00C63DCF"/>
    <w:rsid w:val="00C63EF8"/>
    <w:rsid w:val="00C64180"/>
    <w:rsid w:val="00C64213"/>
    <w:rsid w:val="00C6462C"/>
    <w:rsid w:val="00C6471B"/>
    <w:rsid w:val="00C64971"/>
    <w:rsid w:val="00C649C7"/>
    <w:rsid w:val="00C64AE1"/>
    <w:rsid w:val="00C64C45"/>
    <w:rsid w:val="00C64C85"/>
    <w:rsid w:val="00C64D06"/>
    <w:rsid w:val="00C64D7A"/>
    <w:rsid w:val="00C64ED1"/>
    <w:rsid w:val="00C64FC3"/>
    <w:rsid w:val="00C65482"/>
    <w:rsid w:val="00C65605"/>
    <w:rsid w:val="00C6569A"/>
    <w:rsid w:val="00C656B5"/>
    <w:rsid w:val="00C656B8"/>
    <w:rsid w:val="00C658B5"/>
    <w:rsid w:val="00C658BA"/>
    <w:rsid w:val="00C65CAA"/>
    <w:rsid w:val="00C65D9C"/>
    <w:rsid w:val="00C65E81"/>
    <w:rsid w:val="00C65FD8"/>
    <w:rsid w:val="00C6611D"/>
    <w:rsid w:val="00C663A1"/>
    <w:rsid w:val="00C664D8"/>
    <w:rsid w:val="00C66569"/>
    <w:rsid w:val="00C66883"/>
    <w:rsid w:val="00C66A28"/>
    <w:rsid w:val="00C66A32"/>
    <w:rsid w:val="00C66D28"/>
    <w:rsid w:val="00C66EE7"/>
    <w:rsid w:val="00C67134"/>
    <w:rsid w:val="00C67395"/>
    <w:rsid w:val="00C67748"/>
    <w:rsid w:val="00C678EF"/>
    <w:rsid w:val="00C67901"/>
    <w:rsid w:val="00C6796B"/>
    <w:rsid w:val="00C67B62"/>
    <w:rsid w:val="00C67C30"/>
    <w:rsid w:val="00C67C33"/>
    <w:rsid w:val="00C67C92"/>
    <w:rsid w:val="00C67EB6"/>
    <w:rsid w:val="00C67FC1"/>
    <w:rsid w:val="00C70013"/>
    <w:rsid w:val="00C70331"/>
    <w:rsid w:val="00C703ED"/>
    <w:rsid w:val="00C704C9"/>
    <w:rsid w:val="00C704EE"/>
    <w:rsid w:val="00C7078C"/>
    <w:rsid w:val="00C707BF"/>
    <w:rsid w:val="00C707FB"/>
    <w:rsid w:val="00C70838"/>
    <w:rsid w:val="00C70A8F"/>
    <w:rsid w:val="00C70ACB"/>
    <w:rsid w:val="00C70B8C"/>
    <w:rsid w:val="00C70C40"/>
    <w:rsid w:val="00C70C44"/>
    <w:rsid w:val="00C70DE8"/>
    <w:rsid w:val="00C71034"/>
    <w:rsid w:val="00C712AA"/>
    <w:rsid w:val="00C712AE"/>
    <w:rsid w:val="00C715F2"/>
    <w:rsid w:val="00C71623"/>
    <w:rsid w:val="00C717A2"/>
    <w:rsid w:val="00C71A1E"/>
    <w:rsid w:val="00C71C74"/>
    <w:rsid w:val="00C71D5B"/>
    <w:rsid w:val="00C71EA2"/>
    <w:rsid w:val="00C72040"/>
    <w:rsid w:val="00C72273"/>
    <w:rsid w:val="00C723D3"/>
    <w:rsid w:val="00C72700"/>
    <w:rsid w:val="00C72DE6"/>
    <w:rsid w:val="00C73173"/>
    <w:rsid w:val="00C7324E"/>
    <w:rsid w:val="00C7327D"/>
    <w:rsid w:val="00C73736"/>
    <w:rsid w:val="00C739A7"/>
    <w:rsid w:val="00C73AEC"/>
    <w:rsid w:val="00C73B6C"/>
    <w:rsid w:val="00C73D9B"/>
    <w:rsid w:val="00C73DB9"/>
    <w:rsid w:val="00C73FE9"/>
    <w:rsid w:val="00C74124"/>
    <w:rsid w:val="00C7419A"/>
    <w:rsid w:val="00C7435D"/>
    <w:rsid w:val="00C743CC"/>
    <w:rsid w:val="00C74B90"/>
    <w:rsid w:val="00C74CB9"/>
    <w:rsid w:val="00C74E00"/>
    <w:rsid w:val="00C74E52"/>
    <w:rsid w:val="00C752D5"/>
    <w:rsid w:val="00C7535D"/>
    <w:rsid w:val="00C753F0"/>
    <w:rsid w:val="00C7554C"/>
    <w:rsid w:val="00C755BD"/>
    <w:rsid w:val="00C75705"/>
    <w:rsid w:val="00C75844"/>
    <w:rsid w:val="00C75AC0"/>
    <w:rsid w:val="00C75ADF"/>
    <w:rsid w:val="00C75BDA"/>
    <w:rsid w:val="00C75D61"/>
    <w:rsid w:val="00C75EBE"/>
    <w:rsid w:val="00C75FCD"/>
    <w:rsid w:val="00C76127"/>
    <w:rsid w:val="00C762D3"/>
    <w:rsid w:val="00C76423"/>
    <w:rsid w:val="00C76609"/>
    <w:rsid w:val="00C766D4"/>
    <w:rsid w:val="00C76937"/>
    <w:rsid w:val="00C76AEC"/>
    <w:rsid w:val="00C76B1B"/>
    <w:rsid w:val="00C76DC4"/>
    <w:rsid w:val="00C76E0B"/>
    <w:rsid w:val="00C76F79"/>
    <w:rsid w:val="00C7702C"/>
    <w:rsid w:val="00C77389"/>
    <w:rsid w:val="00C777FB"/>
    <w:rsid w:val="00C77833"/>
    <w:rsid w:val="00C778A3"/>
    <w:rsid w:val="00C7799A"/>
    <w:rsid w:val="00C77B19"/>
    <w:rsid w:val="00C77B75"/>
    <w:rsid w:val="00C77BD8"/>
    <w:rsid w:val="00C80295"/>
    <w:rsid w:val="00C80430"/>
    <w:rsid w:val="00C804E1"/>
    <w:rsid w:val="00C80A1B"/>
    <w:rsid w:val="00C80BF1"/>
    <w:rsid w:val="00C811EE"/>
    <w:rsid w:val="00C81218"/>
    <w:rsid w:val="00C812E3"/>
    <w:rsid w:val="00C8132B"/>
    <w:rsid w:val="00C813F9"/>
    <w:rsid w:val="00C815DC"/>
    <w:rsid w:val="00C815ED"/>
    <w:rsid w:val="00C8168A"/>
    <w:rsid w:val="00C818F8"/>
    <w:rsid w:val="00C81A6F"/>
    <w:rsid w:val="00C81D1C"/>
    <w:rsid w:val="00C81FC3"/>
    <w:rsid w:val="00C8212D"/>
    <w:rsid w:val="00C82387"/>
    <w:rsid w:val="00C8245A"/>
    <w:rsid w:val="00C826A0"/>
    <w:rsid w:val="00C826AA"/>
    <w:rsid w:val="00C8287B"/>
    <w:rsid w:val="00C828DA"/>
    <w:rsid w:val="00C82A2A"/>
    <w:rsid w:val="00C8302A"/>
    <w:rsid w:val="00C832B4"/>
    <w:rsid w:val="00C832CD"/>
    <w:rsid w:val="00C83356"/>
    <w:rsid w:val="00C837ED"/>
    <w:rsid w:val="00C83A04"/>
    <w:rsid w:val="00C83B4F"/>
    <w:rsid w:val="00C84104"/>
    <w:rsid w:val="00C84249"/>
    <w:rsid w:val="00C84616"/>
    <w:rsid w:val="00C846AE"/>
    <w:rsid w:val="00C848A5"/>
    <w:rsid w:val="00C84BC9"/>
    <w:rsid w:val="00C84CE8"/>
    <w:rsid w:val="00C84E1D"/>
    <w:rsid w:val="00C84EC8"/>
    <w:rsid w:val="00C84F2D"/>
    <w:rsid w:val="00C85190"/>
    <w:rsid w:val="00C8553A"/>
    <w:rsid w:val="00C8561B"/>
    <w:rsid w:val="00C85B2C"/>
    <w:rsid w:val="00C85D69"/>
    <w:rsid w:val="00C85DCB"/>
    <w:rsid w:val="00C85E17"/>
    <w:rsid w:val="00C85E96"/>
    <w:rsid w:val="00C86178"/>
    <w:rsid w:val="00C8636B"/>
    <w:rsid w:val="00C865F7"/>
    <w:rsid w:val="00C866AB"/>
    <w:rsid w:val="00C86786"/>
    <w:rsid w:val="00C8686C"/>
    <w:rsid w:val="00C869B7"/>
    <w:rsid w:val="00C869E8"/>
    <w:rsid w:val="00C86B80"/>
    <w:rsid w:val="00C86F6D"/>
    <w:rsid w:val="00C86F8B"/>
    <w:rsid w:val="00C87436"/>
    <w:rsid w:val="00C875E0"/>
    <w:rsid w:val="00C8761F"/>
    <w:rsid w:val="00C876CD"/>
    <w:rsid w:val="00C87826"/>
    <w:rsid w:val="00C87862"/>
    <w:rsid w:val="00C878D4"/>
    <w:rsid w:val="00C87B53"/>
    <w:rsid w:val="00C87B7D"/>
    <w:rsid w:val="00C87B8C"/>
    <w:rsid w:val="00C87CAE"/>
    <w:rsid w:val="00C87CFB"/>
    <w:rsid w:val="00C87D18"/>
    <w:rsid w:val="00C87DD0"/>
    <w:rsid w:val="00C90234"/>
    <w:rsid w:val="00C9032A"/>
    <w:rsid w:val="00C903A6"/>
    <w:rsid w:val="00C90653"/>
    <w:rsid w:val="00C907E4"/>
    <w:rsid w:val="00C90908"/>
    <w:rsid w:val="00C90A78"/>
    <w:rsid w:val="00C90C9F"/>
    <w:rsid w:val="00C90F52"/>
    <w:rsid w:val="00C910AF"/>
    <w:rsid w:val="00C9111B"/>
    <w:rsid w:val="00C91437"/>
    <w:rsid w:val="00C915D4"/>
    <w:rsid w:val="00C91788"/>
    <w:rsid w:val="00C91904"/>
    <w:rsid w:val="00C919B2"/>
    <w:rsid w:val="00C91A25"/>
    <w:rsid w:val="00C91B3A"/>
    <w:rsid w:val="00C91FE3"/>
    <w:rsid w:val="00C9221C"/>
    <w:rsid w:val="00C9259A"/>
    <w:rsid w:val="00C925CF"/>
    <w:rsid w:val="00C92618"/>
    <w:rsid w:val="00C92707"/>
    <w:rsid w:val="00C92A66"/>
    <w:rsid w:val="00C92D04"/>
    <w:rsid w:val="00C92E36"/>
    <w:rsid w:val="00C92FFD"/>
    <w:rsid w:val="00C9333E"/>
    <w:rsid w:val="00C93557"/>
    <w:rsid w:val="00C935C4"/>
    <w:rsid w:val="00C93615"/>
    <w:rsid w:val="00C936CE"/>
    <w:rsid w:val="00C9391C"/>
    <w:rsid w:val="00C93B41"/>
    <w:rsid w:val="00C93D3C"/>
    <w:rsid w:val="00C944B8"/>
    <w:rsid w:val="00C945D5"/>
    <w:rsid w:val="00C946F1"/>
    <w:rsid w:val="00C9484F"/>
    <w:rsid w:val="00C94879"/>
    <w:rsid w:val="00C94987"/>
    <w:rsid w:val="00C94ABB"/>
    <w:rsid w:val="00C94BEC"/>
    <w:rsid w:val="00C94CE9"/>
    <w:rsid w:val="00C94EA9"/>
    <w:rsid w:val="00C950DA"/>
    <w:rsid w:val="00C9513E"/>
    <w:rsid w:val="00C9515A"/>
    <w:rsid w:val="00C9528A"/>
    <w:rsid w:val="00C953A1"/>
    <w:rsid w:val="00C95665"/>
    <w:rsid w:val="00C957B2"/>
    <w:rsid w:val="00C957E9"/>
    <w:rsid w:val="00C95AA8"/>
    <w:rsid w:val="00C95C57"/>
    <w:rsid w:val="00C95E79"/>
    <w:rsid w:val="00C95F18"/>
    <w:rsid w:val="00C96027"/>
    <w:rsid w:val="00C96089"/>
    <w:rsid w:val="00C964B6"/>
    <w:rsid w:val="00C96706"/>
    <w:rsid w:val="00C9681B"/>
    <w:rsid w:val="00C9684C"/>
    <w:rsid w:val="00C96947"/>
    <w:rsid w:val="00C96AC3"/>
    <w:rsid w:val="00C96B29"/>
    <w:rsid w:val="00C96D0A"/>
    <w:rsid w:val="00C96EE0"/>
    <w:rsid w:val="00C97285"/>
    <w:rsid w:val="00C972D2"/>
    <w:rsid w:val="00C97485"/>
    <w:rsid w:val="00C975B9"/>
    <w:rsid w:val="00C97701"/>
    <w:rsid w:val="00C97982"/>
    <w:rsid w:val="00C97A87"/>
    <w:rsid w:val="00C97AF2"/>
    <w:rsid w:val="00C97B44"/>
    <w:rsid w:val="00C97EB5"/>
    <w:rsid w:val="00CA00B2"/>
    <w:rsid w:val="00CA023E"/>
    <w:rsid w:val="00CA03CB"/>
    <w:rsid w:val="00CA0798"/>
    <w:rsid w:val="00CA0A87"/>
    <w:rsid w:val="00CA0D6C"/>
    <w:rsid w:val="00CA1140"/>
    <w:rsid w:val="00CA11DD"/>
    <w:rsid w:val="00CA13DA"/>
    <w:rsid w:val="00CA1509"/>
    <w:rsid w:val="00CA155A"/>
    <w:rsid w:val="00CA1909"/>
    <w:rsid w:val="00CA1937"/>
    <w:rsid w:val="00CA1995"/>
    <w:rsid w:val="00CA1B49"/>
    <w:rsid w:val="00CA1CF7"/>
    <w:rsid w:val="00CA2004"/>
    <w:rsid w:val="00CA2118"/>
    <w:rsid w:val="00CA22EA"/>
    <w:rsid w:val="00CA22FF"/>
    <w:rsid w:val="00CA231C"/>
    <w:rsid w:val="00CA2461"/>
    <w:rsid w:val="00CA2A97"/>
    <w:rsid w:val="00CA2AE4"/>
    <w:rsid w:val="00CA2CA2"/>
    <w:rsid w:val="00CA2E0C"/>
    <w:rsid w:val="00CA3175"/>
    <w:rsid w:val="00CA31D6"/>
    <w:rsid w:val="00CA33B1"/>
    <w:rsid w:val="00CA367B"/>
    <w:rsid w:val="00CA3938"/>
    <w:rsid w:val="00CA3A7A"/>
    <w:rsid w:val="00CA3AE7"/>
    <w:rsid w:val="00CA3B11"/>
    <w:rsid w:val="00CA3CF0"/>
    <w:rsid w:val="00CA3FC8"/>
    <w:rsid w:val="00CA4293"/>
    <w:rsid w:val="00CA4319"/>
    <w:rsid w:val="00CA4484"/>
    <w:rsid w:val="00CA452B"/>
    <w:rsid w:val="00CA473C"/>
    <w:rsid w:val="00CA48D8"/>
    <w:rsid w:val="00CA504A"/>
    <w:rsid w:val="00CA52F5"/>
    <w:rsid w:val="00CA5388"/>
    <w:rsid w:val="00CA5796"/>
    <w:rsid w:val="00CA591A"/>
    <w:rsid w:val="00CA5954"/>
    <w:rsid w:val="00CA5A59"/>
    <w:rsid w:val="00CA5C6E"/>
    <w:rsid w:val="00CA5CB1"/>
    <w:rsid w:val="00CA60F8"/>
    <w:rsid w:val="00CA6203"/>
    <w:rsid w:val="00CA632B"/>
    <w:rsid w:val="00CA63C8"/>
    <w:rsid w:val="00CA66D4"/>
    <w:rsid w:val="00CA6B83"/>
    <w:rsid w:val="00CA6D33"/>
    <w:rsid w:val="00CA6D6E"/>
    <w:rsid w:val="00CA6E7B"/>
    <w:rsid w:val="00CA6FBB"/>
    <w:rsid w:val="00CA7482"/>
    <w:rsid w:val="00CA74B4"/>
    <w:rsid w:val="00CA763D"/>
    <w:rsid w:val="00CA76A5"/>
    <w:rsid w:val="00CA76CB"/>
    <w:rsid w:val="00CA780A"/>
    <w:rsid w:val="00CA78EB"/>
    <w:rsid w:val="00CA795F"/>
    <w:rsid w:val="00CA7D57"/>
    <w:rsid w:val="00CA7E79"/>
    <w:rsid w:val="00CA7EA3"/>
    <w:rsid w:val="00CA7F7F"/>
    <w:rsid w:val="00CB022C"/>
    <w:rsid w:val="00CB0342"/>
    <w:rsid w:val="00CB0487"/>
    <w:rsid w:val="00CB048F"/>
    <w:rsid w:val="00CB072C"/>
    <w:rsid w:val="00CB0752"/>
    <w:rsid w:val="00CB0967"/>
    <w:rsid w:val="00CB0ADA"/>
    <w:rsid w:val="00CB0B42"/>
    <w:rsid w:val="00CB0CE6"/>
    <w:rsid w:val="00CB0D65"/>
    <w:rsid w:val="00CB0E35"/>
    <w:rsid w:val="00CB0E8B"/>
    <w:rsid w:val="00CB100A"/>
    <w:rsid w:val="00CB1182"/>
    <w:rsid w:val="00CB130B"/>
    <w:rsid w:val="00CB1418"/>
    <w:rsid w:val="00CB1698"/>
    <w:rsid w:val="00CB17F1"/>
    <w:rsid w:val="00CB18DD"/>
    <w:rsid w:val="00CB1A5A"/>
    <w:rsid w:val="00CB1C39"/>
    <w:rsid w:val="00CB1D97"/>
    <w:rsid w:val="00CB1F73"/>
    <w:rsid w:val="00CB20C1"/>
    <w:rsid w:val="00CB21ED"/>
    <w:rsid w:val="00CB224F"/>
    <w:rsid w:val="00CB2513"/>
    <w:rsid w:val="00CB25D1"/>
    <w:rsid w:val="00CB2821"/>
    <w:rsid w:val="00CB28A3"/>
    <w:rsid w:val="00CB28D9"/>
    <w:rsid w:val="00CB2972"/>
    <w:rsid w:val="00CB2BDB"/>
    <w:rsid w:val="00CB2BF3"/>
    <w:rsid w:val="00CB2D01"/>
    <w:rsid w:val="00CB2D0A"/>
    <w:rsid w:val="00CB2DA0"/>
    <w:rsid w:val="00CB2DE4"/>
    <w:rsid w:val="00CB2E21"/>
    <w:rsid w:val="00CB2EC0"/>
    <w:rsid w:val="00CB2F6F"/>
    <w:rsid w:val="00CB30B0"/>
    <w:rsid w:val="00CB317D"/>
    <w:rsid w:val="00CB358C"/>
    <w:rsid w:val="00CB364D"/>
    <w:rsid w:val="00CB3698"/>
    <w:rsid w:val="00CB3703"/>
    <w:rsid w:val="00CB37FC"/>
    <w:rsid w:val="00CB39CF"/>
    <w:rsid w:val="00CB3EA3"/>
    <w:rsid w:val="00CB4577"/>
    <w:rsid w:val="00CB46DB"/>
    <w:rsid w:val="00CB4E57"/>
    <w:rsid w:val="00CB4FA6"/>
    <w:rsid w:val="00CB52A0"/>
    <w:rsid w:val="00CB5319"/>
    <w:rsid w:val="00CB5397"/>
    <w:rsid w:val="00CB54BD"/>
    <w:rsid w:val="00CB5508"/>
    <w:rsid w:val="00CB554B"/>
    <w:rsid w:val="00CB5789"/>
    <w:rsid w:val="00CB588A"/>
    <w:rsid w:val="00CB58BA"/>
    <w:rsid w:val="00CB5920"/>
    <w:rsid w:val="00CB5C17"/>
    <w:rsid w:val="00CB5D24"/>
    <w:rsid w:val="00CB5F25"/>
    <w:rsid w:val="00CB5FBC"/>
    <w:rsid w:val="00CB6180"/>
    <w:rsid w:val="00CB61B5"/>
    <w:rsid w:val="00CB623C"/>
    <w:rsid w:val="00CB66EF"/>
    <w:rsid w:val="00CB697C"/>
    <w:rsid w:val="00CB6A27"/>
    <w:rsid w:val="00CB71F2"/>
    <w:rsid w:val="00CB7243"/>
    <w:rsid w:val="00CB764D"/>
    <w:rsid w:val="00CB76DC"/>
    <w:rsid w:val="00CB775D"/>
    <w:rsid w:val="00CB77CA"/>
    <w:rsid w:val="00CB7B6C"/>
    <w:rsid w:val="00CB7DAF"/>
    <w:rsid w:val="00CB7E0D"/>
    <w:rsid w:val="00CB7E32"/>
    <w:rsid w:val="00CB7FAF"/>
    <w:rsid w:val="00CB7FBF"/>
    <w:rsid w:val="00CC000F"/>
    <w:rsid w:val="00CC0076"/>
    <w:rsid w:val="00CC00DC"/>
    <w:rsid w:val="00CC027A"/>
    <w:rsid w:val="00CC0465"/>
    <w:rsid w:val="00CC062E"/>
    <w:rsid w:val="00CC08B3"/>
    <w:rsid w:val="00CC09F2"/>
    <w:rsid w:val="00CC0AEB"/>
    <w:rsid w:val="00CC0DCE"/>
    <w:rsid w:val="00CC12E2"/>
    <w:rsid w:val="00CC13D6"/>
    <w:rsid w:val="00CC1517"/>
    <w:rsid w:val="00CC16E7"/>
    <w:rsid w:val="00CC1B9A"/>
    <w:rsid w:val="00CC1D88"/>
    <w:rsid w:val="00CC1E8D"/>
    <w:rsid w:val="00CC21A9"/>
    <w:rsid w:val="00CC225B"/>
    <w:rsid w:val="00CC226B"/>
    <w:rsid w:val="00CC236C"/>
    <w:rsid w:val="00CC24D9"/>
    <w:rsid w:val="00CC25D4"/>
    <w:rsid w:val="00CC263E"/>
    <w:rsid w:val="00CC2839"/>
    <w:rsid w:val="00CC2EAA"/>
    <w:rsid w:val="00CC2F2A"/>
    <w:rsid w:val="00CC2FA7"/>
    <w:rsid w:val="00CC301F"/>
    <w:rsid w:val="00CC30C0"/>
    <w:rsid w:val="00CC3383"/>
    <w:rsid w:val="00CC33F1"/>
    <w:rsid w:val="00CC341C"/>
    <w:rsid w:val="00CC3897"/>
    <w:rsid w:val="00CC3A9B"/>
    <w:rsid w:val="00CC3BBD"/>
    <w:rsid w:val="00CC3E48"/>
    <w:rsid w:val="00CC3E64"/>
    <w:rsid w:val="00CC3E80"/>
    <w:rsid w:val="00CC3F7D"/>
    <w:rsid w:val="00CC3FB3"/>
    <w:rsid w:val="00CC41FF"/>
    <w:rsid w:val="00CC4217"/>
    <w:rsid w:val="00CC431B"/>
    <w:rsid w:val="00CC4619"/>
    <w:rsid w:val="00CC4642"/>
    <w:rsid w:val="00CC4675"/>
    <w:rsid w:val="00CC4805"/>
    <w:rsid w:val="00CC4ECD"/>
    <w:rsid w:val="00CC4F13"/>
    <w:rsid w:val="00CC514A"/>
    <w:rsid w:val="00CC515F"/>
    <w:rsid w:val="00CC557C"/>
    <w:rsid w:val="00CC5E7A"/>
    <w:rsid w:val="00CC60BA"/>
    <w:rsid w:val="00CC60C3"/>
    <w:rsid w:val="00CC6462"/>
    <w:rsid w:val="00CC6552"/>
    <w:rsid w:val="00CC6596"/>
    <w:rsid w:val="00CC659C"/>
    <w:rsid w:val="00CC6814"/>
    <w:rsid w:val="00CC6894"/>
    <w:rsid w:val="00CC68E7"/>
    <w:rsid w:val="00CC6C84"/>
    <w:rsid w:val="00CC6F99"/>
    <w:rsid w:val="00CC6FAE"/>
    <w:rsid w:val="00CC7002"/>
    <w:rsid w:val="00CC70C3"/>
    <w:rsid w:val="00CC721E"/>
    <w:rsid w:val="00CC7385"/>
    <w:rsid w:val="00CC750F"/>
    <w:rsid w:val="00CC76CC"/>
    <w:rsid w:val="00CC7A6D"/>
    <w:rsid w:val="00CC7B83"/>
    <w:rsid w:val="00CC7F4A"/>
    <w:rsid w:val="00CC7F69"/>
    <w:rsid w:val="00CD01BD"/>
    <w:rsid w:val="00CD01DD"/>
    <w:rsid w:val="00CD05AF"/>
    <w:rsid w:val="00CD08B4"/>
    <w:rsid w:val="00CD0920"/>
    <w:rsid w:val="00CD1014"/>
    <w:rsid w:val="00CD1056"/>
    <w:rsid w:val="00CD10BF"/>
    <w:rsid w:val="00CD1255"/>
    <w:rsid w:val="00CD1279"/>
    <w:rsid w:val="00CD168F"/>
    <w:rsid w:val="00CD16A0"/>
    <w:rsid w:val="00CD16C8"/>
    <w:rsid w:val="00CD1807"/>
    <w:rsid w:val="00CD19CD"/>
    <w:rsid w:val="00CD1D94"/>
    <w:rsid w:val="00CD1E4A"/>
    <w:rsid w:val="00CD201C"/>
    <w:rsid w:val="00CD22F8"/>
    <w:rsid w:val="00CD23B0"/>
    <w:rsid w:val="00CD24DE"/>
    <w:rsid w:val="00CD2609"/>
    <w:rsid w:val="00CD27A7"/>
    <w:rsid w:val="00CD2A9A"/>
    <w:rsid w:val="00CD2ABC"/>
    <w:rsid w:val="00CD2E98"/>
    <w:rsid w:val="00CD2F68"/>
    <w:rsid w:val="00CD30E3"/>
    <w:rsid w:val="00CD327A"/>
    <w:rsid w:val="00CD330B"/>
    <w:rsid w:val="00CD3511"/>
    <w:rsid w:val="00CD3553"/>
    <w:rsid w:val="00CD3560"/>
    <w:rsid w:val="00CD3862"/>
    <w:rsid w:val="00CD38C3"/>
    <w:rsid w:val="00CD3F2D"/>
    <w:rsid w:val="00CD4033"/>
    <w:rsid w:val="00CD403A"/>
    <w:rsid w:val="00CD40E5"/>
    <w:rsid w:val="00CD4273"/>
    <w:rsid w:val="00CD4319"/>
    <w:rsid w:val="00CD4332"/>
    <w:rsid w:val="00CD444C"/>
    <w:rsid w:val="00CD4A61"/>
    <w:rsid w:val="00CD4AB3"/>
    <w:rsid w:val="00CD4AF4"/>
    <w:rsid w:val="00CD4D55"/>
    <w:rsid w:val="00CD4E00"/>
    <w:rsid w:val="00CD4F74"/>
    <w:rsid w:val="00CD4FAD"/>
    <w:rsid w:val="00CD4FF1"/>
    <w:rsid w:val="00CD5401"/>
    <w:rsid w:val="00CD55B5"/>
    <w:rsid w:val="00CD55BD"/>
    <w:rsid w:val="00CD56BF"/>
    <w:rsid w:val="00CD5790"/>
    <w:rsid w:val="00CD586E"/>
    <w:rsid w:val="00CD588C"/>
    <w:rsid w:val="00CD5992"/>
    <w:rsid w:val="00CD5A3A"/>
    <w:rsid w:val="00CD60F1"/>
    <w:rsid w:val="00CD610C"/>
    <w:rsid w:val="00CD620D"/>
    <w:rsid w:val="00CD6223"/>
    <w:rsid w:val="00CD6436"/>
    <w:rsid w:val="00CD6577"/>
    <w:rsid w:val="00CD65A6"/>
    <w:rsid w:val="00CD65A9"/>
    <w:rsid w:val="00CD65C4"/>
    <w:rsid w:val="00CD682F"/>
    <w:rsid w:val="00CD6990"/>
    <w:rsid w:val="00CD6A22"/>
    <w:rsid w:val="00CD6ACB"/>
    <w:rsid w:val="00CD6ADA"/>
    <w:rsid w:val="00CD6DF1"/>
    <w:rsid w:val="00CD6EFE"/>
    <w:rsid w:val="00CD6F32"/>
    <w:rsid w:val="00CD7046"/>
    <w:rsid w:val="00CD7120"/>
    <w:rsid w:val="00CD7245"/>
    <w:rsid w:val="00CD755A"/>
    <w:rsid w:val="00CD76D5"/>
    <w:rsid w:val="00CD78EC"/>
    <w:rsid w:val="00CD7904"/>
    <w:rsid w:val="00CD7988"/>
    <w:rsid w:val="00CD7A9F"/>
    <w:rsid w:val="00CD7AC9"/>
    <w:rsid w:val="00CD7B6C"/>
    <w:rsid w:val="00CD7D44"/>
    <w:rsid w:val="00CD7E71"/>
    <w:rsid w:val="00CD7F6A"/>
    <w:rsid w:val="00CE012C"/>
    <w:rsid w:val="00CE01F5"/>
    <w:rsid w:val="00CE0306"/>
    <w:rsid w:val="00CE04E9"/>
    <w:rsid w:val="00CE0950"/>
    <w:rsid w:val="00CE098A"/>
    <w:rsid w:val="00CE0BC4"/>
    <w:rsid w:val="00CE0D62"/>
    <w:rsid w:val="00CE137F"/>
    <w:rsid w:val="00CE139A"/>
    <w:rsid w:val="00CE13EF"/>
    <w:rsid w:val="00CE1511"/>
    <w:rsid w:val="00CE151B"/>
    <w:rsid w:val="00CE1915"/>
    <w:rsid w:val="00CE194A"/>
    <w:rsid w:val="00CE1AD3"/>
    <w:rsid w:val="00CE1D26"/>
    <w:rsid w:val="00CE1D87"/>
    <w:rsid w:val="00CE1DC3"/>
    <w:rsid w:val="00CE1ECB"/>
    <w:rsid w:val="00CE1F18"/>
    <w:rsid w:val="00CE247C"/>
    <w:rsid w:val="00CE26AF"/>
    <w:rsid w:val="00CE2795"/>
    <w:rsid w:val="00CE281F"/>
    <w:rsid w:val="00CE28DB"/>
    <w:rsid w:val="00CE29FD"/>
    <w:rsid w:val="00CE2F9F"/>
    <w:rsid w:val="00CE2FD4"/>
    <w:rsid w:val="00CE316B"/>
    <w:rsid w:val="00CE3498"/>
    <w:rsid w:val="00CE3507"/>
    <w:rsid w:val="00CE372B"/>
    <w:rsid w:val="00CE37C4"/>
    <w:rsid w:val="00CE37D9"/>
    <w:rsid w:val="00CE387C"/>
    <w:rsid w:val="00CE3B1E"/>
    <w:rsid w:val="00CE3B7B"/>
    <w:rsid w:val="00CE3D45"/>
    <w:rsid w:val="00CE3DD9"/>
    <w:rsid w:val="00CE4024"/>
    <w:rsid w:val="00CE405C"/>
    <w:rsid w:val="00CE4082"/>
    <w:rsid w:val="00CE40CF"/>
    <w:rsid w:val="00CE411E"/>
    <w:rsid w:val="00CE42AC"/>
    <w:rsid w:val="00CE4391"/>
    <w:rsid w:val="00CE4449"/>
    <w:rsid w:val="00CE4579"/>
    <w:rsid w:val="00CE4B1D"/>
    <w:rsid w:val="00CE4B7B"/>
    <w:rsid w:val="00CE4EDE"/>
    <w:rsid w:val="00CE51A8"/>
    <w:rsid w:val="00CE52FF"/>
    <w:rsid w:val="00CE5320"/>
    <w:rsid w:val="00CE587F"/>
    <w:rsid w:val="00CE58F0"/>
    <w:rsid w:val="00CE59C4"/>
    <w:rsid w:val="00CE5A35"/>
    <w:rsid w:val="00CE5C1F"/>
    <w:rsid w:val="00CE5ED4"/>
    <w:rsid w:val="00CE5FB5"/>
    <w:rsid w:val="00CE6093"/>
    <w:rsid w:val="00CE612A"/>
    <w:rsid w:val="00CE6561"/>
    <w:rsid w:val="00CE656B"/>
    <w:rsid w:val="00CE6657"/>
    <w:rsid w:val="00CE671D"/>
    <w:rsid w:val="00CE6954"/>
    <w:rsid w:val="00CE6A1D"/>
    <w:rsid w:val="00CE6C9C"/>
    <w:rsid w:val="00CE6DB7"/>
    <w:rsid w:val="00CE701A"/>
    <w:rsid w:val="00CE71EC"/>
    <w:rsid w:val="00CE7270"/>
    <w:rsid w:val="00CE7341"/>
    <w:rsid w:val="00CE7421"/>
    <w:rsid w:val="00CE743D"/>
    <w:rsid w:val="00CE7592"/>
    <w:rsid w:val="00CE76D1"/>
    <w:rsid w:val="00CE785E"/>
    <w:rsid w:val="00CE7977"/>
    <w:rsid w:val="00CE7CE1"/>
    <w:rsid w:val="00CE7F06"/>
    <w:rsid w:val="00CE7F99"/>
    <w:rsid w:val="00CF0131"/>
    <w:rsid w:val="00CF0546"/>
    <w:rsid w:val="00CF0722"/>
    <w:rsid w:val="00CF0927"/>
    <w:rsid w:val="00CF094F"/>
    <w:rsid w:val="00CF0982"/>
    <w:rsid w:val="00CF0A43"/>
    <w:rsid w:val="00CF0ABC"/>
    <w:rsid w:val="00CF0B17"/>
    <w:rsid w:val="00CF0C55"/>
    <w:rsid w:val="00CF0D15"/>
    <w:rsid w:val="00CF0D95"/>
    <w:rsid w:val="00CF0E17"/>
    <w:rsid w:val="00CF0E5A"/>
    <w:rsid w:val="00CF0ECA"/>
    <w:rsid w:val="00CF0F06"/>
    <w:rsid w:val="00CF0F8D"/>
    <w:rsid w:val="00CF103C"/>
    <w:rsid w:val="00CF131D"/>
    <w:rsid w:val="00CF1448"/>
    <w:rsid w:val="00CF1607"/>
    <w:rsid w:val="00CF1733"/>
    <w:rsid w:val="00CF1F71"/>
    <w:rsid w:val="00CF2240"/>
    <w:rsid w:val="00CF235C"/>
    <w:rsid w:val="00CF2593"/>
    <w:rsid w:val="00CF291A"/>
    <w:rsid w:val="00CF2B93"/>
    <w:rsid w:val="00CF2CC7"/>
    <w:rsid w:val="00CF2EDA"/>
    <w:rsid w:val="00CF313D"/>
    <w:rsid w:val="00CF31DC"/>
    <w:rsid w:val="00CF32EC"/>
    <w:rsid w:val="00CF352E"/>
    <w:rsid w:val="00CF3628"/>
    <w:rsid w:val="00CF3AA7"/>
    <w:rsid w:val="00CF3F99"/>
    <w:rsid w:val="00CF410F"/>
    <w:rsid w:val="00CF4476"/>
    <w:rsid w:val="00CF44DC"/>
    <w:rsid w:val="00CF4642"/>
    <w:rsid w:val="00CF4767"/>
    <w:rsid w:val="00CF47DE"/>
    <w:rsid w:val="00CF48A0"/>
    <w:rsid w:val="00CF4EAB"/>
    <w:rsid w:val="00CF5264"/>
    <w:rsid w:val="00CF5409"/>
    <w:rsid w:val="00CF56A5"/>
    <w:rsid w:val="00CF5704"/>
    <w:rsid w:val="00CF5799"/>
    <w:rsid w:val="00CF57AF"/>
    <w:rsid w:val="00CF57F6"/>
    <w:rsid w:val="00CF5811"/>
    <w:rsid w:val="00CF5C0F"/>
    <w:rsid w:val="00CF5D0E"/>
    <w:rsid w:val="00CF6034"/>
    <w:rsid w:val="00CF6176"/>
    <w:rsid w:val="00CF6337"/>
    <w:rsid w:val="00CF633D"/>
    <w:rsid w:val="00CF63C0"/>
    <w:rsid w:val="00CF63DE"/>
    <w:rsid w:val="00CF6416"/>
    <w:rsid w:val="00CF67A2"/>
    <w:rsid w:val="00CF67E3"/>
    <w:rsid w:val="00CF697F"/>
    <w:rsid w:val="00CF69BF"/>
    <w:rsid w:val="00CF6A32"/>
    <w:rsid w:val="00CF6A5A"/>
    <w:rsid w:val="00CF6BE6"/>
    <w:rsid w:val="00CF72D2"/>
    <w:rsid w:val="00CF7620"/>
    <w:rsid w:val="00CF7656"/>
    <w:rsid w:val="00CF76A2"/>
    <w:rsid w:val="00CF78AF"/>
    <w:rsid w:val="00CF7BFF"/>
    <w:rsid w:val="00CF7C4E"/>
    <w:rsid w:val="00D0015A"/>
    <w:rsid w:val="00D00211"/>
    <w:rsid w:val="00D004CE"/>
    <w:rsid w:val="00D00528"/>
    <w:rsid w:val="00D0063B"/>
    <w:rsid w:val="00D00683"/>
    <w:rsid w:val="00D00801"/>
    <w:rsid w:val="00D00A82"/>
    <w:rsid w:val="00D00CDF"/>
    <w:rsid w:val="00D00DC4"/>
    <w:rsid w:val="00D01121"/>
    <w:rsid w:val="00D01224"/>
    <w:rsid w:val="00D01328"/>
    <w:rsid w:val="00D01BEC"/>
    <w:rsid w:val="00D01C27"/>
    <w:rsid w:val="00D01DB6"/>
    <w:rsid w:val="00D01EE1"/>
    <w:rsid w:val="00D020DC"/>
    <w:rsid w:val="00D02319"/>
    <w:rsid w:val="00D023FB"/>
    <w:rsid w:val="00D025DF"/>
    <w:rsid w:val="00D02784"/>
    <w:rsid w:val="00D028B9"/>
    <w:rsid w:val="00D02A67"/>
    <w:rsid w:val="00D02B78"/>
    <w:rsid w:val="00D02C83"/>
    <w:rsid w:val="00D02CF4"/>
    <w:rsid w:val="00D03033"/>
    <w:rsid w:val="00D030BA"/>
    <w:rsid w:val="00D031D3"/>
    <w:rsid w:val="00D03242"/>
    <w:rsid w:val="00D0344A"/>
    <w:rsid w:val="00D0354F"/>
    <w:rsid w:val="00D03854"/>
    <w:rsid w:val="00D0393A"/>
    <w:rsid w:val="00D03A2C"/>
    <w:rsid w:val="00D03A40"/>
    <w:rsid w:val="00D03AEF"/>
    <w:rsid w:val="00D03BA2"/>
    <w:rsid w:val="00D03C5C"/>
    <w:rsid w:val="00D03C74"/>
    <w:rsid w:val="00D03CFD"/>
    <w:rsid w:val="00D04615"/>
    <w:rsid w:val="00D046F1"/>
    <w:rsid w:val="00D04705"/>
    <w:rsid w:val="00D04733"/>
    <w:rsid w:val="00D04811"/>
    <w:rsid w:val="00D04A75"/>
    <w:rsid w:val="00D04C98"/>
    <w:rsid w:val="00D04D28"/>
    <w:rsid w:val="00D04DD9"/>
    <w:rsid w:val="00D04E16"/>
    <w:rsid w:val="00D05009"/>
    <w:rsid w:val="00D0506D"/>
    <w:rsid w:val="00D0531F"/>
    <w:rsid w:val="00D053F9"/>
    <w:rsid w:val="00D054B7"/>
    <w:rsid w:val="00D05766"/>
    <w:rsid w:val="00D059DE"/>
    <w:rsid w:val="00D05A06"/>
    <w:rsid w:val="00D05A22"/>
    <w:rsid w:val="00D05B36"/>
    <w:rsid w:val="00D05E8C"/>
    <w:rsid w:val="00D06287"/>
    <w:rsid w:val="00D0640E"/>
    <w:rsid w:val="00D06474"/>
    <w:rsid w:val="00D064A7"/>
    <w:rsid w:val="00D06CA6"/>
    <w:rsid w:val="00D06F4A"/>
    <w:rsid w:val="00D070D4"/>
    <w:rsid w:val="00D072C5"/>
    <w:rsid w:val="00D07375"/>
    <w:rsid w:val="00D073D6"/>
    <w:rsid w:val="00D07444"/>
    <w:rsid w:val="00D07B8F"/>
    <w:rsid w:val="00D07DAC"/>
    <w:rsid w:val="00D07E33"/>
    <w:rsid w:val="00D07FA5"/>
    <w:rsid w:val="00D10077"/>
    <w:rsid w:val="00D100D3"/>
    <w:rsid w:val="00D10494"/>
    <w:rsid w:val="00D104B1"/>
    <w:rsid w:val="00D10B85"/>
    <w:rsid w:val="00D10BA2"/>
    <w:rsid w:val="00D10E92"/>
    <w:rsid w:val="00D10ED4"/>
    <w:rsid w:val="00D11091"/>
    <w:rsid w:val="00D11188"/>
    <w:rsid w:val="00D11331"/>
    <w:rsid w:val="00D115D9"/>
    <w:rsid w:val="00D115EC"/>
    <w:rsid w:val="00D116D7"/>
    <w:rsid w:val="00D1187E"/>
    <w:rsid w:val="00D118BA"/>
    <w:rsid w:val="00D11984"/>
    <w:rsid w:val="00D11B12"/>
    <w:rsid w:val="00D11B51"/>
    <w:rsid w:val="00D11B6A"/>
    <w:rsid w:val="00D11BB5"/>
    <w:rsid w:val="00D11BD5"/>
    <w:rsid w:val="00D11E1E"/>
    <w:rsid w:val="00D11E5E"/>
    <w:rsid w:val="00D1213E"/>
    <w:rsid w:val="00D124A7"/>
    <w:rsid w:val="00D1252F"/>
    <w:rsid w:val="00D125A4"/>
    <w:rsid w:val="00D12DBA"/>
    <w:rsid w:val="00D12E46"/>
    <w:rsid w:val="00D12EB1"/>
    <w:rsid w:val="00D12F2A"/>
    <w:rsid w:val="00D130A9"/>
    <w:rsid w:val="00D131FB"/>
    <w:rsid w:val="00D132CE"/>
    <w:rsid w:val="00D134DB"/>
    <w:rsid w:val="00D13554"/>
    <w:rsid w:val="00D13709"/>
    <w:rsid w:val="00D137EB"/>
    <w:rsid w:val="00D13942"/>
    <w:rsid w:val="00D13C40"/>
    <w:rsid w:val="00D13CDE"/>
    <w:rsid w:val="00D140BF"/>
    <w:rsid w:val="00D1423A"/>
    <w:rsid w:val="00D1432A"/>
    <w:rsid w:val="00D14499"/>
    <w:rsid w:val="00D14548"/>
    <w:rsid w:val="00D147DE"/>
    <w:rsid w:val="00D14970"/>
    <w:rsid w:val="00D14C26"/>
    <w:rsid w:val="00D14D22"/>
    <w:rsid w:val="00D14DBB"/>
    <w:rsid w:val="00D14F08"/>
    <w:rsid w:val="00D150A5"/>
    <w:rsid w:val="00D15125"/>
    <w:rsid w:val="00D152EA"/>
    <w:rsid w:val="00D154A5"/>
    <w:rsid w:val="00D15621"/>
    <w:rsid w:val="00D15634"/>
    <w:rsid w:val="00D157C4"/>
    <w:rsid w:val="00D15EFC"/>
    <w:rsid w:val="00D160F0"/>
    <w:rsid w:val="00D163B5"/>
    <w:rsid w:val="00D16519"/>
    <w:rsid w:val="00D1659B"/>
    <w:rsid w:val="00D16CE2"/>
    <w:rsid w:val="00D16F1E"/>
    <w:rsid w:val="00D1705F"/>
    <w:rsid w:val="00D17142"/>
    <w:rsid w:val="00D17262"/>
    <w:rsid w:val="00D17330"/>
    <w:rsid w:val="00D17399"/>
    <w:rsid w:val="00D17508"/>
    <w:rsid w:val="00D176A0"/>
    <w:rsid w:val="00D179E4"/>
    <w:rsid w:val="00D17C42"/>
    <w:rsid w:val="00D17E28"/>
    <w:rsid w:val="00D17E8F"/>
    <w:rsid w:val="00D17F7E"/>
    <w:rsid w:val="00D200A7"/>
    <w:rsid w:val="00D2038F"/>
    <w:rsid w:val="00D20462"/>
    <w:rsid w:val="00D2047C"/>
    <w:rsid w:val="00D20588"/>
    <w:rsid w:val="00D2066C"/>
    <w:rsid w:val="00D20775"/>
    <w:rsid w:val="00D207E7"/>
    <w:rsid w:val="00D20A1B"/>
    <w:rsid w:val="00D20B16"/>
    <w:rsid w:val="00D20BC4"/>
    <w:rsid w:val="00D20C59"/>
    <w:rsid w:val="00D2120E"/>
    <w:rsid w:val="00D21556"/>
    <w:rsid w:val="00D21BE8"/>
    <w:rsid w:val="00D21D17"/>
    <w:rsid w:val="00D21F64"/>
    <w:rsid w:val="00D21FCC"/>
    <w:rsid w:val="00D22303"/>
    <w:rsid w:val="00D223D6"/>
    <w:rsid w:val="00D22598"/>
    <w:rsid w:val="00D22837"/>
    <w:rsid w:val="00D22C07"/>
    <w:rsid w:val="00D22C6F"/>
    <w:rsid w:val="00D22DC8"/>
    <w:rsid w:val="00D22EB4"/>
    <w:rsid w:val="00D23126"/>
    <w:rsid w:val="00D234AE"/>
    <w:rsid w:val="00D234D5"/>
    <w:rsid w:val="00D23532"/>
    <w:rsid w:val="00D23535"/>
    <w:rsid w:val="00D23580"/>
    <w:rsid w:val="00D236E3"/>
    <w:rsid w:val="00D23705"/>
    <w:rsid w:val="00D237A4"/>
    <w:rsid w:val="00D237A5"/>
    <w:rsid w:val="00D238AA"/>
    <w:rsid w:val="00D23984"/>
    <w:rsid w:val="00D23D13"/>
    <w:rsid w:val="00D23D28"/>
    <w:rsid w:val="00D23DDA"/>
    <w:rsid w:val="00D2401B"/>
    <w:rsid w:val="00D2409F"/>
    <w:rsid w:val="00D240B3"/>
    <w:rsid w:val="00D241BF"/>
    <w:rsid w:val="00D2433D"/>
    <w:rsid w:val="00D243D4"/>
    <w:rsid w:val="00D244D8"/>
    <w:rsid w:val="00D247C9"/>
    <w:rsid w:val="00D24987"/>
    <w:rsid w:val="00D24BA7"/>
    <w:rsid w:val="00D24BF8"/>
    <w:rsid w:val="00D24C5E"/>
    <w:rsid w:val="00D24DEB"/>
    <w:rsid w:val="00D24E6E"/>
    <w:rsid w:val="00D24EA8"/>
    <w:rsid w:val="00D250D3"/>
    <w:rsid w:val="00D25355"/>
    <w:rsid w:val="00D255C2"/>
    <w:rsid w:val="00D255E5"/>
    <w:rsid w:val="00D25823"/>
    <w:rsid w:val="00D259B4"/>
    <w:rsid w:val="00D26038"/>
    <w:rsid w:val="00D26061"/>
    <w:rsid w:val="00D2646C"/>
    <w:rsid w:val="00D2663F"/>
    <w:rsid w:val="00D266A4"/>
    <w:rsid w:val="00D26782"/>
    <w:rsid w:val="00D269CD"/>
    <w:rsid w:val="00D26E30"/>
    <w:rsid w:val="00D26EE0"/>
    <w:rsid w:val="00D26F4C"/>
    <w:rsid w:val="00D26F65"/>
    <w:rsid w:val="00D2717D"/>
    <w:rsid w:val="00D27243"/>
    <w:rsid w:val="00D272F7"/>
    <w:rsid w:val="00D27306"/>
    <w:rsid w:val="00D2734F"/>
    <w:rsid w:val="00D27449"/>
    <w:rsid w:val="00D27A8D"/>
    <w:rsid w:val="00D300BD"/>
    <w:rsid w:val="00D309DB"/>
    <w:rsid w:val="00D30A8F"/>
    <w:rsid w:val="00D30F59"/>
    <w:rsid w:val="00D30F73"/>
    <w:rsid w:val="00D3115B"/>
    <w:rsid w:val="00D311CB"/>
    <w:rsid w:val="00D312F9"/>
    <w:rsid w:val="00D3158F"/>
    <w:rsid w:val="00D315E8"/>
    <w:rsid w:val="00D3162E"/>
    <w:rsid w:val="00D317E1"/>
    <w:rsid w:val="00D31A93"/>
    <w:rsid w:val="00D31B7D"/>
    <w:rsid w:val="00D31BC5"/>
    <w:rsid w:val="00D31D22"/>
    <w:rsid w:val="00D31F25"/>
    <w:rsid w:val="00D32348"/>
    <w:rsid w:val="00D32526"/>
    <w:rsid w:val="00D325BD"/>
    <w:rsid w:val="00D32865"/>
    <w:rsid w:val="00D329EB"/>
    <w:rsid w:val="00D32B3F"/>
    <w:rsid w:val="00D32D60"/>
    <w:rsid w:val="00D33294"/>
    <w:rsid w:val="00D332BE"/>
    <w:rsid w:val="00D33401"/>
    <w:rsid w:val="00D338F2"/>
    <w:rsid w:val="00D3391C"/>
    <w:rsid w:val="00D33A51"/>
    <w:rsid w:val="00D33B86"/>
    <w:rsid w:val="00D33D9C"/>
    <w:rsid w:val="00D34317"/>
    <w:rsid w:val="00D34385"/>
    <w:rsid w:val="00D345EF"/>
    <w:rsid w:val="00D3468A"/>
    <w:rsid w:val="00D3476C"/>
    <w:rsid w:val="00D3486B"/>
    <w:rsid w:val="00D348BB"/>
    <w:rsid w:val="00D34BCD"/>
    <w:rsid w:val="00D34F37"/>
    <w:rsid w:val="00D35001"/>
    <w:rsid w:val="00D352B0"/>
    <w:rsid w:val="00D355BA"/>
    <w:rsid w:val="00D35A80"/>
    <w:rsid w:val="00D35AD4"/>
    <w:rsid w:val="00D35B0E"/>
    <w:rsid w:val="00D35FA1"/>
    <w:rsid w:val="00D360BF"/>
    <w:rsid w:val="00D36CE8"/>
    <w:rsid w:val="00D36D50"/>
    <w:rsid w:val="00D36DDA"/>
    <w:rsid w:val="00D36F37"/>
    <w:rsid w:val="00D36FC8"/>
    <w:rsid w:val="00D3715D"/>
    <w:rsid w:val="00D371A4"/>
    <w:rsid w:val="00D371F4"/>
    <w:rsid w:val="00D3730D"/>
    <w:rsid w:val="00D37323"/>
    <w:rsid w:val="00D37355"/>
    <w:rsid w:val="00D37392"/>
    <w:rsid w:val="00D3785D"/>
    <w:rsid w:val="00D378BC"/>
    <w:rsid w:val="00D37A9C"/>
    <w:rsid w:val="00D37B28"/>
    <w:rsid w:val="00D37BB5"/>
    <w:rsid w:val="00D37E65"/>
    <w:rsid w:val="00D37EC8"/>
    <w:rsid w:val="00D40069"/>
    <w:rsid w:val="00D401F0"/>
    <w:rsid w:val="00D403AE"/>
    <w:rsid w:val="00D40417"/>
    <w:rsid w:val="00D40436"/>
    <w:rsid w:val="00D40B17"/>
    <w:rsid w:val="00D40C5E"/>
    <w:rsid w:val="00D4131E"/>
    <w:rsid w:val="00D413B5"/>
    <w:rsid w:val="00D4152B"/>
    <w:rsid w:val="00D41983"/>
    <w:rsid w:val="00D41999"/>
    <w:rsid w:val="00D41C06"/>
    <w:rsid w:val="00D41D34"/>
    <w:rsid w:val="00D41D49"/>
    <w:rsid w:val="00D41E3C"/>
    <w:rsid w:val="00D42239"/>
    <w:rsid w:val="00D423B7"/>
    <w:rsid w:val="00D4241A"/>
    <w:rsid w:val="00D42B6E"/>
    <w:rsid w:val="00D42E14"/>
    <w:rsid w:val="00D4321A"/>
    <w:rsid w:val="00D4341A"/>
    <w:rsid w:val="00D436F3"/>
    <w:rsid w:val="00D43A19"/>
    <w:rsid w:val="00D43B7E"/>
    <w:rsid w:val="00D43DD7"/>
    <w:rsid w:val="00D43EC6"/>
    <w:rsid w:val="00D43FC2"/>
    <w:rsid w:val="00D440E0"/>
    <w:rsid w:val="00D44110"/>
    <w:rsid w:val="00D4417F"/>
    <w:rsid w:val="00D4429C"/>
    <w:rsid w:val="00D44616"/>
    <w:rsid w:val="00D44755"/>
    <w:rsid w:val="00D447C9"/>
    <w:rsid w:val="00D447FE"/>
    <w:rsid w:val="00D448F8"/>
    <w:rsid w:val="00D449C6"/>
    <w:rsid w:val="00D449F7"/>
    <w:rsid w:val="00D44A53"/>
    <w:rsid w:val="00D44A55"/>
    <w:rsid w:val="00D44ADB"/>
    <w:rsid w:val="00D44BE9"/>
    <w:rsid w:val="00D44DCE"/>
    <w:rsid w:val="00D44DD6"/>
    <w:rsid w:val="00D44ED4"/>
    <w:rsid w:val="00D4531B"/>
    <w:rsid w:val="00D45524"/>
    <w:rsid w:val="00D45582"/>
    <w:rsid w:val="00D455A8"/>
    <w:rsid w:val="00D45B28"/>
    <w:rsid w:val="00D45C02"/>
    <w:rsid w:val="00D45C40"/>
    <w:rsid w:val="00D45D1D"/>
    <w:rsid w:val="00D45DEA"/>
    <w:rsid w:val="00D46189"/>
    <w:rsid w:val="00D4667D"/>
    <w:rsid w:val="00D467E5"/>
    <w:rsid w:val="00D46844"/>
    <w:rsid w:val="00D46C15"/>
    <w:rsid w:val="00D46D02"/>
    <w:rsid w:val="00D46D8D"/>
    <w:rsid w:val="00D46DD1"/>
    <w:rsid w:val="00D46E78"/>
    <w:rsid w:val="00D47441"/>
    <w:rsid w:val="00D47790"/>
    <w:rsid w:val="00D47D18"/>
    <w:rsid w:val="00D47D27"/>
    <w:rsid w:val="00D50432"/>
    <w:rsid w:val="00D504BA"/>
    <w:rsid w:val="00D504CC"/>
    <w:rsid w:val="00D5088E"/>
    <w:rsid w:val="00D50A51"/>
    <w:rsid w:val="00D50AC7"/>
    <w:rsid w:val="00D50C0B"/>
    <w:rsid w:val="00D50C32"/>
    <w:rsid w:val="00D50DD8"/>
    <w:rsid w:val="00D50E01"/>
    <w:rsid w:val="00D50E97"/>
    <w:rsid w:val="00D5111F"/>
    <w:rsid w:val="00D512CC"/>
    <w:rsid w:val="00D51394"/>
    <w:rsid w:val="00D513A9"/>
    <w:rsid w:val="00D514BB"/>
    <w:rsid w:val="00D5186D"/>
    <w:rsid w:val="00D51A14"/>
    <w:rsid w:val="00D51B67"/>
    <w:rsid w:val="00D51ED5"/>
    <w:rsid w:val="00D52077"/>
    <w:rsid w:val="00D5231B"/>
    <w:rsid w:val="00D524E1"/>
    <w:rsid w:val="00D52525"/>
    <w:rsid w:val="00D52684"/>
    <w:rsid w:val="00D52789"/>
    <w:rsid w:val="00D52820"/>
    <w:rsid w:val="00D529F7"/>
    <w:rsid w:val="00D52E3A"/>
    <w:rsid w:val="00D53092"/>
    <w:rsid w:val="00D530E5"/>
    <w:rsid w:val="00D535AE"/>
    <w:rsid w:val="00D5393B"/>
    <w:rsid w:val="00D53AD0"/>
    <w:rsid w:val="00D53B3D"/>
    <w:rsid w:val="00D53D54"/>
    <w:rsid w:val="00D54349"/>
    <w:rsid w:val="00D54464"/>
    <w:rsid w:val="00D5452B"/>
    <w:rsid w:val="00D546CA"/>
    <w:rsid w:val="00D54C3D"/>
    <w:rsid w:val="00D54C6D"/>
    <w:rsid w:val="00D54FA5"/>
    <w:rsid w:val="00D5512D"/>
    <w:rsid w:val="00D551E2"/>
    <w:rsid w:val="00D553C3"/>
    <w:rsid w:val="00D5545D"/>
    <w:rsid w:val="00D556D3"/>
    <w:rsid w:val="00D55A5D"/>
    <w:rsid w:val="00D55B6A"/>
    <w:rsid w:val="00D55D5A"/>
    <w:rsid w:val="00D55E13"/>
    <w:rsid w:val="00D55F8A"/>
    <w:rsid w:val="00D561A9"/>
    <w:rsid w:val="00D5693A"/>
    <w:rsid w:val="00D5694B"/>
    <w:rsid w:val="00D56D25"/>
    <w:rsid w:val="00D56E49"/>
    <w:rsid w:val="00D57056"/>
    <w:rsid w:val="00D57112"/>
    <w:rsid w:val="00D571C5"/>
    <w:rsid w:val="00D571DA"/>
    <w:rsid w:val="00D57737"/>
    <w:rsid w:val="00D578F1"/>
    <w:rsid w:val="00D579BA"/>
    <w:rsid w:val="00D57A04"/>
    <w:rsid w:val="00D57AC6"/>
    <w:rsid w:val="00D57C73"/>
    <w:rsid w:val="00D57DE9"/>
    <w:rsid w:val="00D57E6A"/>
    <w:rsid w:val="00D60632"/>
    <w:rsid w:val="00D6074D"/>
    <w:rsid w:val="00D60923"/>
    <w:rsid w:val="00D60961"/>
    <w:rsid w:val="00D60D99"/>
    <w:rsid w:val="00D60E44"/>
    <w:rsid w:val="00D61116"/>
    <w:rsid w:val="00D6175B"/>
    <w:rsid w:val="00D617B8"/>
    <w:rsid w:val="00D617C0"/>
    <w:rsid w:val="00D61A0E"/>
    <w:rsid w:val="00D61A65"/>
    <w:rsid w:val="00D61B16"/>
    <w:rsid w:val="00D61B70"/>
    <w:rsid w:val="00D61C7F"/>
    <w:rsid w:val="00D6231A"/>
    <w:rsid w:val="00D62642"/>
    <w:rsid w:val="00D62831"/>
    <w:rsid w:val="00D6283F"/>
    <w:rsid w:val="00D62858"/>
    <w:rsid w:val="00D62988"/>
    <w:rsid w:val="00D62A0E"/>
    <w:rsid w:val="00D62B06"/>
    <w:rsid w:val="00D62B6D"/>
    <w:rsid w:val="00D62B75"/>
    <w:rsid w:val="00D62BF4"/>
    <w:rsid w:val="00D62C04"/>
    <w:rsid w:val="00D62F5C"/>
    <w:rsid w:val="00D62F67"/>
    <w:rsid w:val="00D63301"/>
    <w:rsid w:val="00D633A8"/>
    <w:rsid w:val="00D635FC"/>
    <w:rsid w:val="00D636C4"/>
    <w:rsid w:val="00D63A85"/>
    <w:rsid w:val="00D63C75"/>
    <w:rsid w:val="00D63D9B"/>
    <w:rsid w:val="00D63F89"/>
    <w:rsid w:val="00D63FFD"/>
    <w:rsid w:val="00D6432B"/>
    <w:rsid w:val="00D644F7"/>
    <w:rsid w:val="00D6467E"/>
    <w:rsid w:val="00D64694"/>
    <w:rsid w:val="00D64890"/>
    <w:rsid w:val="00D64902"/>
    <w:rsid w:val="00D6495A"/>
    <w:rsid w:val="00D64D2D"/>
    <w:rsid w:val="00D64EA6"/>
    <w:rsid w:val="00D652BF"/>
    <w:rsid w:val="00D6536C"/>
    <w:rsid w:val="00D653EF"/>
    <w:rsid w:val="00D6551C"/>
    <w:rsid w:val="00D655C8"/>
    <w:rsid w:val="00D655DB"/>
    <w:rsid w:val="00D65922"/>
    <w:rsid w:val="00D65955"/>
    <w:rsid w:val="00D65EA4"/>
    <w:rsid w:val="00D664F4"/>
    <w:rsid w:val="00D66910"/>
    <w:rsid w:val="00D66B7A"/>
    <w:rsid w:val="00D66DF5"/>
    <w:rsid w:val="00D66F64"/>
    <w:rsid w:val="00D67298"/>
    <w:rsid w:val="00D673C0"/>
    <w:rsid w:val="00D6749E"/>
    <w:rsid w:val="00D674BE"/>
    <w:rsid w:val="00D67547"/>
    <w:rsid w:val="00D67608"/>
    <w:rsid w:val="00D6767E"/>
    <w:rsid w:val="00D6776A"/>
    <w:rsid w:val="00D6790F"/>
    <w:rsid w:val="00D67BAE"/>
    <w:rsid w:val="00D67BD6"/>
    <w:rsid w:val="00D67C32"/>
    <w:rsid w:val="00D703D7"/>
    <w:rsid w:val="00D70660"/>
    <w:rsid w:val="00D70670"/>
    <w:rsid w:val="00D70730"/>
    <w:rsid w:val="00D7079F"/>
    <w:rsid w:val="00D707EB"/>
    <w:rsid w:val="00D70B99"/>
    <w:rsid w:val="00D70D40"/>
    <w:rsid w:val="00D70E23"/>
    <w:rsid w:val="00D70F85"/>
    <w:rsid w:val="00D70F8B"/>
    <w:rsid w:val="00D713B0"/>
    <w:rsid w:val="00D713D4"/>
    <w:rsid w:val="00D713FD"/>
    <w:rsid w:val="00D71B52"/>
    <w:rsid w:val="00D71E06"/>
    <w:rsid w:val="00D71F76"/>
    <w:rsid w:val="00D71FC7"/>
    <w:rsid w:val="00D7229C"/>
    <w:rsid w:val="00D722AC"/>
    <w:rsid w:val="00D72466"/>
    <w:rsid w:val="00D72548"/>
    <w:rsid w:val="00D7285C"/>
    <w:rsid w:val="00D72958"/>
    <w:rsid w:val="00D729C9"/>
    <w:rsid w:val="00D72A1C"/>
    <w:rsid w:val="00D72B86"/>
    <w:rsid w:val="00D72D08"/>
    <w:rsid w:val="00D72D11"/>
    <w:rsid w:val="00D72E86"/>
    <w:rsid w:val="00D73380"/>
    <w:rsid w:val="00D736C6"/>
    <w:rsid w:val="00D73780"/>
    <w:rsid w:val="00D73A1E"/>
    <w:rsid w:val="00D73AD3"/>
    <w:rsid w:val="00D73C93"/>
    <w:rsid w:val="00D73D7D"/>
    <w:rsid w:val="00D74105"/>
    <w:rsid w:val="00D7437E"/>
    <w:rsid w:val="00D748AE"/>
    <w:rsid w:val="00D74D71"/>
    <w:rsid w:val="00D7504B"/>
    <w:rsid w:val="00D75168"/>
    <w:rsid w:val="00D7534A"/>
    <w:rsid w:val="00D75465"/>
    <w:rsid w:val="00D7546E"/>
    <w:rsid w:val="00D756F8"/>
    <w:rsid w:val="00D75AEC"/>
    <w:rsid w:val="00D75CA6"/>
    <w:rsid w:val="00D75DB0"/>
    <w:rsid w:val="00D75E01"/>
    <w:rsid w:val="00D762CD"/>
    <w:rsid w:val="00D766DB"/>
    <w:rsid w:val="00D76706"/>
    <w:rsid w:val="00D76826"/>
    <w:rsid w:val="00D76CCF"/>
    <w:rsid w:val="00D76E3B"/>
    <w:rsid w:val="00D76F26"/>
    <w:rsid w:val="00D7702F"/>
    <w:rsid w:val="00D77202"/>
    <w:rsid w:val="00D773EA"/>
    <w:rsid w:val="00D77565"/>
    <w:rsid w:val="00D776EB"/>
    <w:rsid w:val="00D77723"/>
    <w:rsid w:val="00D7777C"/>
    <w:rsid w:val="00D7781D"/>
    <w:rsid w:val="00D779E0"/>
    <w:rsid w:val="00D77A7E"/>
    <w:rsid w:val="00D77C80"/>
    <w:rsid w:val="00D77DB7"/>
    <w:rsid w:val="00D77EB7"/>
    <w:rsid w:val="00D800B9"/>
    <w:rsid w:val="00D801C9"/>
    <w:rsid w:val="00D80207"/>
    <w:rsid w:val="00D802BD"/>
    <w:rsid w:val="00D80598"/>
    <w:rsid w:val="00D8069D"/>
    <w:rsid w:val="00D80773"/>
    <w:rsid w:val="00D80790"/>
    <w:rsid w:val="00D807F8"/>
    <w:rsid w:val="00D80883"/>
    <w:rsid w:val="00D80C80"/>
    <w:rsid w:val="00D80C97"/>
    <w:rsid w:val="00D81048"/>
    <w:rsid w:val="00D8107C"/>
    <w:rsid w:val="00D8116D"/>
    <w:rsid w:val="00D8134B"/>
    <w:rsid w:val="00D8183B"/>
    <w:rsid w:val="00D818E5"/>
    <w:rsid w:val="00D81979"/>
    <w:rsid w:val="00D81C49"/>
    <w:rsid w:val="00D81D39"/>
    <w:rsid w:val="00D81E08"/>
    <w:rsid w:val="00D81E3F"/>
    <w:rsid w:val="00D81FC7"/>
    <w:rsid w:val="00D821CB"/>
    <w:rsid w:val="00D822CC"/>
    <w:rsid w:val="00D824CD"/>
    <w:rsid w:val="00D825CB"/>
    <w:rsid w:val="00D82722"/>
    <w:rsid w:val="00D82861"/>
    <w:rsid w:val="00D82899"/>
    <w:rsid w:val="00D82969"/>
    <w:rsid w:val="00D83270"/>
    <w:rsid w:val="00D8374A"/>
    <w:rsid w:val="00D83875"/>
    <w:rsid w:val="00D83959"/>
    <w:rsid w:val="00D83991"/>
    <w:rsid w:val="00D83D0A"/>
    <w:rsid w:val="00D83D83"/>
    <w:rsid w:val="00D83F4A"/>
    <w:rsid w:val="00D8448C"/>
    <w:rsid w:val="00D84774"/>
    <w:rsid w:val="00D847D2"/>
    <w:rsid w:val="00D84853"/>
    <w:rsid w:val="00D849E7"/>
    <w:rsid w:val="00D849F8"/>
    <w:rsid w:val="00D84B09"/>
    <w:rsid w:val="00D84B88"/>
    <w:rsid w:val="00D84BF2"/>
    <w:rsid w:val="00D84DE0"/>
    <w:rsid w:val="00D84E15"/>
    <w:rsid w:val="00D84EFE"/>
    <w:rsid w:val="00D85247"/>
    <w:rsid w:val="00D85276"/>
    <w:rsid w:val="00D855EF"/>
    <w:rsid w:val="00D856CB"/>
    <w:rsid w:val="00D85801"/>
    <w:rsid w:val="00D85BBC"/>
    <w:rsid w:val="00D85C86"/>
    <w:rsid w:val="00D85DCD"/>
    <w:rsid w:val="00D85DD5"/>
    <w:rsid w:val="00D861B3"/>
    <w:rsid w:val="00D86213"/>
    <w:rsid w:val="00D867C1"/>
    <w:rsid w:val="00D86874"/>
    <w:rsid w:val="00D86A7A"/>
    <w:rsid w:val="00D86A98"/>
    <w:rsid w:val="00D86B5E"/>
    <w:rsid w:val="00D86C30"/>
    <w:rsid w:val="00D86DAD"/>
    <w:rsid w:val="00D86F1B"/>
    <w:rsid w:val="00D86F9A"/>
    <w:rsid w:val="00D8747A"/>
    <w:rsid w:val="00D875F1"/>
    <w:rsid w:val="00D87730"/>
    <w:rsid w:val="00D877B7"/>
    <w:rsid w:val="00D878F1"/>
    <w:rsid w:val="00D879EC"/>
    <w:rsid w:val="00D87D55"/>
    <w:rsid w:val="00D87DCA"/>
    <w:rsid w:val="00D90275"/>
    <w:rsid w:val="00D9035B"/>
    <w:rsid w:val="00D903F0"/>
    <w:rsid w:val="00D9040F"/>
    <w:rsid w:val="00D90815"/>
    <w:rsid w:val="00D90A0D"/>
    <w:rsid w:val="00D90D75"/>
    <w:rsid w:val="00D90EB9"/>
    <w:rsid w:val="00D91046"/>
    <w:rsid w:val="00D91378"/>
    <w:rsid w:val="00D913CC"/>
    <w:rsid w:val="00D914E5"/>
    <w:rsid w:val="00D915D2"/>
    <w:rsid w:val="00D916F0"/>
    <w:rsid w:val="00D91791"/>
    <w:rsid w:val="00D917B1"/>
    <w:rsid w:val="00D919DA"/>
    <w:rsid w:val="00D91B63"/>
    <w:rsid w:val="00D92185"/>
    <w:rsid w:val="00D92219"/>
    <w:rsid w:val="00D922A0"/>
    <w:rsid w:val="00D92555"/>
    <w:rsid w:val="00D925FB"/>
    <w:rsid w:val="00D9289D"/>
    <w:rsid w:val="00D92BC9"/>
    <w:rsid w:val="00D92C08"/>
    <w:rsid w:val="00D92C39"/>
    <w:rsid w:val="00D92C58"/>
    <w:rsid w:val="00D9349F"/>
    <w:rsid w:val="00D9366A"/>
    <w:rsid w:val="00D936ED"/>
    <w:rsid w:val="00D9397A"/>
    <w:rsid w:val="00D93A2F"/>
    <w:rsid w:val="00D93C40"/>
    <w:rsid w:val="00D93DDE"/>
    <w:rsid w:val="00D93F36"/>
    <w:rsid w:val="00D9430C"/>
    <w:rsid w:val="00D94316"/>
    <w:rsid w:val="00D9463E"/>
    <w:rsid w:val="00D94700"/>
    <w:rsid w:val="00D94CD5"/>
    <w:rsid w:val="00D94D02"/>
    <w:rsid w:val="00D94F12"/>
    <w:rsid w:val="00D94FED"/>
    <w:rsid w:val="00D95107"/>
    <w:rsid w:val="00D95124"/>
    <w:rsid w:val="00D95665"/>
    <w:rsid w:val="00D95767"/>
    <w:rsid w:val="00D95806"/>
    <w:rsid w:val="00D95A00"/>
    <w:rsid w:val="00D95AB1"/>
    <w:rsid w:val="00D95B71"/>
    <w:rsid w:val="00D95D8E"/>
    <w:rsid w:val="00D95E1B"/>
    <w:rsid w:val="00D95F5F"/>
    <w:rsid w:val="00D95F69"/>
    <w:rsid w:val="00D95FE5"/>
    <w:rsid w:val="00D961DF"/>
    <w:rsid w:val="00D9650A"/>
    <w:rsid w:val="00D967B4"/>
    <w:rsid w:val="00D969DB"/>
    <w:rsid w:val="00D96A18"/>
    <w:rsid w:val="00D96A93"/>
    <w:rsid w:val="00D96CCC"/>
    <w:rsid w:val="00D96EE9"/>
    <w:rsid w:val="00D9794A"/>
    <w:rsid w:val="00D97A99"/>
    <w:rsid w:val="00DA055C"/>
    <w:rsid w:val="00DA0A05"/>
    <w:rsid w:val="00DA0B71"/>
    <w:rsid w:val="00DA0DCF"/>
    <w:rsid w:val="00DA0E6B"/>
    <w:rsid w:val="00DA0E88"/>
    <w:rsid w:val="00DA0E8B"/>
    <w:rsid w:val="00DA0EFB"/>
    <w:rsid w:val="00DA10BC"/>
    <w:rsid w:val="00DA17AE"/>
    <w:rsid w:val="00DA18C9"/>
    <w:rsid w:val="00DA1901"/>
    <w:rsid w:val="00DA1907"/>
    <w:rsid w:val="00DA19B4"/>
    <w:rsid w:val="00DA1DE0"/>
    <w:rsid w:val="00DA1EAE"/>
    <w:rsid w:val="00DA2230"/>
    <w:rsid w:val="00DA2557"/>
    <w:rsid w:val="00DA25D4"/>
    <w:rsid w:val="00DA25EA"/>
    <w:rsid w:val="00DA2716"/>
    <w:rsid w:val="00DA2791"/>
    <w:rsid w:val="00DA27C7"/>
    <w:rsid w:val="00DA28C7"/>
    <w:rsid w:val="00DA291E"/>
    <w:rsid w:val="00DA2B40"/>
    <w:rsid w:val="00DA2C3A"/>
    <w:rsid w:val="00DA2D08"/>
    <w:rsid w:val="00DA2D6F"/>
    <w:rsid w:val="00DA2D88"/>
    <w:rsid w:val="00DA2D92"/>
    <w:rsid w:val="00DA2DBB"/>
    <w:rsid w:val="00DA2DCE"/>
    <w:rsid w:val="00DA2E84"/>
    <w:rsid w:val="00DA3006"/>
    <w:rsid w:val="00DA3089"/>
    <w:rsid w:val="00DA31FE"/>
    <w:rsid w:val="00DA324D"/>
    <w:rsid w:val="00DA40C5"/>
    <w:rsid w:val="00DA426F"/>
    <w:rsid w:val="00DA4601"/>
    <w:rsid w:val="00DA487D"/>
    <w:rsid w:val="00DA48B0"/>
    <w:rsid w:val="00DA4A12"/>
    <w:rsid w:val="00DA4A31"/>
    <w:rsid w:val="00DA4BE8"/>
    <w:rsid w:val="00DA4CF7"/>
    <w:rsid w:val="00DA4D43"/>
    <w:rsid w:val="00DA4ED8"/>
    <w:rsid w:val="00DA4F8A"/>
    <w:rsid w:val="00DA50AF"/>
    <w:rsid w:val="00DA51B8"/>
    <w:rsid w:val="00DA544B"/>
    <w:rsid w:val="00DA5460"/>
    <w:rsid w:val="00DA5482"/>
    <w:rsid w:val="00DA5612"/>
    <w:rsid w:val="00DA56FE"/>
    <w:rsid w:val="00DA5723"/>
    <w:rsid w:val="00DA5939"/>
    <w:rsid w:val="00DA59C2"/>
    <w:rsid w:val="00DA59CB"/>
    <w:rsid w:val="00DA5A1A"/>
    <w:rsid w:val="00DA5BC5"/>
    <w:rsid w:val="00DA5E78"/>
    <w:rsid w:val="00DA5F0F"/>
    <w:rsid w:val="00DA5F19"/>
    <w:rsid w:val="00DA5F45"/>
    <w:rsid w:val="00DA5FD6"/>
    <w:rsid w:val="00DA60D7"/>
    <w:rsid w:val="00DA61F2"/>
    <w:rsid w:val="00DA6521"/>
    <w:rsid w:val="00DA67D9"/>
    <w:rsid w:val="00DA6AE0"/>
    <w:rsid w:val="00DA6CB6"/>
    <w:rsid w:val="00DA6CC2"/>
    <w:rsid w:val="00DA6DAF"/>
    <w:rsid w:val="00DA6DF4"/>
    <w:rsid w:val="00DA6E90"/>
    <w:rsid w:val="00DA7047"/>
    <w:rsid w:val="00DA70A2"/>
    <w:rsid w:val="00DA71E1"/>
    <w:rsid w:val="00DA734D"/>
    <w:rsid w:val="00DA73BA"/>
    <w:rsid w:val="00DA73E5"/>
    <w:rsid w:val="00DA74D5"/>
    <w:rsid w:val="00DA755E"/>
    <w:rsid w:val="00DA75AC"/>
    <w:rsid w:val="00DA75EA"/>
    <w:rsid w:val="00DA7935"/>
    <w:rsid w:val="00DA79EC"/>
    <w:rsid w:val="00DA7AB8"/>
    <w:rsid w:val="00DA7B2A"/>
    <w:rsid w:val="00DA7E63"/>
    <w:rsid w:val="00DA7EF3"/>
    <w:rsid w:val="00DA7F14"/>
    <w:rsid w:val="00DB0167"/>
    <w:rsid w:val="00DB021A"/>
    <w:rsid w:val="00DB0341"/>
    <w:rsid w:val="00DB06AB"/>
    <w:rsid w:val="00DB06E1"/>
    <w:rsid w:val="00DB0876"/>
    <w:rsid w:val="00DB0905"/>
    <w:rsid w:val="00DB0D8F"/>
    <w:rsid w:val="00DB0E14"/>
    <w:rsid w:val="00DB0F36"/>
    <w:rsid w:val="00DB1055"/>
    <w:rsid w:val="00DB108C"/>
    <w:rsid w:val="00DB10D1"/>
    <w:rsid w:val="00DB123D"/>
    <w:rsid w:val="00DB130D"/>
    <w:rsid w:val="00DB14F6"/>
    <w:rsid w:val="00DB167F"/>
    <w:rsid w:val="00DB169D"/>
    <w:rsid w:val="00DB18AB"/>
    <w:rsid w:val="00DB1B4A"/>
    <w:rsid w:val="00DB1D8A"/>
    <w:rsid w:val="00DB1E47"/>
    <w:rsid w:val="00DB1EF0"/>
    <w:rsid w:val="00DB2062"/>
    <w:rsid w:val="00DB23C9"/>
    <w:rsid w:val="00DB2630"/>
    <w:rsid w:val="00DB267D"/>
    <w:rsid w:val="00DB2750"/>
    <w:rsid w:val="00DB2751"/>
    <w:rsid w:val="00DB2781"/>
    <w:rsid w:val="00DB29BD"/>
    <w:rsid w:val="00DB2A31"/>
    <w:rsid w:val="00DB2B0D"/>
    <w:rsid w:val="00DB2BF6"/>
    <w:rsid w:val="00DB2CB8"/>
    <w:rsid w:val="00DB2F59"/>
    <w:rsid w:val="00DB31A4"/>
    <w:rsid w:val="00DB3515"/>
    <w:rsid w:val="00DB396C"/>
    <w:rsid w:val="00DB3B25"/>
    <w:rsid w:val="00DB3C30"/>
    <w:rsid w:val="00DB3C8E"/>
    <w:rsid w:val="00DB3D6D"/>
    <w:rsid w:val="00DB3E65"/>
    <w:rsid w:val="00DB3FFB"/>
    <w:rsid w:val="00DB416D"/>
    <w:rsid w:val="00DB41C8"/>
    <w:rsid w:val="00DB4225"/>
    <w:rsid w:val="00DB4278"/>
    <w:rsid w:val="00DB449F"/>
    <w:rsid w:val="00DB45DB"/>
    <w:rsid w:val="00DB46D9"/>
    <w:rsid w:val="00DB48BD"/>
    <w:rsid w:val="00DB4C7F"/>
    <w:rsid w:val="00DB4E5B"/>
    <w:rsid w:val="00DB4F70"/>
    <w:rsid w:val="00DB4FCA"/>
    <w:rsid w:val="00DB55CC"/>
    <w:rsid w:val="00DB58E3"/>
    <w:rsid w:val="00DB592B"/>
    <w:rsid w:val="00DB59A4"/>
    <w:rsid w:val="00DB59AA"/>
    <w:rsid w:val="00DB5A74"/>
    <w:rsid w:val="00DB5ADB"/>
    <w:rsid w:val="00DB5B52"/>
    <w:rsid w:val="00DB5B6D"/>
    <w:rsid w:val="00DB5D29"/>
    <w:rsid w:val="00DB5DC2"/>
    <w:rsid w:val="00DB5E2E"/>
    <w:rsid w:val="00DB5E3D"/>
    <w:rsid w:val="00DB6161"/>
    <w:rsid w:val="00DB623F"/>
    <w:rsid w:val="00DB6620"/>
    <w:rsid w:val="00DB6660"/>
    <w:rsid w:val="00DB6D42"/>
    <w:rsid w:val="00DB6F47"/>
    <w:rsid w:val="00DB702D"/>
    <w:rsid w:val="00DB705A"/>
    <w:rsid w:val="00DB720D"/>
    <w:rsid w:val="00DB730F"/>
    <w:rsid w:val="00DB7385"/>
    <w:rsid w:val="00DB7949"/>
    <w:rsid w:val="00DB7B13"/>
    <w:rsid w:val="00DB7BE9"/>
    <w:rsid w:val="00DB7C8C"/>
    <w:rsid w:val="00DB7E8B"/>
    <w:rsid w:val="00DB7F2C"/>
    <w:rsid w:val="00DC0883"/>
    <w:rsid w:val="00DC0C68"/>
    <w:rsid w:val="00DC0D38"/>
    <w:rsid w:val="00DC0D72"/>
    <w:rsid w:val="00DC0F42"/>
    <w:rsid w:val="00DC0FA2"/>
    <w:rsid w:val="00DC0FD5"/>
    <w:rsid w:val="00DC11AF"/>
    <w:rsid w:val="00DC15AD"/>
    <w:rsid w:val="00DC15C2"/>
    <w:rsid w:val="00DC1762"/>
    <w:rsid w:val="00DC1862"/>
    <w:rsid w:val="00DC1930"/>
    <w:rsid w:val="00DC1D81"/>
    <w:rsid w:val="00DC1DBC"/>
    <w:rsid w:val="00DC2062"/>
    <w:rsid w:val="00DC2212"/>
    <w:rsid w:val="00DC23DC"/>
    <w:rsid w:val="00DC2455"/>
    <w:rsid w:val="00DC26EA"/>
    <w:rsid w:val="00DC27AC"/>
    <w:rsid w:val="00DC27E2"/>
    <w:rsid w:val="00DC27E7"/>
    <w:rsid w:val="00DC29BC"/>
    <w:rsid w:val="00DC2A76"/>
    <w:rsid w:val="00DC2B73"/>
    <w:rsid w:val="00DC2CB9"/>
    <w:rsid w:val="00DC30B9"/>
    <w:rsid w:val="00DC31AA"/>
    <w:rsid w:val="00DC3276"/>
    <w:rsid w:val="00DC3379"/>
    <w:rsid w:val="00DC34B2"/>
    <w:rsid w:val="00DC357C"/>
    <w:rsid w:val="00DC3587"/>
    <w:rsid w:val="00DC35B6"/>
    <w:rsid w:val="00DC39ED"/>
    <w:rsid w:val="00DC3E41"/>
    <w:rsid w:val="00DC3EB9"/>
    <w:rsid w:val="00DC4124"/>
    <w:rsid w:val="00DC4156"/>
    <w:rsid w:val="00DC4270"/>
    <w:rsid w:val="00DC42BB"/>
    <w:rsid w:val="00DC4405"/>
    <w:rsid w:val="00DC44A1"/>
    <w:rsid w:val="00DC44CF"/>
    <w:rsid w:val="00DC4543"/>
    <w:rsid w:val="00DC455B"/>
    <w:rsid w:val="00DC46BD"/>
    <w:rsid w:val="00DC48AB"/>
    <w:rsid w:val="00DC4988"/>
    <w:rsid w:val="00DC4A04"/>
    <w:rsid w:val="00DC4AED"/>
    <w:rsid w:val="00DC4B52"/>
    <w:rsid w:val="00DC550F"/>
    <w:rsid w:val="00DC569B"/>
    <w:rsid w:val="00DC5ABC"/>
    <w:rsid w:val="00DC5C1A"/>
    <w:rsid w:val="00DC612D"/>
    <w:rsid w:val="00DC62A1"/>
    <w:rsid w:val="00DC64DD"/>
    <w:rsid w:val="00DC6514"/>
    <w:rsid w:val="00DC65B5"/>
    <w:rsid w:val="00DC6758"/>
    <w:rsid w:val="00DC69AC"/>
    <w:rsid w:val="00DC6A35"/>
    <w:rsid w:val="00DC6B1B"/>
    <w:rsid w:val="00DC6B37"/>
    <w:rsid w:val="00DC6DA5"/>
    <w:rsid w:val="00DC6E40"/>
    <w:rsid w:val="00DC6F1B"/>
    <w:rsid w:val="00DC6FC9"/>
    <w:rsid w:val="00DC7304"/>
    <w:rsid w:val="00DC73EF"/>
    <w:rsid w:val="00DC7491"/>
    <w:rsid w:val="00DC7553"/>
    <w:rsid w:val="00DC755E"/>
    <w:rsid w:val="00DC763F"/>
    <w:rsid w:val="00DC7749"/>
    <w:rsid w:val="00DC78E8"/>
    <w:rsid w:val="00DC795C"/>
    <w:rsid w:val="00DC7D22"/>
    <w:rsid w:val="00DC7E50"/>
    <w:rsid w:val="00DC7F76"/>
    <w:rsid w:val="00DC7F9A"/>
    <w:rsid w:val="00DD00A5"/>
    <w:rsid w:val="00DD04ED"/>
    <w:rsid w:val="00DD05A1"/>
    <w:rsid w:val="00DD0759"/>
    <w:rsid w:val="00DD0813"/>
    <w:rsid w:val="00DD0E29"/>
    <w:rsid w:val="00DD127B"/>
    <w:rsid w:val="00DD15EC"/>
    <w:rsid w:val="00DD17A3"/>
    <w:rsid w:val="00DD184F"/>
    <w:rsid w:val="00DD1908"/>
    <w:rsid w:val="00DD1B44"/>
    <w:rsid w:val="00DD1DE4"/>
    <w:rsid w:val="00DD1EBB"/>
    <w:rsid w:val="00DD1EEB"/>
    <w:rsid w:val="00DD2081"/>
    <w:rsid w:val="00DD21AF"/>
    <w:rsid w:val="00DD2257"/>
    <w:rsid w:val="00DD22FF"/>
    <w:rsid w:val="00DD23E3"/>
    <w:rsid w:val="00DD2631"/>
    <w:rsid w:val="00DD277F"/>
    <w:rsid w:val="00DD27DF"/>
    <w:rsid w:val="00DD2D2E"/>
    <w:rsid w:val="00DD2F92"/>
    <w:rsid w:val="00DD2FD0"/>
    <w:rsid w:val="00DD2FDD"/>
    <w:rsid w:val="00DD3062"/>
    <w:rsid w:val="00DD3158"/>
    <w:rsid w:val="00DD32F4"/>
    <w:rsid w:val="00DD3789"/>
    <w:rsid w:val="00DD3B7E"/>
    <w:rsid w:val="00DD3B9A"/>
    <w:rsid w:val="00DD3CEB"/>
    <w:rsid w:val="00DD3D09"/>
    <w:rsid w:val="00DD43B6"/>
    <w:rsid w:val="00DD4A6E"/>
    <w:rsid w:val="00DD4A86"/>
    <w:rsid w:val="00DD4C03"/>
    <w:rsid w:val="00DD4E68"/>
    <w:rsid w:val="00DD4F21"/>
    <w:rsid w:val="00DD4FB9"/>
    <w:rsid w:val="00DD5094"/>
    <w:rsid w:val="00DD5111"/>
    <w:rsid w:val="00DD5332"/>
    <w:rsid w:val="00DD5376"/>
    <w:rsid w:val="00DD5429"/>
    <w:rsid w:val="00DD55D9"/>
    <w:rsid w:val="00DD5807"/>
    <w:rsid w:val="00DD5838"/>
    <w:rsid w:val="00DD590C"/>
    <w:rsid w:val="00DD5B0C"/>
    <w:rsid w:val="00DD5B3E"/>
    <w:rsid w:val="00DD5FC2"/>
    <w:rsid w:val="00DD6038"/>
    <w:rsid w:val="00DD60BF"/>
    <w:rsid w:val="00DD6103"/>
    <w:rsid w:val="00DD66C4"/>
    <w:rsid w:val="00DD6925"/>
    <w:rsid w:val="00DD6C67"/>
    <w:rsid w:val="00DD6ED5"/>
    <w:rsid w:val="00DD6F24"/>
    <w:rsid w:val="00DD6FE4"/>
    <w:rsid w:val="00DD72E9"/>
    <w:rsid w:val="00DD7353"/>
    <w:rsid w:val="00DD73FE"/>
    <w:rsid w:val="00DD7990"/>
    <w:rsid w:val="00DD7B2A"/>
    <w:rsid w:val="00DD7BCE"/>
    <w:rsid w:val="00DD7BD7"/>
    <w:rsid w:val="00DD7D30"/>
    <w:rsid w:val="00DE0439"/>
    <w:rsid w:val="00DE08BA"/>
    <w:rsid w:val="00DE0989"/>
    <w:rsid w:val="00DE0A86"/>
    <w:rsid w:val="00DE0B51"/>
    <w:rsid w:val="00DE0EBF"/>
    <w:rsid w:val="00DE0F43"/>
    <w:rsid w:val="00DE0F88"/>
    <w:rsid w:val="00DE1150"/>
    <w:rsid w:val="00DE1248"/>
    <w:rsid w:val="00DE1264"/>
    <w:rsid w:val="00DE1713"/>
    <w:rsid w:val="00DE184F"/>
    <w:rsid w:val="00DE26AD"/>
    <w:rsid w:val="00DE2781"/>
    <w:rsid w:val="00DE2836"/>
    <w:rsid w:val="00DE2867"/>
    <w:rsid w:val="00DE2888"/>
    <w:rsid w:val="00DE29CE"/>
    <w:rsid w:val="00DE2CB7"/>
    <w:rsid w:val="00DE2EE6"/>
    <w:rsid w:val="00DE2F31"/>
    <w:rsid w:val="00DE2FF1"/>
    <w:rsid w:val="00DE32CE"/>
    <w:rsid w:val="00DE335F"/>
    <w:rsid w:val="00DE33D0"/>
    <w:rsid w:val="00DE3453"/>
    <w:rsid w:val="00DE34C8"/>
    <w:rsid w:val="00DE3781"/>
    <w:rsid w:val="00DE3AD5"/>
    <w:rsid w:val="00DE3CAC"/>
    <w:rsid w:val="00DE3CE5"/>
    <w:rsid w:val="00DE4141"/>
    <w:rsid w:val="00DE432F"/>
    <w:rsid w:val="00DE43BA"/>
    <w:rsid w:val="00DE482E"/>
    <w:rsid w:val="00DE488D"/>
    <w:rsid w:val="00DE4B38"/>
    <w:rsid w:val="00DE4C00"/>
    <w:rsid w:val="00DE4C4C"/>
    <w:rsid w:val="00DE4C6F"/>
    <w:rsid w:val="00DE4DDF"/>
    <w:rsid w:val="00DE4DF7"/>
    <w:rsid w:val="00DE4FA6"/>
    <w:rsid w:val="00DE4FF6"/>
    <w:rsid w:val="00DE5380"/>
    <w:rsid w:val="00DE557A"/>
    <w:rsid w:val="00DE58AD"/>
    <w:rsid w:val="00DE5938"/>
    <w:rsid w:val="00DE5A5C"/>
    <w:rsid w:val="00DE5A64"/>
    <w:rsid w:val="00DE5A70"/>
    <w:rsid w:val="00DE5AD7"/>
    <w:rsid w:val="00DE5CBB"/>
    <w:rsid w:val="00DE66F5"/>
    <w:rsid w:val="00DE6CB2"/>
    <w:rsid w:val="00DE6EF2"/>
    <w:rsid w:val="00DE709B"/>
    <w:rsid w:val="00DE72F3"/>
    <w:rsid w:val="00DE74F4"/>
    <w:rsid w:val="00DE7500"/>
    <w:rsid w:val="00DE75D1"/>
    <w:rsid w:val="00DE761A"/>
    <w:rsid w:val="00DE783B"/>
    <w:rsid w:val="00DE7877"/>
    <w:rsid w:val="00DE7957"/>
    <w:rsid w:val="00DE7A0E"/>
    <w:rsid w:val="00DE7A15"/>
    <w:rsid w:val="00DE7BE9"/>
    <w:rsid w:val="00DE7C0C"/>
    <w:rsid w:val="00DE7E36"/>
    <w:rsid w:val="00DF0021"/>
    <w:rsid w:val="00DF0058"/>
    <w:rsid w:val="00DF01B0"/>
    <w:rsid w:val="00DF0535"/>
    <w:rsid w:val="00DF0890"/>
    <w:rsid w:val="00DF0924"/>
    <w:rsid w:val="00DF09B1"/>
    <w:rsid w:val="00DF0A52"/>
    <w:rsid w:val="00DF0BCC"/>
    <w:rsid w:val="00DF0E44"/>
    <w:rsid w:val="00DF0F23"/>
    <w:rsid w:val="00DF0F5B"/>
    <w:rsid w:val="00DF0F5D"/>
    <w:rsid w:val="00DF129F"/>
    <w:rsid w:val="00DF13E5"/>
    <w:rsid w:val="00DF13FA"/>
    <w:rsid w:val="00DF1774"/>
    <w:rsid w:val="00DF178B"/>
    <w:rsid w:val="00DF1A04"/>
    <w:rsid w:val="00DF1BE7"/>
    <w:rsid w:val="00DF21AD"/>
    <w:rsid w:val="00DF238E"/>
    <w:rsid w:val="00DF258F"/>
    <w:rsid w:val="00DF26DF"/>
    <w:rsid w:val="00DF2777"/>
    <w:rsid w:val="00DF2847"/>
    <w:rsid w:val="00DF2852"/>
    <w:rsid w:val="00DF2AF4"/>
    <w:rsid w:val="00DF2C90"/>
    <w:rsid w:val="00DF2DB4"/>
    <w:rsid w:val="00DF2F3C"/>
    <w:rsid w:val="00DF30D5"/>
    <w:rsid w:val="00DF32EA"/>
    <w:rsid w:val="00DF3462"/>
    <w:rsid w:val="00DF3483"/>
    <w:rsid w:val="00DF358A"/>
    <w:rsid w:val="00DF3A4C"/>
    <w:rsid w:val="00DF3DB1"/>
    <w:rsid w:val="00DF3E9B"/>
    <w:rsid w:val="00DF3F2A"/>
    <w:rsid w:val="00DF420B"/>
    <w:rsid w:val="00DF421B"/>
    <w:rsid w:val="00DF449D"/>
    <w:rsid w:val="00DF481D"/>
    <w:rsid w:val="00DF48C9"/>
    <w:rsid w:val="00DF4E09"/>
    <w:rsid w:val="00DF4F52"/>
    <w:rsid w:val="00DF5317"/>
    <w:rsid w:val="00DF5721"/>
    <w:rsid w:val="00DF5A8D"/>
    <w:rsid w:val="00DF5BDD"/>
    <w:rsid w:val="00DF5F48"/>
    <w:rsid w:val="00DF60CD"/>
    <w:rsid w:val="00DF63D1"/>
    <w:rsid w:val="00DF63DB"/>
    <w:rsid w:val="00DF6468"/>
    <w:rsid w:val="00DF651C"/>
    <w:rsid w:val="00DF66F4"/>
    <w:rsid w:val="00DF6A67"/>
    <w:rsid w:val="00DF6B0D"/>
    <w:rsid w:val="00DF6DA3"/>
    <w:rsid w:val="00DF6E93"/>
    <w:rsid w:val="00DF6EEE"/>
    <w:rsid w:val="00DF7106"/>
    <w:rsid w:val="00DF72C1"/>
    <w:rsid w:val="00DF72F7"/>
    <w:rsid w:val="00DF7431"/>
    <w:rsid w:val="00DF74CC"/>
    <w:rsid w:val="00DF7548"/>
    <w:rsid w:val="00DF7590"/>
    <w:rsid w:val="00DF7635"/>
    <w:rsid w:val="00DF7945"/>
    <w:rsid w:val="00DF7AE5"/>
    <w:rsid w:val="00DF7B51"/>
    <w:rsid w:val="00DF7BC1"/>
    <w:rsid w:val="00DF7DCD"/>
    <w:rsid w:val="00DF7F01"/>
    <w:rsid w:val="00DF7F59"/>
    <w:rsid w:val="00E00040"/>
    <w:rsid w:val="00E00157"/>
    <w:rsid w:val="00E00353"/>
    <w:rsid w:val="00E00495"/>
    <w:rsid w:val="00E004AA"/>
    <w:rsid w:val="00E006F2"/>
    <w:rsid w:val="00E00ADF"/>
    <w:rsid w:val="00E00B36"/>
    <w:rsid w:val="00E0100A"/>
    <w:rsid w:val="00E01109"/>
    <w:rsid w:val="00E011B4"/>
    <w:rsid w:val="00E0123B"/>
    <w:rsid w:val="00E01293"/>
    <w:rsid w:val="00E013E6"/>
    <w:rsid w:val="00E017BB"/>
    <w:rsid w:val="00E01BA4"/>
    <w:rsid w:val="00E01BB3"/>
    <w:rsid w:val="00E01BF3"/>
    <w:rsid w:val="00E01EED"/>
    <w:rsid w:val="00E01F09"/>
    <w:rsid w:val="00E02125"/>
    <w:rsid w:val="00E02168"/>
    <w:rsid w:val="00E022AF"/>
    <w:rsid w:val="00E023F8"/>
    <w:rsid w:val="00E026F1"/>
    <w:rsid w:val="00E027B2"/>
    <w:rsid w:val="00E0297B"/>
    <w:rsid w:val="00E02B79"/>
    <w:rsid w:val="00E02C5A"/>
    <w:rsid w:val="00E02DBF"/>
    <w:rsid w:val="00E0332D"/>
    <w:rsid w:val="00E033D3"/>
    <w:rsid w:val="00E03622"/>
    <w:rsid w:val="00E03A91"/>
    <w:rsid w:val="00E03D66"/>
    <w:rsid w:val="00E03DB5"/>
    <w:rsid w:val="00E03E72"/>
    <w:rsid w:val="00E03FEA"/>
    <w:rsid w:val="00E040EC"/>
    <w:rsid w:val="00E04498"/>
    <w:rsid w:val="00E044EC"/>
    <w:rsid w:val="00E0477E"/>
    <w:rsid w:val="00E04A0A"/>
    <w:rsid w:val="00E04B76"/>
    <w:rsid w:val="00E04FE4"/>
    <w:rsid w:val="00E05011"/>
    <w:rsid w:val="00E05086"/>
    <w:rsid w:val="00E05392"/>
    <w:rsid w:val="00E05430"/>
    <w:rsid w:val="00E056AF"/>
    <w:rsid w:val="00E059B4"/>
    <w:rsid w:val="00E05B57"/>
    <w:rsid w:val="00E05F66"/>
    <w:rsid w:val="00E060BD"/>
    <w:rsid w:val="00E060DD"/>
    <w:rsid w:val="00E0613E"/>
    <w:rsid w:val="00E0621A"/>
    <w:rsid w:val="00E062F8"/>
    <w:rsid w:val="00E0647C"/>
    <w:rsid w:val="00E065E1"/>
    <w:rsid w:val="00E06B60"/>
    <w:rsid w:val="00E06BCC"/>
    <w:rsid w:val="00E06E8E"/>
    <w:rsid w:val="00E06EA6"/>
    <w:rsid w:val="00E07150"/>
    <w:rsid w:val="00E0734C"/>
    <w:rsid w:val="00E076A2"/>
    <w:rsid w:val="00E079C9"/>
    <w:rsid w:val="00E07BE1"/>
    <w:rsid w:val="00E07C12"/>
    <w:rsid w:val="00E100DA"/>
    <w:rsid w:val="00E102C2"/>
    <w:rsid w:val="00E1036A"/>
    <w:rsid w:val="00E10692"/>
    <w:rsid w:val="00E10C0F"/>
    <w:rsid w:val="00E10C49"/>
    <w:rsid w:val="00E10CA8"/>
    <w:rsid w:val="00E10E09"/>
    <w:rsid w:val="00E10ED1"/>
    <w:rsid w:val="00E11636"/>
    <w:rsid w:val="00E11921"/>
    <w:rsid w:val="00E11F76"/>
    <w:rsid w:val="00E120E9"/>
    <w:rsid w:val="00E120EF"/>
    <w:rsid w:val="00E12137"/>
    <w:rsid w:val="00E124AF"/>
    <w:rsid w:val="00E12525"/>
    <w:rsid w:val="00E12552"/>
    <w:rsid w:val="00E12678"/>
    <w:rsid w:val="00E12BF0"/>
    <w:rsid w:val="00E12D52"/>
    <w:rsid w:val="00E137A2"/>
    <w:rsid w:val="00E137F6"/>
    <w:rsid w:val="00E13D3D"/>
    <w:rsid w:val="00E13F02"/>
    <w:rsid w:val="00E142A8"/>
    <w:rsid w:val="00E14754"/>
    <w:rsid w:val="00E14791"/>
    <w:rsid w:val="00E14A2F"/>
    <w:rsid w:val="00E14B24"/>
    <w:rsid w:val="00E14CA0"/>
    <w:rsid w:val="00E14D3D"/>
    <w:rsid w:val="00E14DD8"/>
    <w:rsid w:val="00E14F02"/>
    <w:rsid w:val="00E15006"/>
    <w:rsid w:val="00E15163"/>
    <w:rsid w:val="00E1522E"/>
    <w:rsid w:val="00E1532E"/>
    <w:rsid w:val="00E15441"/>
    <w:rsid w:val="00E15504"/>
    <w:rsid w:val="00E15535"/>
    <w:rsid w:val="00E1554C"/>
    <w:rsid w:val="00E1596F"/>
    <w:rsid w:val="00E159EB"/>
    <w:rsid w:val="00E15A83"/>
    <w:rsid w:val="00E15D27"/>
    <w:rsid w:val="00E15DF2"/>
    <w:rsid w:val="00E15EFF"/>
    <w:rsid w:val="00E160A5"/>
    <w:rsid w:val="00E16169"/>
    <w:rsid w:val="00E1629D"/>
    <w:rsid w:val="00E1640A"/>
    <w:rsid w:val="00E1648B"/>
    <w:rsid w:val="00E16A9B"/>
    <w:rsid w:val="00E16B31"/>
    <w:rsid w:val="00E16D07"/>
    <w:rsid w:val="00E16D81"/>
    <w:rsid w:val="00E17066"/>
    <w:rsid w:val="00E170D4"/>
    <w:rsid w:val="00E173CB"/>
    <w:rsid w:val="00E17729"/>
    <w:rsid w:val="00E17814"/>
    <w:rsid w:val="00E178C4"/>
    <w:rsid w:val="00E17A2B"/>
    <w:rsid w:val="00E17D7A"/>
    <w:rsid w:val="00E17E90"/>
    <w:rsid w:val="00E17FDF"/>
    <w:rsid w:val="00E203FF"/>
    <w:rsid w:val="00E20406"/>
    <w:rsid w:val="00E20470"/>
    <w:rsid w:val="00E20573"/>
    <w:rsid w:val="00E206C7"/>
    <w:rsid w:val="00E208FB"/>
    <w:rsid w:val="00E20D47"/>
    <w:rsid w:val="00E210D4"/>
    <w:rsid w:val="00E211DE"/>
    <w:rsid w:val="00E212E1"/>
    <w:rsid w:val="00E215A0"/>
    <w:rsid w:val="00E21989"/>
    <w:rsid w:val="00E219FE"/>
    <w:rsid w:val="00E21EC5"/>
    <w:rsid w:val="00E21F37"/>
    <w:rsid w:val="00E22537"/>
    <w:rsid w:val="00E229DA"/>
    <w:rsid w:val="00E22ED8"/>
    <w:rsid w:val="00E22F7E"/>
    <w:rsid w:val="00E23184"/>
    <w:rsid w:val="00E23210"/>
    <w:rsid w:val="00E23384"/>
    <w:rsid w:val="00E237B6"/>
    <w:rsid w:val="00E23953"/>
    <w:rsid w:val="00E23B52"/>
    <w:rsid w:val="00E23DE2"/>
    <w:rsid w:val="00E23FB2"/>
    <w:rsid w:val="00E24007"/>
    <w:rsid w:val="00E24387"/>
    <w:rsid w:val="00E24673"/>
    <w:rsid w:val="00E24A6A"/>
    <w:rsid w:val="00E24A8C"/>
    <w:rsid w:val="00E24B29"/>
    <w:rsid w:val="00E24B45"/>
    <w:rsid w:val="00E24E73"/>
    <w:rsid w:val="00E25023"/>
    <w:rsid w:val="00E25055"/>
    <w:rsid w:val="00E250E1"/>
    <w:rsid w:val="00E252BE"/>
    <w:rsid w:val="00E258D3"/>
    <w:rsid w:val="00E25964"/>
    <w:rsid w:val="00E25AB8"/>
    <w:rsid w:val="00E25FA8"/>
    <w:rsid w:val="00E25FAA"/>
    <w:rsid w:val="00E26001"/>
    <w:rsid w:val="00E2607A"/>
    <w:rsid w:val="00E2617A"/>
    <w:rsid w:val="00E261C1"/>
    <w:rsid w:val="00E261CF"/>
    <w:rsid w:val="00E26425"/>
    <w:rsid w:val="00E266EA"/>
    <w:rsid w:val="00E268D9"/>
    <w:rsid w:val="00E2697A"/>
    <w:rsid w:val="00E26DF5"/>
    <w:rsid w:val="00E26F05"/>
    <w:rsid w:val="00E2705E"/>
    <w:rsid w:val="00E270C9"/>
    <w:rsid w:val="00E27436"/>
    <w:rsid w:val="00E274A4"/>
    <w:rsid w:val="00E27548"/>
    <w:rsid w:val="00E27782"/>
    <w:rsid w:val="00E277B9"/>
    <w:rsid w:val="00E2785E"/>
    <w:rsid w:val="00E278C6"/>
    <w:rsid w:val="00E27A9F"/>
    <w:rsid w:val="00E27AD3"/>
    <w:rsid w:val="00E27C4E"/>
    <w:rsid w:val="00E27CD7"/>
    <w:rsid w:val="00E27DF5"/>
    <w:rsid w:val="00E27EFD"/>
    <w:rsid w:val="00E27F86"/>
    <w:rsid w:val="00E30023"/>
    <w:rsid w:val="00E302FA"/>
    <w:rsid w:val="00E3048D"/>
    <w:rsid w:val="00E3065E"/>
    <w:rsid w:val="00E30C7D"/>
    <w:rsid w:val="00E30DD6"/>
    <w:rsid w:val="00E30E50"/>
    <w:rsid w:val="00E30E5B"/>
    <w:rsid w:val="00E30EE1"/>
    <w:rsid w:val="00E310C9"/>
    <w:rsid w:val="00E311BB"/>
    <w:rsid w:val="00E311BE"/>
    <w:rsid w:val="00E31372"/>
    <w:rsid w:val="00E3179A"/>
    <w:rsid w:val="00E317C0"/>
    <w:rsid w:val="00E318B7"/>
    <w:rsid w:val="00E3193F"/>
    <w:rsid w:val="00E3195E"/>
    <w:rsid w:val="00E31BCA"/>
    <w:rsid w:val="00E31D49"/>
    <w:rsid w:val="00E320EA"/>
    <w:rsid w:val="00E320F7"/>
    <w:rsid w:val="00E32120"/>
    <w:rsid w:val="00E32368"/>
    <w:rsid w:val="00E327CC"/>
    <w:rsid w:val="00E3291D"/>
    <w:rsid w:val="00E32B83"/>
    <w:rsid w:val="00E32BBD"/>
    <w:rsid w:val="00E32CFD"/>
    <w:rsid w:val="00E32D6C"/>
    <w:rsid w:val="00E32E09"/>
    <w:rsid w:val="00E32F8C"/>
    <w:rsid w:val="00E33061"/>
    <w:rsid w:val="00E3325A"/>
    <w:rsid w:val="00E33310"/>
    <w:rsid w:val="00E33839"/>
    <w:rsid w:val="00E33AED"/>
    <w:rsid w:val="00E34012"/>
    <w:rsid w:val="00E34065"/>
    <w:rsid w:val="00E3443E"/>
    <w:rsid w:val="00E346D8"/>
    <w:rsid w:val="00E34736"/>
    <w:rsid w:val="00E34DFB"/>
    <w:rsid w:val="00E34E7A"/>
    <w:rsid w:val="00E34EC4"/>
    <w:rsid w:val="00E34EF4"/>
    <w:rsid w:val="00E34FAC"/>
    <w:rsid w:val="00E352E7"/>
    <w:rsid w:val="00E354CF"/>
    <w:rsid w:val="00E35752"/>
    <w:rsid w:val="00E3589C"/>
    <w:rsid w:val="00E35925"/>
    <w:rsid w:val="00E3592D"/>
    <w:rsid w:val="00E3596F"/>
    <w:rsid w:val="00E35A24"/>
    <w:rsid w:val="00E3600F"/>
    <w:rsid w:val="00E36041"/>
    <w:rsid w:val="00E361F6"/>
    <w:rsid w:val="00E3659A"/>
    <w:rsid w:val="00E3682D"/>
    <w:rsid w:val="00E36D65"/>
    <w:rsid w:val="00E36E56"/>
    <w:rsid w:val="00E370F6"/>
    <w:rsid w:val="00E3742E"/>
    <w:rsid w:val="00E3752D"/>
    <w:rsid w:val="00E37997"/>
    <w:rsid w:val="00E37E19"/>
    <w:rsid w:val="00E37E85"/>
    <w:rsid w:val="00E37F38"/>
    <w:rsid w:val="00E4029F"/>
    <w:rsid w:val="00E405CD"/>
    <w:rsid w:val="00E40701"/>
    <w:rsid w:val="00E40749"/>
    <w:rsid w:val="00E4093F"/>
    <w:rsid w:val="00E40C58"/>
    <w:rsid w:val="00E40C7D"/>
    <w:rsid w:val="00E40C91"/>
    <w:rsid w:val="00E40CCC"/>
    <w:rsid w:val="00E40E9D"/>
    <w:rsid w:val="00E40F39"/>
    <w:rsid w:val="00E40FBA"/>
    <w:rsid w:val="00E4103B"/>
    <w:rsid w:val="00E410AF"/>
    <w:rsid w:val="00E4147A"/>
    <w:rsid w:val="00E41764"/>
    <w:rsid w:val="00E41794"/>
    <w:rsid w:val="00E4189F"/>
    <w:rsid w:val="00E418DA"/>
    <w:rsid w:val="00E41A96"/>
    <w:rsid w:val="00E41F97"/>
    <w:rsid w:val="00E42052"/>
    <w:rsid w:val="00E4217F"/>
    <w:rsid w:val="00E421F2"/>
    <w:rsid w:val="00E42249"/>
    <w:rsid w:val="00E42423"/>
    <w:rsid w:val="00E424B3"/>
    <w:rsid w:val="00E42534"/>
    <w:rsid w:val="00E425A8"/>
    <w:rsid w:val="00E426B4"/>
    <w:rsid w:val="00E42750"/>
    <w:rsid w:val="00E427D5"/>
    <w:rsid w:val="00E4294F"/>
    <w:rsid w:val="00E42D5E"/>
    <w:rsid w:val="00E430FA"/>
    <w:rsid w:val="00E43359"/>
    <w:rsid w:val="00E4341F"/>
    <w:rsid w:val="00E43737"/>
    <w:rsid w:val="00E439F5"/>
    <w:rsid w:val="00E4432C"/>
    <w:rsid w:val="00E4487A"/>
    <w:rsid w:val="00E44B6B"/>
    <w:rsid w:val="00E44BAB"/>
    <w:rsid w:val="00E44D30"/>
    <w:rsid w:val="00E44D38"/>
    <w:rsid w:val="00E44EF8"/>
    <w:rsid w:val="00E44FAF"/>
    <w:rsid w:val="00E45080"/>
    <w:rsid w:val="00E45098"/>
    <w:rsid w:val="00E451E1"/>
    <w:rsid w:val="00E45227"/>
    <w:rsid w:val="00E45228"/>
    <w:rsid w:val="00E455E7"/>
    <w:rsid w:val="00E457A6"/>
    <w:rsid w:val="00E45992"/>
    <w:rsid w:val="00E45CA9"/>
    <w:rsid w:val="00E45CAB"/>
    <w:rsid w:val="00E45DC3"/>
    <w:rsid w:val="00E45DF7"/>
    <w:rsid w:val="00E45E76"/>
    <w:rsid w:val="00E460CA"/>
    <w:rsid w:val="00E468A9"/>
    <w:rsid w:val="00E46BF3"/>
    <w:rsid w:val="00E46EEA"/>
    <w:rsid w:val="00E46FFF"/>
    <w:rsid w:val="00E47069"/>
    <w:rsid w:val="00E47119"/>
    <w:rsid w:val="00E47593"/>
    <w:rsid w:val="00E47667"/>
    <w:rsid w:val="00E47758"/>
    <w:rsid w:val="00E477C8"/>
    <w:rsid w:val="00E47861"/>
    <w:rsid w:val="00E47BF3"/>
    <w:rsid w:val="00E47ED2"/>
    <w:rsid w:val="00E501E0"/>
    <w:rsid w:val="00E5048C"/>
    <w:rsid w:val="00E50737"/>
    <w:rsid w:val="00E50A04"/>
    <w:rsid w:val="00E50BCF"/>
    <w:rsid w:val="00E50D33"/>
    <w:rsid w:val="00E50F2F"/>
    <w:rsid w:val="00E50F8E"/>
    <w:rsid w:val="00E51067"/>
    <w:rsid w:val="00E512AD"/>
    <w:rsid w:val="00E512CA"/>
    <w:rsid w:val="00E512CB"/>
    <w:rsid w:val="00E51615"/>
    <w:rsid w:val="00E5187A"/>
    <w:rsid w:val="00E51991"/>
    <w:rsid w:val="00E51B16"/>
    <w:rsid w:val="00E51B50"/>
    <w:rsid w:val="00E51B72"/>
    <w:rsid w:val="00E51BC9"/>
    <w:rsid w:val="00E51C23"/>
    <w:rsid w:val="00E51F5C"/>
    <w:rsid w:val="00E51F6D"/>
    <w:rsid w:val="00E52120"/>
    <w:rsid w:val="00E523D6"/>
    <w:rsid w:val="00E526EF"/>
    <w:rsid w:val="00E52783"/>
    <w:rsid w:val="00E52821"/>
    <w:rsid w:val="00E52827"/>
    <w:rsid w:val="00E529E0"/>
    <w:rsid w:val="00E52AFD"/>
    <w:rsid w:val="00E52EE9"/>
    <w:rsid w:val="00E52F0D"/>
    <w:rsid w:val="00E53026"/>
    <w:rsid w:val="00E5303E"/>
    <w:rsid w:val="00E532C6"/>
    <w:rsid w:val="00E53601"/>
    <w:rsid w:val="00E53696"/>
    <w:rsid w:val="00E53868"/>
    <w:rsid w:val="00E53907"/>
    <w:rsid w:val="00E53D63"/>
    <w:rsid w:val="00E53D90"/>
    <w:rsid w:val="00E53F2E"/>
    <w:rsid w:val="00E5421A"/>
    <w:rsid w:val="00E54221"/>
    <w:rsid w:val="00E542FF"/>
    <w:rsid w:val="00E545D8"/>
    <w:rsid w:val="00E54734"/>
    <w:rsid w:val="00E54A2D"/>
    <w:rsid w:val="00E54A8C"/>
    <w:rsid w:val="00E54D72"/>
    <w:rsid w:val="00E54FD5"/>
    <w:rsid w:val="00E550C9"/>
    <w:rsid w:val="00E55281"/>
    <w:rsid w:val="00E5539E"/>
    <w:rsid w:val="00E557F5"/>
    <w:rsid w:val="00E55C12"/>
    <w:rsid w:val="00E55DE8"/>
    <w:rsid w:val="00E55E2D"/>
    <w:rsid w:val="00E55F43"/>
    <w:rsid w:val="00E56024"/>
    <w:rsid w:val="00E5616C"/>
    <w:rsid w:val="00E56598"/>
    <w:rsid w:val="00E56820"/>
    <w:rsid w:val="00E568A2"/>
    <w:rsid w:val="00E56D42"/>
    <w:rsid w:val="00E5711A"/>
    <w:rsid w:val="00E573E1"/>
    <w:rsid w:val="00E574A0"/>
    <w:rsid w:val="00E575E2"/>
    <w:rsid w:val="00E576E7"/>
    <w:rsid w:val="00E5771B"/>
    <w:rsid w:val="00E57856"/>
    <w:rsid w:val="00E57A2A"/>
    <w:rsid w:val="00E57AF8"/>
    <w:rsid w:val="00E57F34"/>
    <w:rsid w:val="00E60121"/>
    <w:rsid w:val="00E60474"/>
    <w:rsid w:val="00E6059D"/>
    <w:rsid w:val="00E607B6"/>
    <w:rsid w:val="00E60A2F"/>
    <w:rsid w:val="00E60A8F"/>
    <w:rsid w:val="00E60D71"/>
    <w:rsid w:val="00E611F4"/>
    <w:rsid w:val="00E614B6"/>
    <w:rsid w:val="00E6172F"/>
    <w:rsid w:val="00E61774"/>
    <w:rsid w:val="00E6178C"/>
    <w:rsid w:val="00E618F3"/>
    <w:rsid w:val="00E61901"/>
    <w:rsid w:val="00E61D66"/>
    <w:rsid w:val="00E61DB4"/>
    <w:rsid w:val="00E62106"/>
    <w:rsid w:val="00E621C3"/>
    <w:rsid w:val="00E62252"/>
    <w:rsid w:val="00E6226D"/>
    <w:rsid w:val="00E623C8"/>
    <w:rsid w:val="00E6294C"/>
    <w:rsid w:val="00E62A37"/>
    <w:rsid w:val="00E62B7A"/>
    <w:rsid w:val="00E62B80"/>
    <w:rsid w:val="00E62C0A"/>
    <w:rsid w:val="00E62C3A"/>
    <w:rsid w:val="00E62C6B"/>
    <w:rsid w:val="00E62C74"/>
    <w:rsid w:val="00E62CCB"/>
    <w:rsid w:val="00E62D9D"/>
    <w:rsid w:val="00E62E22"/>
    <w:rsid w:val="00E62FCC"/>
    <w:rsid w:val="00E630A4"/>
    <w:rsid w:val="00E63132"/>
    <w:rsid w:val="00E6387A"/>
    <w:rsid w:val="00E638C9"/>
    <w:rsid w:val="00E63902"/>
    <w:rsid w:val="00E639E7"/>
    <w:rsid w:val="00E63CBD"/>
    <w:rsid w:val="00E63E6C"/>
    <w:rsid w:val="00E63EAF"/>
    <w:rsid w:val="00E64052"/>
    <w:rsid w:val="00E6412B"/>
    <w:rsid w:val="00E6435C"/>
    <w:rsid w:val="00E64436"/>
    <w:rsid w:val="00E6443F"/>
    <w:rsid w:val="00E64526"/>
    <w:rsid w:val="00E64751"/>
    <w:rsid w:val="00E64824"/>
    <w:rsid w:val="00E64AF7"/>
    <w:rsid w:val="00E64D23"/>
    <w:rsid w:val="00E64ED9"/>
    <w:rsid w:val="00E6562B"/>
    <w:rsid w:val="00E6571C"/>
    <w:rsid w:val="00E658AA"/>
    <w:rsid w:val="00E65993"/>
    <w:rsid w:val="00E65999"/>
    <w:rsid w:val="00E659FD"/>
    <w:rsid w:val="00E65A1C"/>
    <w:rsid w:val="00E65C3D"/>
    <w:rsid w:val="00E65D45"/>
    <w:rsid w:val="00E65F44"/>
    <w:rsid w:val="00E65F8F"/>
    <w:rsid w:val="00E66651"/>
    <w:rsid w:val="00E6665D"/>
    <w:rsid w:val="00E66756"/>
    <w:rsid w:val="00E669C4"/>
    <w:rsid w:val="00E66B56"/>
    <w:rsid w:val="00E66B8B"/>
    <w:rsid w:val="00E66B97"/>
    <w:rsid w:val="00E66D5D"/>
    <w:rsid w:val="00E66DBB"/>
    <w:rsid w:val="00E66DD6"/>
    <w:rsid w:val="00E67033"/>
    <w:rsid w:val="00E6716B"/>
    <w:rsid w:val="00E67188"/>
    <w:rsid w:val="00E6730B"/>
    <w:rsid w:val="00E67499"/>
    <w:rsid w:val="00E674EE"/>
    <w:rsid w:val="00E676C3"/>
    <w:rsid w:val="00E6776C"/>
    <w:rsid w:val="00E678A7"/>
    <w:rsid w:val="00E678CD"/>
    <w:rsid w:val="00E67AD2"/>
    <w:rsid w:val="00E67B79"/>
    <w:rsid w:val="00E67BEE"/>
    <w:rsid w:val="00E67D74"/>
    <w:rsid w:val="00E67EFE"/>
    <w:rsid w:val="00E70084"/>
    <w:rsid w:val="00E70176"/>
    <w:rsid w:val="00E7017D"/>
    <w:rsid w:val="00E701DE"/>
    <w:rsid w:val="00E704C8"/>
    <w:rsid w:val="00E704EA"/>
    <w:rsid w:val="00E70532"/>
    <w:rsid w:val="00E70569"/>
    <w:rsid w:val="00E705B0"/>
    <w:rsid w:val="00E707E4"/>
    <w:rsid w:val="00E709E3"/>
    <w:rsid w:val="00E70AB4"/>
    <w:rsid w:val="00E70B21"/>
    <w:rsid w:val="00E70B70"/>
    <w:rsid w:val="00E70EA0"/>
    <w:rsid w:val="00E70FFB"/>
    <w:rsid w:val="00E71092"/>
    <w:rsid w:val="00E7144F"/>
    <w:rsid w:val="00E7176A"/>
    <w:rsid w:val="00E71B7F"/>
    <w:rsid w:val="00E71E36"/>
    <w:rsid w:val="00E71F11"/>
    <w:rsid w:val="00E721CF"/>
    <w:rsid w:val="00E72996"/>
    <w:rsid w:val="00E72B2D"/>
    <w:rsid w:val="00E72C36"/>
    <w:rsid w:val="00E72E58"/>
    <w:rsid w:val="00E72F79"/>
    <w:rsid w:val="00E73023"/>
    <w:rsid w:val="00E732C3"/>
    <w:rsid w:val="00E735AA"/>
    <w:rsid w:val="00E73646"/>
    <w:rsid w:val="00E737C7"/>
    <w:rsid w:val="00E73CB3"/>
    <w:rsid w:val="00E73EE4"/>
    <w:rsid w:val="00E73F8D"/>
    <w:rsid w:val="00E74056"/>
    <w:rsid w:val="00E74243"/>
    <w:rsid w:val="00E74278"/>
    <w:rsid w:val="00E742D0"/>
    <w:rsid w:val="00E742D9"/>
    <w:rsid w:val="00E743D4"/>
    <w:rsid w:val="00E74593"/>
    <w:rsid w:val="00E74822"/>
    <w:rsid w:val="00E748C2"/>
    <w:rsid w:val="00E748E4"/>
    <w:rsid w:val="00E748F2"/>
    <w:rsid w:val="00E74ABD"/>
    <w:rsid w:val="00E74B0F"/>
    <w:rsid w:val="00E74FFD"/>
    <w:rsid w:val="00E75328"/>
    <w:rsid w:val="00E75336"/>
    <w:rsid w:val="00E75418"/>
    <w:rsid w:val="00E75560"/>
    <w:rsid w:val="00E75587"/>
    <w:rsid w:val="00E756A9"/>
    <w:rsid w:val="00E75A94"/>
    <w:rsid w:val="00E75B0D"/>
    <w:rsid w:val="00E75F98"/>
    <w:rsid w:val="00E760F3"/>
    <w:rsid w:val="00E7619D"/>
    <w:rsid w:val="00E76361"/>
    <w:rsid w:val="00E7687A"/>
    <w:rsid w:val="00E76883"/>
    <w:rsid w:val="00E7688A"/>
    <w:rsid w:val="00E76A41"/>
    <w:rsid w:val="00E76AF7"/>
    <w:rsid w:val="00E76BAF"/>
    <w:rsid w:val="00E76C01"/>
    <w:rsid w:val="00E76EA9"/>
    <w:rsid w:val="00E76FE3"/>
    <w:rsid w:val="00E7714E"/>
    <w:rsid w:val="00E773A8"/>
    <w:rsid w:val="00E7775C"/>
    <w:rsid w:val="00E778A4"/>
    <w:rsid w:val="00E778DD"/>
    <w:rsid w:val="00E77B39"/>
    <w:rsid w:val="00E77C1F"/>
    <w:rsid w:val="00E77CBF"/>
    <w:rsid w:val="00E77F1E"/>
    <w:rsid w:val="00E800F2"/>
    <w:rsid w:val="00E801A3"/>
    <w:rsid w:val="00E80339"/>
    <w:rsid w:val="00E804E3"/>
    <w:rsid w:val="00E804F5"/>
    <w:rsid w:val="00E805A3"/>
    <w:rsid w:val="00E808FC"/>
    <w:rsid w:val="00E80A3A"/>
    <w:rsid w:val="00E80B55"/>
    <w:rsid w:val="00E80B8F"/>
    <w:rsid w:val="00E80F0A"/>
    <w:rsid w:val="00E810C3"/>
    <w:rsid w:val="00E81159"/>
    <w:rsid w:val="00E8156D"/>
    <w:rsid w:val="00E81641"/>
    <w:rsid w:val="00E816EE"/>
    <w:rsid w:val="00E818B1"/>
    <w:rsid w:val="00E81984"/>
    <w:rsid w:val="00E819BF"/>
    <w:rsid w:val="00E81B41"/>
    <w:rsid w:val="00E81BE1"/>
    <w:rsid w:val="00E81C0F"/>
    <w:rsid w:val="00E81DE3"/>
    <w:rsid w:val="00E81DE4"/>
    <w:rsid w:val="00E81E97"/>
    <w:rsid w:val="00E81EE6"/>
    <w:rsid w:val="00E8204A"/>
    <w:rsid w:val="00E82170"/>
    <w:rsid w:val="00E82311"/>
    <w:rsid w:val="00E823A7"/>
    <w:rsid w:val="00E82670"/>
    <w:rsid w:val="00E82BA4"/>
    <w:rsid w:val="00E82D88"/>
    <w:rsid w:val="00E833D2"/>
    <w:rsid w:val="00E83580"/>
    <w:rsid w:val="00E83718"/>
    <w:rsid w:val="00E8373A"/>
    <w:rsid w:val="00E8382F"/>
    <w:rsid w:val="00E83934"/>
    <w:rsid w:val="00E83A7C"/>
    <w:rsid w:val="00E83BA2"/>
    <w:rsid w:val="00E83BD2"/>
    <w:rsid w:val="00E83D40"/>
    <w:rsid w:val="00E84187"/>
    <w:rsid w:val="00E8426C"/>
    <w:rsid w:val="00E8457C"/>
    <w:rsid w:val="00E845E0"/>
    <w:rsid w:val="00E84804"/>
    <w:rsid w:val="00E84857"/>
    <w:rsid w:val="00E849CB"/>
    <w:rsid w:val="00E84A3C"/>
    <w:rsid w:val="00E84B0E"/>
    <w:rsid w:val="00E84BC3"/>
    <w:rsid w:val="00E84DDF"/>
    <w:rsid w:val="00E851BC"/>
    <w:rsid w:val="00E852F9"/>
    <w:rsid w:val="00E853B0"/>
    <w:rsid w:val="00E855E7"/>
    <w:rsid w:val="00E8570B"/>
    <w:rsid w:val="00E85768"/>
    <w:rsid w:val="00E85832"/>
    <w:rsid w:val="00E85A0E"/>
    <w:rsid w:val="00E85C70"/>
    <w:rsid w:val="00E85CB5"/>
    <w:rsid w:val="00E86013"/>
    <w:rsid w:val="00E8628B"/>
    <w:rsid w:val="00E86327"/>
    <w:rsid w:val="00E8645F"/>
    <w:rsid w:val="00E8655C"/>
    <w:rsid w:val="00E866D8"/>
    <w:rsid w:val="00E86991"/>
    <w:rsid w:val="00E86E56"/>
    <w:rsid w:val="00E86EC1"/>
    <w:rsid w:val="00E86F10"/>
    <w:rsid w:val="00E87091"/>
    <w:rsid w:val="00E8716A"/>
    <w:rsid w:val="00E871FC"/>
    <w:rsid w:val="00E872EF"/>
    <w:rsid w:val="00E872FB"/>
    <w:rsid w:val="00E87571"/>
    <w:rsid w:val="00E875E9"/>
    <w:rsid w:val="00E876F1"/>
    <w:rsid w:val="00E87753"/>
    <w:rsid w:val="00E8790A"/>
    <w:rsid w:val="00E879BF"/>
    <w:rsid w:val="00E87FD3"/>
    <w:rsid w:val="00E900A2"/>
    <w:rsid w:val="00E9020D"/>
    <w:rsid w:val="00E90226"/>
    <w:rsid w:val="00E90315"/>
    <w:rsid w:val="00E90723"/>
    <w:rsid w:val="00E90812"/>
    <w:rsid w:val="00E909AA"/>
    <w:rsid w:val="00E90DD7"/>
    <w:rsid w:val="00E90ECF"/>
    <w:rsid w:val="00E90F30"/>
    <w:rsid w:val="00E90F4B"/>
    <w:rsid w:val="00E910E1"/>
    <w:rsid w:val="00E9137D"/>
    <w:rsid w:val="00E9143D"/>
    <w:rsid w:val="00E91656"/>
    <w:rsid w:val="00E9172C"/>
    <w:rsid w:val="00E91A7B"/>
    <w:rsid w:val="00E91FB9"/>
    <w:rsid w:val="00E9200B"/>
    <w:rsid w:val="00E9233E"/>
    <w:rsid w:val="00E92344"/>
    <w:rsid w:val="00E92411"/>
    <w:rsid w:val="00E92651"/>
    <w:rsid w:val="00E9265A"/>
    <w:rsid w:val="00E926D6"/>
    <w:rsid w:val="00E92771"/>
    <w:rsid w:val="00E92887"/>
    <w:rsid w:val="00E929E6"/>
    <w:rsid w:val="00E92D32"/>
    <w:rsid w:val="00E92F1F"/>
    <w:rsid w:val="00E9339A"/>
    <w:rsid w:val="00E93493"/>
    <w:rsid w:val="00E93544"/>
    <w:rsid w:val="00E935F5"/>
    <w:rsid w:val="00E936EE"/>
    <w:rsid w:val="00E937CF"/>
    <w:rsid w:val="00E93ABA"/>
    <w:rsid w:val="00E93B15"/>
    <w:rsid w:val="00E93B16"/>
    <w:rsid w:val="00E93BEE"/>
    <w:rsid w:val="00E93E6B"/>
    <w:rsid w:val="00E93E99"/>
    <w:rsid w:val="00E9426E"/>
    <w:rsid w:val="00E94625"/>
    <w:rsid w:val="00E94781"/>
    <w:rsid w:val="00E949B7"/>
    <w:rsid w:val="00E94A11"/>
    <w:rsid w:val="00E94B71"/>
    <w:rsid w:val="00E94D0C"/>
    <w:rsid w:val="00E94D5A"/>
    <w:rsid w:val="00E94D97"/>
    <w:rsid w:val="00E94E5E"/>
    <w:rsid w:val="00E94FE8"/>
    <w:rsid w:val="00E9510C"/>
    <w:rsid w:val="00E95172"/>
    <w:rsid w:val="00E9523D"/>
    <w:rsid w:val="00E954F5"/>
    <w:rsid w:val="00E957CA"/>
    <w:rsid w:val="00E95993"/>
    <w:rsid w:val="00E959BE"/>
    <w:rsid w:val="00E959E8"/>
    <w:rsid w:val="00E95B74"/>
    <w:rsid w:val="00E95C18"/>
    <w:rsid w:val="00E95CA8"/>
    <w:rsid w:val="00E95EE2"/>
    <w:rsid w:val="00E95FF7"/>
    <w:rsid w:val="00E9603B"/>
    <w:rsid w:val="00E96151"/>
    <w:rsid w:val="00E96562"/>
    <w:rsid w:val="00E96789"/>
    <w:rsid w:val="00E96811"/>
    <w:rsid w:val="00E9689C"/>
    <w:rsid w:val="00E968D9"/>
    <w:rsid w:val="00E96A62"/>
    <w:rsid w:val="00E96E13"/>
    <w:rsid w:val="00E96E43"/>
    <w:rsid w:val="00E96FD9"/>
    <w:rsid w:val="00E9743C"/>
    <w:rsid w:val="00E976AF"/>
    <w:rsid w:val="00E977C9"/>
    <w:rsid w:val="00E97835"/>
    <w:rsid w:val="00E97A89"/>
    <w:rsid w:val="00E97CC5"/>
    <w:rsid w:val="00E97D15"/>
    <w:rsid w:val="00E97D26"/>
    <w:rsid w:val="00E97D63"/>
    <w:rsid w:val="00E97E11"/>
    <w:rsid w:val="00E97F8B"/>
    <w:rsid w:val="00E97FE5"/>
    <w:rsid w:val="00EA000B"/>
    <w:rsid w:val="00EA0022"/>
    <w:rsid w:val="00EA03CF"/>
    <w:rsid w:val="00EA0562"/>
    <w:rsid w:val="00EA080C"/>
    <w:rsid w:val="00EA094F"/>
    <w:rsid w:val="00EA0991"/>
    <w:rsid w:val="00EA0A08"/>
    <w:rsid w:val="00EA0E19"/>
    <w:rsid w:val="00EA13B1"/>
    <w:rsid w:val="00EA13F5"/>
    <w:rsid w:val="00EA1561"/>
    <w:rsid w:val="00EA1603"/>
    <w:rsid w:val="00EA17E7"/>
    <w:rsid w:val="00EA196C"/>
    <w:rsid w:val="00EA1A07"/>
    <w:rsid w:val="00EA1A36"/>
    <w:rsid w:val="00EA1B24"/>
    <w:rsid w:val="00EA1B7B"/>
    <w:rsid w:val="00EA1DFE"/>
    <w:rsid w:val="00EA1E04"/>
    <w:rsid w:val="00EA1FBE"/>
    <w:rsid w:val="00EA21C7"/>
    <w:rsid w:val="00EA2380"/>
    <w:rsid w:val="00EA2389"/>
    <w:rsid w:val="00EA2416"/>
    <w:rsid w:val="00EA2B60"/>
    <w:rsid w:val="00EA2B8F"/>
    <w:rsid w:val="00EA2C7A"/>
    <w:rsid w:val="00EA30F6"/>
    <w:rsid w:val="00EA3116"/>
    <w:rsid w:val="00EA316B"/>
    <w:rsid w:val="00EA3372"/>
    <w:rsid w:val="00EA3498"/>
    <w:rsid w:val="00EA34B5"/>
    <w:rsid w:val="00EA3523"/>
    <w:rsid w:val="00EA35AA"/>
    <w:rsid w:val="00EA372B"/>
    <w:rsid w:val="00EA3AEC"/>
    <w:rsid w:val="00EA3B9D"/>
    <w:rsid w:val="00EA4271"/>
    <w:rsid w:val="00EA4390"/>
    <w:rsid w:val="00EA46BF"/>
    <w:rsid w:val="00EA47C5"/>
    <w:rsid w:val="00EA480C"/>
    <w:rsid w:val="00EA482E"/>
    <w:rsid w:val="00EA4881"/>
    <w:rsid w:val="00EA4A5E"/>
    <w:rsid w:val="00EA4BEB"/>
    <w:rsid w:val="00EA4C13"/>
    <w:rsid w:val="00EA4D0C"/>
    <w:rsid w:val="00EA4D22"/>
    <w:rsid w:val="00EA4D3F"/>
    <w:rsid w:val="00EA4E95"/>
    <w:rsid w:val="00EA4F01"/>
    <w:rsid w:val="00EA507E"/>
    <w:rsid w:val="00EA51CF"/>
    <w:rsid w:val="00EA5203"/>
    <w:rsid w:val="00EA521F"/>
    <w:rsid w:val="00EA562B"/>
    <w:rsid w:val="00EA5756"/>
    <w:rsid w:val="00EA58AE"/>
    <w:rsid w:val="00EA5ADD"/>
    <w:rsid w:val="00EA5EEF"/>
    <w:rsid w:val="00EA6065"/>
    <w:rsid w:val="00EA64A5"/>
    <w:rsid w:val="00EA66F6"/>
    <w:rsid w:val="00EA6789"/>
    <w:rsid w:val="00EA67C5"/>
    <w:rsid w:val="00EA6830"/>
    <w:rsid w:val="00EA6B4F"/>
    <w:rsid w:val="00EA6E94"/>
    <w:rsid w:val="00EA6FF9"/>
    <w:rsid w:val="00EA72A1"/>
    <w:rsid w:val="00EA74BC"/>
    <w:rsid w:val="00EA751F"/>
    <w:rsid w:val="00EA7950"/>
    <w:rsid w:val="00EA7A0D"/>
    <w:rsid w:val="00EA7AF3"/>
    <w:rsid w:val="00EA7AFD"/>
    <w:rsid w:val="00EA7C26"/>
    <w:rsid w:val="00EA7F15"/>
    <w:rsid w:val="00EB015E"/>
    <w:rsid w:val="00EB02F0"/>
    <w:rsid w:val="00EB06CB"/>
    <w:rsid w:val="00EB0CED"/>
    <w:rsid w:val="00EB0EA2"/>
    <w:rsid w:val="00EB0FDF"/>
    <w:rsid w:val="00EB1005"/>
    <w:rsid w:val="00EB14DF"/>
    <w:rsid w:val="00EB1547"/>
    <w:rsid w:val="00EB159D"/>
    <w:rsid w:val="00EB188A"/>
    <w:rsid w:val="00EB188D"/>
    <w:rsid w:val="00EB1C38"/>
    <w:rsid w:val="00EB1D84"/>
    <w:rsid w:val="00EB1E7B"/>
    <w:rsid w:val="00EB1EBC"/>
    <w:rsid w:val="00EB1F2E"/>
    <w:rsid w:val="00EB1FE4"/>
    <w:rsid w:val="00EB22BE"/>
    <w:rsid w:val="00EB2496"/>
    <w:rsid w:val="00EB26DF"/>
    <w:rsid w:val="00EB2A3E"/>
    <w:rsid w:val="00EB30A0"/>
    <w:rsid w:val="00EB31AB"/>
    <w:rsid w:val="00EB31BB"/>
    <w:rsid w:val="00EB32B4"/>
    <w:rsid w:val="00EB341D"/>
    <w:rsid w:val="00EB3613"/>
    <w:rsid w:val="00EB3A36"/>
    <w:rsid w:val="00EB3BF4"/>
    <w:rsid w:val="00EB3D8D"/>
    <w:rsid w:val="00EB3D9B"/>
    <w:rsid w:val="00EB42A9"/>
    <w:rsid w:val="00EB4690"/>
    <w:rsid w:val="00EB46F1"/>
    <w:rsid w:val="00EB46F3"/>
    <w:rsid w:val="00EB46F5"/>
    <w:rsid w:val="00EB4841"/>
    <w:rsid w:val="00EB48A3"/>
    <w:rsid w:val="00EB4B40"/>
    <w:rsid w:val="00EB4B4D"/>
    <w:rsid w:val="00EB4C1B"/>
    <w:rsid w:val="00EB4C2C"/>
    <w:rsid w:val="00EB4C4E"/>
    <w:rsid w:val="00EB4E7E"/>
    <w:rsid w:val="00EB5041"/>
    <w:rsid w:val="00EB5098"/>
    <w:rsid w:val="00EB5947"/>
    <w:rsid w:val="00EB5B46"/>
    <w:rsid w:val="00EB5D75"/>
    <w:rsid w:val="00EB6292"/>
    <w:rsid w:val="00EB63C7"/>
    <w:rsid w:val="00EB655C"/>
    <w:rsid w:val="00EB65CD"/>
    <w:rsid w:val="00EB67E7"/>
    <w:rsid w:val="00EB699D"/>
    <w:rsid w:val="00EB6C2F"/>
    <w:rsid w:val="00EB6CA0"/>
    <w:rsid w:val="00EB6F34"/>
    <w:rsid w:val="00EB6FEE"/>
    <w:rsid w:val="00EB705F"/>
    <w:rsid w:val="00EB7347"/>
    <w:rsid w:val="00EB737A"/>
    <w:rsid w:val="00EB7491"/>
    <w:rsid w:val="00EB75D7"/>
    <w:rsid w:val="00EB7856"/>
    <w:rsid w:val="00EB78C1"/>
    <w:rsid w:val="00EB7AAC"/>
    <w:rsid w:val="00EB7D7C"/>
    <w:rsid w:val="00EB7FD3"/>
    <w:rsid w:val="00EC01CF"/>
    <w:rsid w:val="00EC038E"/>
    <w:rsid w:val="00EC0429"/>
    <w:rsid w:val="00EC0558"/>
    <w:rsid w:val="00EC076A"/>
    <w:rsid w:val="00EC0BA2"/>
    <w:rsid w:val="00EC0D05"/>
    <w:rsid w:val="00EC0F6E"/>
    <w:rsid w:val="00EC10CF"/>
    <w:rsid w:val="00EC1183"/>
    <w:rsid w:val="00EC124A"/>
    <w:rsid w:val="00EC12F2"/>
    <w:rsid w:val="00EC139A"/>
    <w:rsid w:val="00EC142A"/>
    <w:rsid w:val="00EC1563"/>
    <w:rsid w:val="00EC158F"/>
    <w:rsid w:val="00EC16BA"/>
    <w:rsid w:val="00EC1702"/>
    <w:rsid w:val="00EC171C"/>
    <w:rsid w:val="00EC1ABD"/>
    <w:rsid w:val="00EC1BAA"/>
    <w:rsid w:val="00EC1E97"/>
    <w:rsid w:val="00EC20EA"/>
    <w:rsid w:val="00EC20EE"/>
    <w:rsid w:val="00EC248A"/>
    <w:rsid w:val="00EC27CF"/>
    <w:rsid w:val="00EC2B34"/>
    <w:rsid w:val="00EC2DE3"/>
    <w:rsid w:val="00EC2FE5"/>
    <w:rsid w:val="00EC3495"/>
    <w:rsid w:val="00EC39FF"/>
    <w:rsid w:val="00EC3E63"/>
    <w:rsid w:val="00EC3EFC"/>
    <w:rsid w:val="00EC4004"/>
    <w:rsid w:val="00EC4526"/>
    <w:rsid w:val="00EC45B5"/>
    <w:rsid w:val="00EC49A7"/>
    <w:rsid w:val="00EC4A73"/>
    <w:rsid w:val="00EC4AF5"/>
    <w:rsid w:val="00EC510D"/>
    <w:rsid w:val="00EC55CE"/>
    <w:rsid w:val="00EC5729"/>
    <w:rsid w:val="00EC577D"/>
    <w:rsid w:val="00EC596A"/>
    <w:rsid w:val="00EC6091"/>
    <w:rsid w:val="00EC62A2"/>
    <w:rsid w:val="00EC62C9"/>
    <w:rsid w:val="00EC6624"/>
    <w:rsid w:val="00EC67CB"/>
    <w:rsid w:val="00EC6813"/>
    <w:rsid w:val="00EC6898"/>
    <w:rsid w:val="00EC6C73"/>
    <w:rsid w:val="00EC6D85"/>
    <w:rsid w:val="00EC6DBC"/>
    <w:rsid w:val="00EC6E91"/>
    <w:rsid w:val="00EC6FA4"/>
    <w:rsid w:val="00EC7026"/>
    <w:rsid w:val="00EC7095"/>
    <w:rsid w:val="00EC70B3"/>
    <w:rsid w:val="00EC72B1"/>
    <w:rsid w:val="00EC73D5"/>
    <w:rsid w:val="00EC7457"/>
    <w:rsid w:val="00EC765B"/>
    <w:rsid w:val="00EC7A79"/>
    <w:rsid w:val="00EC7B45"/>
    <w:rsid w:val="00EC7B92"/>
    <w:rsid w:val="00EC7BDA"/>
    <w:rsid w:val="00EC7BDD"/>
    <w:rsid w:val="00EC7C4D"/>
    <w:rsid w:val="00EC7C62"/>
    <w:rsid w:val="00EC7D48"/>
    <w:rsid w:val="00EC7E34"/>
    <w:rsid w:val="00ED00A8"/>
    <w:rsid w:val="00ED0123"/>
    <w:rsid w:val="00ED026D"/>
    <w:rsid w:val="00ED064A"/>
    <w:rsid w:val="00ED07B9"/>
    <w:rsid w:val="00ED07F3"/>
    <w:rsid w:val="00ED0851"/>
    <w:rsid w:val="00ED0BA4"/>
    <w:rsid w:val="00ED0DED"/>
    <w:rsid w:val="00ED0EC5"/>
    <w:rsid w:val="00ED0F7D"/>
    <w:rsid w:val="00ED1066"/>
    <w:rsid w:val="00ED1295"/>
    <w:rsid w:val="00ED13EF"/>
    <w:rsid w:val="00ED14F0"/>
    <w:rsid w:val="00ED1712"/>
    <w:rsid w:val="00ED1F60"/>
    <w:rsid w:val="00ED21F3"/>
    <w:rsid w:val="00ED221B"/>
    <w:rsid w:val="00ED24C9"/>
    <w:rsid w:val="00ED260B"/>
    <w:rsid w:val="00ED266D"/>
    <w:rsid w:val="00ED2AEA"/>
    <w:rsid w:val="00ED2BE8"/>
    <w:rsid w:val="00ED3080"/>
    <w:rsid w:val="00ED358D"/>
    <w:rsid w:val="00ED3898"/>
    <w:rsid w:val="00ED3A80"/>
    <w:rsid w:val="00ED3ADA"/>
    <w:rsid w:val="00ED3BC6"/>
    <w:rsid w:val="00ED3BDE"/>
    <w:rsid w:val="00ED3E45"/>
    <w:rsid w:val="00ED3EAB"/>
    <w:rsid w:val="00ED40D0"/>
    <w:rsid w:val="00ED42C1"/>
    <w:rsid w:val="00ED4637"/>
    <w:rsid w:val="00ED4661"/>
    <w:rsid w:val="00ED4F21"/>
    <w:rsid w:val="00ED4F33"/>
    <w:rsid w:val="00ED4F8C"/>
    <w:rsid w:val="00ED51B9"/>
    <w:rsid w:val="00ED51CD"/>
    <w:rsid w:val="00ED52F0"/>
    <w:rsid w:val="00ED5661"/>
    <w:rsid w:val="00ED5796"/>
    <w:rsid w:val="00ED5825"/>
    <w:rsid w:val="00ED5B00"/>
    <w:rsid w:val="00ED5C62"/>
    <w:rsid w:val="00ED5CB1"/>
    <w:rsid w:val="00ED5D66"/>
    <w:rsid w:val="00ED5E42"/>
    <w:rsid w:val="00ED5FD0"/>
    <w:rsid w:val="00ED62AF"/>
    <w:rsid w:val="00ED6400"/>
    <w:rsid w:val="00ED69C3"/>
    <w:rsid w:val="00ED6BA3"/>
    <w:rsid w:val="00ED6CE5"/>
    <w:rsid w:val="00ED716C"/>
    <w:rsid w:val="00ED71EF"/>
    <w:rsid w:val="00ED7354"/>
    <w:rsid w:val="00ED73CD"/>
    <w:rsid w:val="00ED75CE"/>
    <w:rsid w:val="00ED75DB"/>
    <w:rsid w:val="00ED7652"/>
    <w:rsid w:val="00ED76B5"/>
    <w:rsid w:val="00ED77C2"/>
    <w:rsid w:val="00ED7FAB"/>
    <w:rsid w:val="00EE039C"/>
    <w:rsid w:val="00EE0967"/>
    <w:rsid w:val="00EE09CF"/>
    <w:rsid w:val="00EE0B77"/>
    <w:rsid w:val="00EE0DAF"/>
    <w:rsid w:val="00EE0E46"/>
    <w:rsid w:val="00EE0FE9"/>
    <w:rsid w:val="00EE170E"/>
    <w:rsid w:val="00EE174A"/>
    <w:rsid w:val="00EE1A20"/>
    <w:rsid w:val="00EE1DD6"/>
    <w:rsid w:val="00EE1E9E"/>
    <w:rsid w:val="00EE1EB5"/>
    <w:rsid w:val="00EE2187"/>
    <w:rsid w:val="00EE2191"/>
    <w:rsid w:val="00EE22D1"/>
    <w:rsid w:val="00EE23B8"/>
    <w:rsid w:val="00EE247F"/>
    <w:rsid w:val="00EE25AB"/>
    <w:rsid w:val="00EE2633"/>
    <w:rsid w:val="00EE2698"/>
    <w:rsid w:val="00EE277F"/>
    <w:rsid w:val="00EE2AB7"/>
    <w:rsid w:val="00EE2BCC"/>
    <w:rsid w:val="00EE2BF1"/>
    <w:rsid w:val="00EE2E1F"/>
    <w:rsid w:val="00EE2F18"/>
    <w:rsid w:val="00EE2F56"/>
    <w:rsid w:val="00EE3034"/>
    <w:rsid w:val="00EE31D3"/>
    <w:rsid w:val="00EE348E"/>
    <w:rsid w:val="00EE34E7"/>
    <w:rsid w:val="00EE3551"/>
    <w:rsid w:val="00EE3820"/>
    <w:rsid w:val="00EE39C9"/>
    <w:rsid w:val="00EE3BD8"/>
    <w:rsid w:val="00EE3C65"/>
    <w:rsid w:val="00EE3DA9"/>
    <w:rsid w:val="00EE3E5D"/>
    <w:rsid w:val="00EE41A7"/>
    <w:rsid w:val="00EE42BB"/>
    <w:rsid w:val="00EE453E"/>
    <w:rsid w:val="00EE457A"/>
    <w:rsid w:val="00EE458A"/>
    <w:rsid w:val="00EE46C8"/>
    <w:rsid w:val="00EE47D0"/>
    <w:rsid w:val="00EE4BDF"/>
    <w:rsid w:val="00EE4DFF"/>
    <w:rsid w:val="00EE51BB"/>
    <w:rsid w:val="00EE562D"/>
    <w:rsid w:val="00EE5A20"/>
    <w:rsid w:val="00EE5A33"/>
    <w:rsid w:val="00EE5A83"/>
    <w:rsid w:val="00EE5ECE"/>
    <w:rsid w:val="00EE5F33"/>
    <w:rsid w:val="00EE60F1"/>
    <w:rsid w:val="00EE627B"/>
    <w:rsid w:val="00EE62AF"/>
    <w:rsid w:val="00EE64E4"/>
    <w:rsid w:val="00EE65CF"/>
    <w:rsid w:val="00EE69A2"/>
    <w:rsid w:val="00EE6B91"/>
    <w:rsid w:val="00EE6CE9"/>
    <w:rsid w:val="00EE6DB4"/>
    <w:rsid w:val="00EE6DD0"/>
    <w:rsid w:val="00EE6E62"/>
    <w:rsid w:val="00EE6E79"/>
    <w:rsid w:val="00EE7A49"/>
    <w:rsid w:val="00EE7A4E"/>
    <w:rsid w:val="00EE7A67"/>
    <w:rsid w:val="00EE7C1F"/>
    <w:rsid w:val="00EE7F28"/>
    <w:rsid w:val="00EE7F6B"/>
    <w:rsid w:val="00EF02E4"/>
    <w:rsid w:val="00EF0E04"/>
    <w:rsid w:val="00EF0E5A"/>
    <w:rsid w:val="00EF102F"/>
    <w:rsid w:val="00EF1037"/>
    <w:rsid w:val="00EF10EE"/>
    <w:rsid w:val="00EF13F8"/>
    <w:rsid w:val="00EF1634"/>
    <w:rsid w:val="00EF164B"/>
    <w:rsid w:val="00EF1681"/>
    <w:rsid w:val="00EF1694"/>
    <w:rsid w:val="00EF1908"/>
    <w:rsid w:val="00EF1AF8"/>
    <w:rsid w:val="00EF1B23"/>
    <w:rsid w:val="00EF1C25"/>
    <w:rsid w:val="00EF2187"/>
    <w:rsid w:val="00EF24E6"/>
    <w:rsid w:val="00EF25D0"/>
    <w:rsid w:val="00EF26F2"/>
    <w:rsid w:val="00EF2791"/>
    <w:rsid w:val="00EF28B8"/>
    <w:rsid w:val="00EF29D3"/>
    <w:rsid w:val="00EF2C20"/>
    <w:rsid w:val="00EF2C93"/>
    <w:rsid w:val="00EF3027"/>
    <w:rsid w:val="00EF331A"/>
    <w:rsid w:val="00EF36DF"/>
    <w:rsid w:val="00EF36EC"/>
    <w:rsid w:val="00EF36FA"/>
    <w:rsid w:val="00EF3779"/>
    <w:rsid w:val="00EF37CD"/>
    <w:rsid w:val="00EF3881"/>
    <w:rsid w:val="00EF3A7E"/>
    <w:rsid w:val="00EF3B18"/>
    <w:rsid w:val="00EF404C"/>
    <w:rsid w:val="00EF42E7"/>
    <w:rsid w:val="00EF43C1"/>
    <w:rsid w:val="00EF45FE"/>
    <w:rsid w:val="00EF48FC"/>
    <w:rsid w:val="00EF49C5"/>
    <w:rsid w:val="00EF4A24"/>
    <w:rsid w:val="00EF4B46"/>
    <w:rsid w:val="00EF4BDE"/>
    <w:rsid w:val="00EF4C21"/>
    <w:rsid w:val="00EF4D12"/>
    <w:rsid w:val="00EF4E0D"/>
    <w:rsid w:val="00EF4E60"/>
    <w:rsid w:val="00EF5269"/>
    <w:rsid w:val="00EF57A0"/>
    <w:rsid w:val="00EF5916"/>
    <w:rsid w:val="00EF59AF"/>
    <w:rsid w:val="00EF5CB2"/>
    <w:rsid w:val="00EF5CD1"/>
    <w:rsid w:val="00EF5CE5"/>
    <w:rsid w:val="00EF5F98"/>
    <w:rsid w:val="00EF604E"/>
    <w:rsid w:val="00EF6320"/>
    <w:rsid w:val="00EF64CC"/>
    <w:rsid w:val="00EF64F6"/>
    <w:rsid w:val="00EF64FF"/>
    <w:rsid w:val="00EF681D"/>
    <w:rsid w:val="00EF6A55"/>
    <w:rsid w:val="00EF6B86"/>
    <w:rsid w:val="00EF6E91"/>
    <w:rsid w:val="00EF6ECB"/>
    <w:rsid w:val="00EF6F77"/>
    <w:rsid w:val="00EF7009"/>
    <w:rsid w:val="00EF7090"/>
    <w:rsid w:val="00EF7100"/>
    <w:rsid w:val="00EF777C"/>
    <w:rsid w:val="00EF7818"/>
    <w:rsid w:val="00EF78FA"/>
    <w:rsid w:val="00EF7B67"/>
    <w:rsid w:val="00EF7D8B"/>
    <w:rsid w:val="00EF7E76"/>
    <w:rsid w:val="00EF7E91"/>
    <w:rsid w:val="00F000EC"/>
    <w:rsid w:val="00F00237"/>
    <w:rsid w:val="00F00505"/>
    <w:rsid w:val="00F005D0"/>
    <w:rsid w:val="00F009F6"/>
    <w:rsid w:val="00F00BFB"/>
    <w:rsid w:val="00F00DEE"/>
    <w:rsid w:val="00F00E25"/>
    <w:rsid w:val="00F00E2A"/>
    <w:rsid w:val="00F00FB4"/>
    <w:rsid w:val="00F0173B"/>
    <w:rsid w:val="00F017BA"/>
    <w:rsid w:val="00F0181A"/>
    <w:rsid w:val="00F01912"/>
    <w:rsid w:val="00F01DFE"/>
    <w:rsid w:val="00F0289D"/>
    <w:rsid w:val="00F02969"/>
    <w:rsid w:val="00F029E5"/>
    <w:rsid w:val="00F02A32"/>
    <w:rsid w:val="00F02A81"/>
    <w:rsid w:val="00F0303A"/>
    <w:rsid w:val="00F03266"/>
    <w:rsid w:val="00F03366"/>
    <w:rsid w:val="00F03447"/>
    <w:rsid w:val="00F034FF"/>
    <w:rsid w:val="00F03631"/>
    <w:rsid w:val="00F03877"/>
    <w:rsid w:val="00F03C1C"/>
    <w:rsid w:val="00F03D3A"/>
    <w:rsid w:val="00F042B2"/>
    <w:rsid w:val="00F042D7"/>
    <w:rsid w:val="00F044C6"/>
    <w:rsid w:val="00F04687"/>
    <w:rsid w:val="00F048DE"/>
    <w:rsid w:val="00F04904"/>
    <w:rsid w:val="00F049C0"/>
    <w:rsid w:val="00F04D0C"/>
    <w:rsid w:val="00F04DA7"/>
    <w:rsid w:val="00F04F5F"/>
    <w:rsid w:val="00F050C0"/>
    <w:rsid w:val="00F052AD"/>
    <w:rsid w:val="00F053A3"/>
    <w:rsid w:val="00F05516"/>
    <w:rsid w:val="00F05630"/>
    <w:rsid w:val="00F05AB6"/>
    <w:rsid w:val="00F05B01"/>
    <w:rsid w:val="00F05CB9"/>
    <w:rsid w:val="00F05D89"/>
    <w:rsid w:val="00F05E05"/>
    <w:rsid w:val="00F05ED3"/>
    <w:rsid w:val="00F061A4"/>
    <w:rsid w:val="00F061C0"/>
    <w:rsid w:val="00F0647E"/>
    <w:rsid w:val="00F06686"/>
    <w:rsid w:val="00F06942"/>
    <w:rsid w:val="00F06B45"/>
    <w:rsid w:val="00F06B77"/>
    <w:rsid w:val="00F07107"/>
    <w:rsid w:val="00F07366"/>
    <w:rsid w:val="00F07420"/>
    <w:rsid w:val="00F07791"/>
    <w:rsid w:val="00F079E7"/>
    <w:rsid w:val="00F079E9"/>
    <w:rsid w:val="00F07DD8"/>
    <w:rsid w:val="00F07E7E"/>
    <w:rsid w:val="00F10089"/>
    <w:rsid w:val="00F101BC"/>
    <w:rsid w:val="00F10386"/>
    <w:rsid w:val="00F104E7"/>
    <w:rsid w:val="00F10699"/>
    <w:rsid w:val="00F108D5"/>
    <w:rsid w:val="00F109ED"/>
    <w:rsid w:val="00F10A4C"/>
    <w:rsid w:val="00F10BAA"/>
    <w:rsid w:val="00F10C62"/>
    <w:rsid w:val="00F10D13"/>
    <w:rsid w:val="00F10EF8"/>
    <w:rsid w:val="00F1138A"/>
    <w:rsid w:val="00F11A67"/>
    <w:rsid w:val="00F11E73"/>
    <w:rsid w:val="00F11F0C"/>
    <w:rsid w:val="00F11F68"/>
    <w:rsid w:val="00F12033"/>
    <w:rsid w:val="00F121AE"/>
    <w:rsid w:val="00F12618"/>
    <w:rsid w:val="00F126C5"/>
    <w:rsid w:val="00F12A2C"/>
    <w:rsid w:val="00F12D89"/>
    <w:rsid w:val="00F12EAA"/>
    <w:rsid w:val="00F12EF3"/>
    <w:rsid w:val="00F12F7D"/>
    <w:rsid w:val="00F1307A"/>
    <w:rsid w:val="00F13108"/>
    <w:rsid w:val="00F13136"/>
    <w:rsid w:val="00F134CE"/>
    <w:rsid w:val="00F13504"/>
    <w:rsid w:val="00F13749"/>
    <w:rsid w:val="00F137DD"/>
    <w:rsid w:val="00F13C0C"/>
    <w:rsid w:val="00F13F2D"/>
    <w:rsid w:val="00F13F65"/>
    <w:rsid w:val="00F141CE"/>
    <w:rsid w:val="00F143E0"/>
    <w:rsid w:val="00F146C7"/>
    <w:rsid w:val="00F146F0"/>
    <w:rsid w:val="00F14873"/>
    <w:rsid w:val="00F1494D"/>
    <w:rsid w:val="00F1497F"/>
    <w:rsid w:val="00F14989"/>
    <w:rsid w:val="00F14A6A"/>
    <w:rsid w:val="00F14BE7"/>
    <w:rsid w:val="00F14E32"/>
    <w:rsid w:val="00F14FCF"/>
    <w:rsid w:val="00F14FFD"/>
    <w:rsid w:val="00F15279"/>
    <w:rsid w:val="00F15326"/>
    <w:rsid w:val="00F1553E"/>
    <w:rsid w:val="00F15673"/>
    <w:rsid w:val="00F156B9"/>
    <w:rsid w:val="00F1590E"/>
    <w:rsid w:val="00F15A74"/>
    <w:rsid w:val="00F15CBF"/>
    <w:rsid w:val="00F160F9"/>
    <w:rsid w:val="00F1610D"/>
    <w:rsid w:val="00F16136"/>
    <w:rsid w:val="00F1669B"/>
    <w:rsid w:val="00F16932"/>
    <w:rsid w:val="00F16A97"/>
    <w:rsid w:val="00F16CC7"/>
    <w:rsid w:val="00F16CEA"/>
    <w:rsid w:val="00F16DA9"/>
    <w:rsid w:val="00F16EBA"/>
    <w:rsid w:val="00F173CB"/>
    <w:rsid w:val="00F1754F"/>
    <w:rsid w:val="00F17730"/>
    <w:rsid w:val="00F17795"/>
    <w:rsid w:val="00F179D0"/>
    <w:rsid w:val="00F17A35"/>
    <w:rsid w:val="00F17BAE"/>
    <w:rsid w:val="00F17BEE"/>
    <w:rsid w:val="00F17C0B"/>
    <w:rsid w:val="00F17C94"/>
    <w:rsid w:val="00F17CBE"/>
    <w:rsid w:val="00F201F7"/>
    <w:rsid w:val="00F2024A"/>
    <w:rsid w:val="00F20330"/>
    <w:rsid w:val="00F203F9"/>
    <w:rsid w:val="00F20C61"/>
    <w:rsid w:val="00F20D48"/>
    <w:rsid w:val="00F20F4C"/>
    <w:rsid w:val="00F2107A"/>
    <w:rsid w:val="00F21156"/>
    <w:rsid w:val="00F21171"/>
    <w:rsid w:val="00F212CE"/>
    <w:rsid w:val="00F21537"/>
    <w:rsid w:val="00F21753"/>
    <w:rsid w:val="00F21990"/>
    <w:rsid w:val="00F219C3"/>
    <w:rsid w:val="00F21B55"/>
    <w:rsid w:val="00F21D70"/>
    <w:rsid w:val="00F21E9F"/>
    <w:rsid w:val="00F2262E"/>
    <w:rsid w:val="00F2279A"/>
    <w:rsid w:val="00F227C8"/>
    <w:rsid w:val="00F2287C"/>
    <w:rsid w:val="00F228B5"/>
    <w:rsid w:val="00F22A5D"/>
    <w:rsid w:val="00F22A76"/>
    <w:rsid w:val="00F22D63"/>
    <w:rsid w:val="00F22D90"/>
    <w:rsid w:val="00F22F6D"/>
    <w:rsid w:val="00F230B8"/>
    <w:rsid w:val="00F233F6"/>
    <w:rsid w:val="00F23501"/>
    <w:rsid w:val="00F2363E"/>
    <w:rsid w:val="00F23864"/>
    <w:rsid w:val="00F238AC"/>
    <w:rsid w:val="00F23BE4"/>
    <w:rsid w:val="00F242CE"/>
    <w:rsid w:val="00F24358"/>
    <w:rsid w:val="00F24584"/>
    <w:rsid w:val="00F2465F"/>
    <w:rsid w:val="00F2493C"/>
    <w:rsid w:val="00F24AB8"/>
    <w:rsid w:val="00F24EC1"/>
    <w:rsid w:val="00F24F19"/>
    <w:rsid w:val="00F24FD8"/>
    <w:rsid w:val="00F251C9"/>
    <w:rsid w:val="00F25362"/>
    <w:rsid w:val="00F25417"/>
    <w:rsid w:val="00F25ABF"/>
    <w:rsid w:val="00F25AF9"/>
    <w:rsid w:val="00F25C91"/>
    <w:rsid w:val="00F26109"/>
    <w:rsid w:val="00F26121"/>
    <w:rsid w:val="00F265EA"/>
    <w:rsid w:val="00F269C0"/>
    <w:rsid w:val="00F27122"/>
    <w:rsid w:val="00F2758B"/>
    <w:rsid w:val="00F275F6"/>
    <w:rsid w:val="00F2772A"/>
    <w:rsid w:val="00F27884"/>
    <w:rsid w:val="00F278C1"/>
    <w:rsid w:val="00F2795C"/>
    <w:rsid w:val="00F27AD3"/>
    <w:rsid w:val="00F27B67"/>
    <w:rsid w:val="00F27BF2"/>
    <w:rsid w:val="00F27C2E"/>
    <w:rsid w:val="00F27CFB"/>
    <w:rsid w:val="00F301AC"/>
    <w:rsid w:val="00F3032C"/>
    <w:rsid w:val="00F30495"/>
    <w:rsid w:val="00F304ED"/>
    <w:rsid w:val="00F30583"/>
    <w:rsid w:val="00F305DB"/>
    <w:rsid w:val="00F306EA"/>
    <w:rsid w:val="00F307D0"/>
    <w:rsid w:val="00F30832"/>
    <w:rsid w:val="00F30B20"/>
    <w:rsid w:val="00F30C76"/>
    <w:rsid w:val="00F30CE0"/>
    <w:rsid w:val="00F30D9C"/>
    <w:rsid w:val="00F30E34"/>
    <w:rsid w:val="00F30EE8"/>
    <w:rsid w:val="00F30EEA"/>
    <w:rsid w:val="00F30F0A"/>
    <w:rsid w:val="00F310E0"/>
    <w:rsid w:val="00F3135E"/>
    <w:rsid w:val="00F31C96"/>
    <w:rsid w:val="00F32094"/>
    <w:rsid w:val="00F3221A"/>
    <w:rsid w:val="00F32342"/>
    <w:rsid w:val="00F32412"/>
    <w:rsid w:val="00F32609"/>
    <w:rsid w:val="00F3276B"/>
    <w:rsid w:val="00F3279A"/>
    <w:rsid w:val="00F3299D"/>
    <w:rsid w:val="00F32A89"/>
    <w:rsid w:val="00F32FA2"/>
    <w:rsid w:val="00F33085"/>
    <w:rsid w:val="00F3309B"/>
    <w:rsid w:val="00F330AA"/>
    <w:rsid w:val="00F333D8"/>
    <w:rsid w:val="00F33416"/>
    <w:rsid w:val="00F336ED"/>
    <w:rsid w:val="00F3373B"/>
    <w:rsid w:val="00F338B4"/>
    <w:rsid w:val="00F339EF"/>
    <w:rsid w:val="00F33AD2"/>
    <w:rsid w:val="00F33DC2"/>
    <w:rsid w:val="00F33E8C"/>
    <w:rsid w:val="00F33F41"/>
    <w:rsid w:val="00F3403E"/>
    <w:rsid w:val="00F34211"/>
    <w:rsid w:val="00F34225"/>
    <w:rsid w:val="00F345DA"/>
    <w:rsid w:val="00F34853"/>
    <w:rsid w:val="00F34B35"/>
    <w:rsid w:val="00F34BCA"/>
    <w:rsid w:val="00F35064"/>
    <w:rsid w:val="00F350B6"/>
    <w:rsid w:val="00F351EB"/>
    <w:rsid w:val="00F3535B"/>
    <w:rsid w:val="00F355F0"/>
    <w:rsid w:val="00F355FE"/>
    <w:rsid w:val="00F3565E"/>
    <w:rsid w:val="00F356F4"/>
    <w:rsid w:val="00F357A6"/>
    <w:rsid w:val="00F358A9"/>
    <w:rsid w:val="00F35A82"/>
    <w:rsid w:val="00F35C7D"/>
    <w:rsid w:val="00F35CA6"/>
    <w:rsid w:val="00F35CFD"/>
    <w:rsid w:val="00F35E14"/>
    <w:rsid w:val="00F361BA"/>
    <w:rsid w:val="00F3635B"/>
    <w:rsid w:val="00F36378"/>
    <w:rsid w:val="00F363EE"/>
    <w:rsid w:val="00F36456"/>
    <w:rsid w:val="00F364C5"/>
    <w:rsid w:val="00F37046"/>
    <w:rsid w:val="00F370B8"/>
    <w:rsid w:val="00F375FB"/>
    <w:rsid w:val="00F3769D"/>
    <w:rsid w:val="00F37765"/>
    <w:rsid w:val="00F377AA"/>
    <w:rsid w:val="00F379F0"/>
    <w:rsid w:val="00F37F96"/>
    <w:rsid w:val="00F40099"/>
    <w:rsid w:val="00F400A9"/>
    <w:rsid w:val="00F40214"/>
    <w:rsid w:val="00F40548"/>
    <w:rsid w:val="00F40561"/>
    <w:rsid w:val="00F4076B"/>
    <w:rsid w:val="00F407E9"/>
    <w:rsid w:val="00F40925"/>
    <w:rsid w:val="00F4098A"/>
    <w:rsid w:val="00F40F09"/>
    <w:rsid w:val="00F40F31"/>
    <w:rsid w:val="00F41094"/>
    <w:rsid w:val="00F41262"/>
    <w:rsid w:val="00F41617"/>
    <w:rsid w:val="00F416EA"/>
    <w:rsid w:val="00F417EE"/>
    <w:rsid w:val="00F4193B"/>
    <w:rsid w:val="00F41C11"/>
    <w:rsid w:val="00F41CF9"/>
    <w:rsid w:val="00F41D41"/>
    <w:rsid w:val="00F4201A"/>
    <w:rsid w:val="00F42197"/>
    <w:rsid w:val="00F421AB"/>
    <w:rsid w:val="00F42374"/>
    <w:rsid w:val="00F42581"/>
    <w:rsid w:val="00F428FA"/>
    <w:rsid w:val="00F429F8"/>
    <w:rsid w:val="00F42BA6"/>
    <w:rsid w:val="00F42C76"/>
    <w:rsid w:val="00F42DDC"/>
    <w:rsid w:val="00F42F44"/>
    <w:rsid w:val="00F42FFF"/>
    <w:rsid w:val="00F430B7"/>
    <w:rsid w:val="00F430B8"/>
    <w:rsid w:val="00F43550"/>
    <w:rsid w:val="00F43563"/>
    <w:rsid w:val="00F43570"/>
    <w:rsid w:val="00F43AB0"/>
    <w:rsid w:val="00F43D0F"/>
    <w:rsid w:val="00F43E62"/>
    <w:rsid w:val="00F43FC5"/>
    <w:rsid w:val="00F440D3"/>
    <w:rsid w:val="00F442F3"/>
    <w:rsid w:val="00F4442A"/>
    <w:rsid w:val="00F445E9"/>
    <w:rsid w:val="00F449D0"/>
    <w:rsid w:val="00F44AA8"/>
    <w:rsid w:val="00F44AB2"/>
    <w:rsid w:val="00F44AC0"/>
    <w:rsid w:val="00F44B42"/>
    <w:rsid w:val="00F44D75"/>
    <w:rsid w:val="00F44D8B"/>
    <w:rsid w:val="00F44E39"/>
    <w:rsid w:val="00F44E67"/>
    <w:rsid w:val="00F44F21"/>
    <w:rsid w:val="00F45259"/>
    <w:rsid w:val="00F45267"/>
    <w:rsid w:val="00F457AB"/>
    <w:rsid w:val="00F458F8"/>
    <w:rsid w:val="00F4591E"/>
    <w:rsid w:val="00F45A6D"/>
    <w:rsid w:val="00F45BFE"/>
    <w:rsid w:val="00F45F64"/>
    <w:rsid w:val="00F464C6"/>
    <w:rsid w:val="00F4683B"/>
    <w:rsid w:val="00F468FF"/>
    <w:rsid w:val="00F46AA6"/>
    <w:rsid w:val="00F46B7F"/>
    <w:rsid w:val="00F46DE2"/>
    <w:rsid w:val="00F46EC1"/>
    <w:rsid w:val="00F470F1"/>
    <w:rsid w:val="00F47154"/>
    <w:rsid w:val="00F471A7"/>
    <w:rsid w:val="00F472E2"/>
    <w:rsid w:val="00F472F0"/>
    <w:rsid w:val="00F47391"/>
    <w:rsid w:val="00F473F3"/>
    <w:rsid w:val="00F4750A"/>
    <w:rsid w:val="00F477DB"/>
    <w:rsid w:val="00F477FB"/>
    <w:rsid w:val="00F47804"/>
    <w:rsid w:val="00F50111"/>
    <w:rsid w:val="00F501C6"/>
    <w:rsid w:val="00F50553"/>
    <w:rsid w:val="00F50669"/>
    <w:rsid w:val="00F5068A"/>
    <w:rsid w:val="00F50900"/>
    <w:rsid w:val="00F50D87"/>
    <w:rsid w:val="00F50F60"/>
    <w:rsid w:val="00F50FA5"/>
    <w:rsid w:val="00F5133E"/>
    <w:rsid w:val="00F51351"/>
    <w:rsid w:val="00F51408"/>
    <w:rsid w:val="00F51619"/>
    <w:rsid w:val="00F5198B"/>
    <w:rsid w:val="00F51A01"/>
    <w:rsid w:val="00F51A6E"/>
    <w:rsid w:val="00F520A1"/>
    <w:rsid w:val="00F5226A"/>
    <w:rsid w:val="00F52488"/>
    <w:rsid w:val="00F5297A"/>
    <w:rsid w:val="00F52A0B"/>
    <w:rsid w:val="00F52B96"/>
    <w:rsid w:val="00F52C84"/>
    <w:rsid w:val="00F52C8E"/>
    <w:rsid w:val="00F52CD1"/>
    <w:rsid w:val="00F52D41"/>
    <w:rsid w:val="00F52EB9"/>
    <w:rsid w:val="00F52F51"/>
    <w:rsid w:val="00F52FA8"/>
    <w:rsid w:val="00F530F3"/>
    <w:rsid w:val="00F53118"/>
    <w:rsid w:val="00F5319E"/>
    <w:rsid w:val="00F531D9"/>
    <w:rsid w:val="00F53538"/>
    <w:rsid w:val="00F53559"/>
    <w:rsid w:val="00F535F5"/>
    <w:rsid w:val="00F536E8"/>
    <w:rsid w:val="00F537BF"/>
    <w:rsid w:val="00F53BD4"/>
    <w:rsid w:val="00F53FFE"/>
    <w:rsid w:val="00F540CC"/>
    <w:rsid w:val="00F5468D"/>
    <w:rsid w:val="00F547A1"/>
    <w:rsid w:val="00F548AA"/>
    <w:rsid w:val="00F54A60"/>
    <w:rsid w:val="00F54A76"/>
    <w:rsid w:val="00F54D06"/>
    <w:rsid w:val="00F54D5A"/>
    <w:rsid w:val="00F54F18"/>
    <w:rsid w:val="00F55302"/>
    <w:rsid w:val="00F556CB"/>
    <w:rsid w:val="00F55854"/>
    <w:rsid w:val="00F558B6"/>
    <w:rsid w:val="00F559FE"/>
    <w:rsid w:val="00F55B74"/>
    <w:rsid w:val="00F55C70"/>
    <w:rsid w:val="00F55C85"/>
    <w:rsid w:val="00F55CEB"/>
    <w:rsid w:val="00F55D46"/>
    <w:rsid w:val="00F561EE"/>
    <w:rsid w:val="00F5648E"/>
    <w:rsid w:val="00F56690"/>
    <w:rsid w:val="00F56865"/>
    <w:rsid w:val="00F56881"/>
    <w:rsid w:val="00F569D7"/>
    <w:rsid w:val="00F56C03"/>
    <w:rsid w:val="00F56D7F"/>
    <w:rsid w:val="00F56DEB"/>
    <w:rsid w:val="00F5720E"/>
    <w:rsid w:val="00F572DD"/>
    <w:rsid w:val="00F573E2"/>
    <w:rsid w:val="00F574C1"/>
    <w:rsid w:val="00F57785"/>
    <w:rsid w:val="00F57AAD"/>
    <w:rsid w:val="00F57BCE"/>
    <w:rsid w:val="00F60058"/>
    <w:rsid w:val="00F60104"/>
    <w:rsid w:val="00F60178"/>
    <w:rsid w:val="00F60373"/>
    <w:rsid w:val="00F603C2"/>
    <w:rsid w:val="00F6049A"/>
    <w:rsid w:val="00F604EE"/>
    <w:rsid w:val="00F60764"/>
    <w:rsid w:val="00F60786"/>
    <w:rsid w:val="00F6096A"/>
    <w:rsid w:val="00F609A5"/>
    <w:rsid w:val="00F60BCE"/>
    <w:rsid w:val="00F6105D"/>
    <w:rsid w:val="00F6127F"/>
    <w:rsid w:val="00F61593"/>
    <w:rsid w:val="00F616EE"/>
    <w:rsid w:val="00F61887"/>
    <w:rsid w:val="00F61992"/>
    <w:rsid w:val="00F621D3"/>
    <w:rsid w:val="00F62251"/>
    <w:rsid w:val="00F62301"/>
    <w:rsid w:val="00F6239C"/>
    <w:rsid w:val="00F6255C"/>
    <w:rsid w:val="00F62608"/>
    <w:rsid w:val="00F62651"/>
    <w:rsid w:val="00F62B66"/>
    <w:rsid w:val="00F62D2C"/>
    <w:rsid w:val="00F62D2D"/>
    <w:rsid w:val="00F62F00"/>
    <w:rsid w:val="00F62F5B"/>
    <w:rsid w:val="00F63049"/>
    <w:rsid w:val="00F63191"/>
    <w:rsid w:val="00F631DF"/>
    <w:rsid w:val="00F63379"/>
    <w:rsid w:val="00F6344A"/>
    <w:rsid w:val="00F637B1"/>
    <w:rsid w:val="00F63A9D"/>
    <w:rsid w:val="00F64487"/>
    <w:rsid w:val="00F645B5"/>
    <w:rsid w:val="00F6476C"/>
    <w:rsid w:val="00F647F1"/>
    <w:rsid w:val="00F648B8"/>
    <w:rsid w:val="00F64AE9"/>
    <w:rsid w:val="00F64B0C"/>
    <w:rsid w:val="00F64EF6"/>
    <w:rsid w:val="00F64FC6"/>
    <w:rsid w:val="00F65036"/>
    <w:rsid w:val="00F650CE"/>
    <w:rsid w:val="00F65231"/>
    <w:rsid w:val="00F655C9"/>
    <w:rsid w:val="00F655D1"/>
    <w:rsid w:val="00F656D7"/>
    <w:rsid w:val="00F65A62"/>
    <w:rsid w:val="00F65BA0"/>
    <w:rsid w:val="00F65BB4"/>
    <w:rsid w:val="00F65CE6"/>
    <w:rsid w:val="00F65DB4"/>
    <w:rsid w:val="00F65EC2"/>
    <w:rsid w:val="00F65ECF"/>
    <w:rsid w:val="00F6607F"/>
    <w:rsid w:val="00F660B9"/>
    <w:rsid w:val="00F660F4"/>
    <w:rsid w:val="00F661F6"/>
    <w:rsid w:val="00F66237"/>
    <w:rsid w:val="00F662BA"/>
    <w:rsid w:val="00F663BA"/>
    <w:rsid w:val="00F665EB"/>
    <w:rsid w:val="00F66681"/>
    <w:rsid w:val="00F66684"/>
    <w:rsid w:val="00F666D8"/>
    <w:rsid w:val="00F66B6A"/>
    <w:rsid w:val="00F66C5F"/>
    <w:rsid w:val="00F66C61"/>
    <w:rsid w:val="00F6703C"/>
    <w:rsid w:val="00F670C6"/>
    <w:rsid w:val="00F6726F"/>
    <w:rsid w:val="00F67573"/>
    <w:rsid w:val="00F675E0"/>
    <w:rsid w:val="00F675ED"/>
    <w:rsid w:val="00F6764A"/>
    <w:rsid w:val="00F67655"/>
    <w:rsid w:val="00F6769B"/>
    <w:rsid w:val="00F67805"/>
    <w:rsid w:val="00F67B01"/>
    <w:rsid w:val="00F67B54"/>
    <w:rsid w:val="00F67B5F"/>
    <w:rsid w:val="00F70529"/>
    <w:rsid w:val="00F70DF4"/>
    <w:rsid w:val="00F71048"/>
    <w:rsid w:val="00F7107B"/>
    <w:rsid w:val="00F71426"/>
    <w:rsid w:val="00F714F4"/>
    <w:rsid w:val="00F71535"/>
    <w:rsid w:val="00F71750"/>
    <w:rsid w:val="00F718C4"/>
    <w:rsid w:val="00F71BA5"/>
    <w:rsid w:val="00F71C0D"/>
    <w:rsid w:val="00F71D29"/>
    <w:rsid w:val="00F721C4"/>
    <w:rsid w:val="00F7237C"/>
    <w:rsid w:val="00F72391"/>
    <w:rsid w:val="00F724DE"/>
    <w:rsid w:val="00F7287F"/>
    <w:rsid w:val="00F7297A"/>
    <w:rsid w:val="00F72AB8"/>
    <w:rsid w:val="00F72E64"/>
    <w:rsid w:val="00F72EB6"/>
    <w:rsid w:val="00F72EE2"/>
    <w:rsid w:val="00F72F7A"/>
    <w:rsid w:val="00F73687"/>
    <w:rsid w:val="00F73702"/>
    <w:rsid w:val="00F737BC"/>
    <w:rsid w:val="00F7393B"/>
    <w:rsid w:val="00F73AF8"/>
    <w:rsid w:val="00F73B4E"/>
    <w:rsid w:val="00F73E9F"/>
    <w:rsid w:val="00F74126"/>
    <w:rsid w:val="00F741B1"/>
    <w:rsid w:val="00F74576"/>
    <w:rsid w:val="00F7465E"/>
    <w:rsid w:val="00F74BF4"/>
    <w:rsid w:val="00F74E9A"/>
    <w:rsid w:val="00F74F7E"/>
    <w:rsid w:val="00F7504B"/>
    <w:rsid w:val="00F753B7"/>
    <w:rsid w:val="00F75654"/>
    <w:rsid w:val="00F75917"/>
    <w:rsid w:val="00F7599A"/>
    <w:rsid w:val="00F75A89"/>
    <w:rsid w:val="00F75B1D"/>
    <w:rsid w:val="00F75D7F"/>
    <w:rsid w:val="00F75DED"/>
    <w:rsid w:val="00F7625A"/>
    <w:rsid w:val="00F76295"/>
    <w:rsid w:val="00F762A1"/>
    <w:rsid w:val="00F76741"/>
    <w:rsid w:val="00F767E1"/>
    <w:rsid w:val="00F767ED"/>
    <w:rsid w:val="00F76906"/>
    <w:rsid w:val="00F76982"/>
    <w:rsid w:val="00F76A63"/>
    <w:rsid w:val="00F76B4F"/>
    <w:rsid w:val="00F76C3F"/>
    <w:rsid w:val="00F76C8A"/>
    <w:rsid w:val="00F76E1B"/>
    <w:rsid w:val="00F771D6"/>
    <w:rsid w:val="00F774F7"/>
    <w:rsid w:val="00F775D5"/>
    <w:rsid w:val="00F77614"/>
    <w:rsid w:val="00F776FE"/>
    <w:rsid w:val="00F7794D"/>
    <w:rsid w:val="00F77AD3"/>
    <w:rsid w:val="00F77E87"/>
    <w:rsid w:val="00F8075F"/>
    <w:rsid w:val="00F807F8"/>
    <w:rsid w:val="00F80A06"/>
    <w:rsid w:val="00F80BB8"/>
    <w:rsid w:val="00F80DB7"/>
    <w:rsid w:val="00F80F54"/>
    <w:rsid w:val="00F80F66"/>
    <w:rsid w:val="00F81038"/>
    <w:rsid w:val="00F810A9"/>
    <w:rsid w:val="00F8131D"/>
    <w:rsid w:val="00F81723"/>
    <w:rsid w:val="00F8187D"/>
    <w:rsid w:val="00F818C5"/>
    <w:rsid w:val="00F81A30"/>
    <w:rsid w:val="00F81AD1"/>
    <w:rsid w:val="00F81C71"/>
    <w:rsid w:val="00F81CDE"/>
    <w:rsid w:val="00F820B3"/>
    <w:rsid w:val="00F8222B"/>
    <w:rsid w:val="00F82372"/>
    <w:rsid w:val="00F8243F"/>
    <w:rsid w:val="00F828D8"/>
    <w:rsid w:val="00F82AC5"/>
    <w:rsid w:val="00F82C69"/>
    <w:rsid w:val="00F82C83"/>
    <w:rsid w:val="00F8319B"/>
    <w:rsid w:val="00F831AE"/>
    <w:rsid w:val="00F83298"/>
    <w:rsid w:val="00F832B3"/>
    <w:rsid w:val="00F83A40"/>
    <w:rsid w:val="00F83B93"/>
    <w:rsid w:val="00F83D7C"/>
    <w:rsid w:val="00F83DAC"/>
    <w:rsid w:val="00F83DC7"/>
    <w:rsid w:val="00F83E7B"/>
    <w:rsid w:val="00F83F9D"/>
    <w:rsid w:val="00F83FEE"/>
    <w:rsid w:val="00F840F0"/>
    <w:rsid w:val="00F843F3"/>
    <w:rsid w:val="00F84670"/>
    <w:rsid w:val="00F846BF"/>
    <w:rsid w:val="00F84775"/>
    <w:rsid w:val="00F847D5"/>
    <w:rsid w:val="00F847DB"/>
    <w:rsid w:val="00F84868"/>
    <w:rsid w:val="00F84EED"/>
    <w:rsid w:val="00F8507C"/>
    <w:rsid w:val="00F853BD"/>
    <w:rsid w:val="00F856D2"/>
    <w:rsid w:val="00F8587D"/>
    <w:rsid w:val="00F85C0F"/>
    <w:rsid w:val="00F85DD8"/>
    <w:rsid w:val="00F85F8B"/>
    <w:rsid w:val="00F862EC"/>
    <w:rsid w:val="00F864DE"/>
    <w:rsid w:val="00F866E4"/>
    <w:rsid w:val="00F8692F"/>
    <w:rsid w:val="00F86D58"/>
    <w:rsid w:val="00F8705E"/>
    <w:rsid w:val="00F872AA"/>
    <w:rsid w:val="00F872AD"/>
    <w:rsid w:val="00F873EA"/>
    <w:rsid w:val="00F874B1"/>
    <w:rsid w:val="00F875AD"/>
    <w:rsid w:val="00F876EA"/>
    <w:rsid w:val="00F87780"/>
    <w:rsid w:val="00F877D5"/>
    <w:rsid w:val="00F878B6"/>
    <w:rsid w:val="00F87BE6"/>
    <w:rsid w:val="00F87CF9"/>
    <w:rsid w:val="00F87D01"/>
    <w:rsid w:val="00F87EB7"/>
    <w:rsid w:val="00F900D8"/>
    <w:rsid w:val="00F90350"/>
    <w:rsid w:val="00F905B1"/>
    <w:rsid w:val="00F905E7"/>
    <w:rsid w:val="00F90641"/>
    <w:rsid w:val="00F9066E"/>
    <w:rsid w:val="00F90998"/>
    <w:rsid w:val="00F9099A"/>
    <w:rsid w:val="00F90BB0"/>
    <w:rsid w:val="00F90D93"/>
    <w:rsid w:val="00F90DB2"/>
    <w:rsid w:val="00F90DC2"/>
    <w:rsid w:val="00F90EC9"/>
    <w:rsid w:val="00F90F4B"/>
    <w:rsid w:val="00F90FD0"/>
    <w:rsid w:val="00F91030"/>
    <w:rsid w:val="00F9105D"/>
    <w:rsid w:val="00F91392"/>
    <w:rsid w:val="00F913C3"/>
    <w:rsid w:val="00F914EF"/>
    <w:rsid w:val="00F91865"/>
    <w:rsid w:val="00F91A10"/>
    <w:rsid w:val="00F91C2F"/>
    <w:rsid w:val="00F91D34"/>
    <w:rsid w:val="00F91E98"/>
    <w:rsid w:val="00F91EA9"/>
    <w:rsid w:val="00F92184"/>
    <w:rsid w:val="00F927BB"/>
    <w:rsid w:val="00F9297C"/>
    <w:rsid w:val="00F929A4"/>
    <w:rsid w:val="00F92A0B"/>
    <w:rsid w:val="00F92CEF"/>
    <w:rsid w:val="00F92D28"/>
    <w:rsid w:val="00F92ECB"/>
    <w:rsid w:val="00F93B7C"/>
    <w:rsid w:val="00F93F48"/>
    <w:rsid w:val="00F93FD2"/>
    <w:rsid w:val="00F94028"/>
    <w:rsid w:val="00F94232"/>
    <w:rsid w:val="00F94453"/>
    <w:rsid w:val="00F9459B"/>
    <w:rsid w:val="00F945A4"/>
    <w:rsid w:val="00F94C93"/>
    <w:rsid w:val="00F94DE5"/>
    <w:rsid w:val="00F950AD"/>
    <w:rsid w:val="00F958AF"/>
    <w:rsid w:val="00F959AB"/>
    <w:rsid w:val="00F95CE9"/>
    <w:rsid w:val="00F96052"/>
    <w:rsid w:val="00F9676D"/>
    <w:rsid w:val="00F969E4"/>
    <w:rsid w:val="00F96B7C"/>
    <w:rsid w:val="00F96B8F"/>
    <w:rsid w:val="00F971A4"/>
    <w:rsid w:val="00F97200"/>
    <w:rsid w:val="00F972E9"/>
    <w:rsid w:val="00F973AF"/>
    <w:rsid w:val="00F973FE"/>
    <w:rsid w:val="00F97516"/>
    <w:rsid w:val="00F97575"/>
    <w:rsid w:val="00F9782A"/>
    <w:rsid w:val="00F97D2D"/>
    <w:rsid w:val="00F97EDF"/>
    <w:rsid w:val="00F97F14"/>
    <w:rsid w:val="00FA0097"/>
    <w:rsid w:val="00FA01B7"/>
    <w:rsid w:val="00FA022E"/>
    <w:rsid w:val="00FA0322"/>
    <w:rsid w:val="00FA03D5"/>
    <w:rsid w:val="00FA0603"/>
    <w:rsid w:val="00FA082A"/>
    <w:rsid w:val="00FA08B6"/>
    <w:rsid w:val="00FA0956"/>
    <w:rsid w:val="00FA0963"/>
    <w:rsid w:val="00FA0A88"/>
    <w:rsid w:val="00FA0E13"/>
    <w:rsid w:val="00FA0E6A"/>
    <w:rsid w:val="00FA0F1C"/>
    <w:rsid w:val="00FA12FE"/>
    <w:rsid w:val="00FA136F"/>
    <w:rsid w:val="00FA1461"/>
    <w:rsid w:val="00FA14BA"/>
    <w:rsid w:val="00FA14EC"/>
    <w:rsid w:val="00FA1613"/>
    <w:rsid w:val="00FA1727"/>
    <w:rsid w:val="00FA1798"/>
    <w:rsid w:val="00FA1802"/>
    <w:rsid w:val="00FA1803"/>
    <w:rsid w:val="00FA18EE"/>
    <w:rsid w:val="00FA197D"/>
    <w:rsid w:val="00FA19C9"/>
    <w:rsid w:val="00FA1CE5"/>
    <w:rsid w:val="00FA1E59"/>
    <w:rsid w:val="00FA2100"/>
    <w:rsid w:val="00FA21A9"/>
    <w:rsid w:val="00FA235D"/>
    <w:rsid w:val="00FA25A1"/>
    <w:rsid w:val="00FA2746"/>
    <w:rsid w:val="00FA2779"/>
    <w:rsid w:val="00FA2A69"/>
    <w:rsid w:val="00FA2B3F"/>
    <w:rsid w:val="00FA3063"/>
    <w:rsid w:val="00FA332D"/>
    <w:rsid w:val="00FA35BE"/>
    <w:rsid w:val="00FA3639"/>
    <w:rsid w:val="00FA37A7"/>
    <w:rsid w:val="00FA3BDD"/>
    <w:rsid w:val="00FA3C01"/>
    <w:rsid w:val="00FA40A6"/>
    <w:rsid w:val="00FA41A9"/>
    <w:rsid w:val="00FA438F"/>
    <w:rsid w:val="00FA43CC"/>
    <w:rsid w:val="00FA44F8"/>
    <w:rsid w:val="00FA4554"/>
    <w:rsid w:val="00FA45AA"/>
    <w:rsid w:val="00FA45D0"/>
    <w:rsid w:val="00FA464C"/>
    <w:rsid w:val="00FA465A"/>
    <w:rsid w:val="00FA4734"/>
    <w:rsid w:val="00FA4923"/>
    <w:rsid w:val="00FA4AAC"/>
    <w:rsid w:val="00FA4B3D"/>
    <w:rsid w:val="00FA4B9D"/>
    <w:rsid w:val="00FA52FE"/>
    <w:rsid w:val="00FA537C"/>
    <w:rsid w:val="00FA55C7"/>
    <w:rsid w:val="00FA56F1"/>
    <w:rsid w:val="00FA573A"/>
    <w:rsid w:val="00FA5D2F"/>
    <w:rsid w:val="00FA5E34"/>
    <w:rsid w:val="00FA5E5E"/>
    <w:rsid w:val="00FA607C"/>
    <w:rsid w:val="00FA61AA"/>
    <w:rsid w:val="00FA632B"/>
    <w:rsid w:val="00FA63F7"/>
    <w:rsid w:val="00FA64C6"/>
    <w:rsid w:val="00FA664B"/>
    <w:rsid w:val="00FA66CB"/>
    <w:rsid w:val="00FA67EA"/>
    <w:rsid w:val="00FA69B7"/>
    <w:rsid w:val="00FA6ADA"/>
    <w:rsid w:val="00FA6CA7"/>
    <w:rsid w:val="00FA6CE5"/>
    <w:rsid w:val="00FA6F68"/>
    <w:rsid w:val="00FA7249"/>
    <w:rsid w:val="00FA7426"/>
    <w:rsid w:val="00FA7571"/>
    <w:rsid w:val="00FA75FF"/>
    <w:rsid w:val="00FA78B9"/>
    <w:rsid w:val="00FA78C7"/>
    <w:rsid w:val="00FA7A01"/>
    <w:rsid w:val="00FA7A3B"/>
    <w:rsid w:val="00FA7AA4"/>
    <w:rsid w:val="00FA7B51"/>
    <w:rsid w:val="00FA7FBC"/>
    <w:rsid w:val="00FB00D7"/>
    <w:rsid w:val="00FB00E0"/>
    <w:rsid w:val="00FB014A"/>
    <w:rsid w:val="00FB0208"/>
    <w:rsid w:val="00FB02E6"/>
    <w:rsid w:val="00FB0346"/>
    <w:rsid w:val="00FB0394"/>
    <w:rsid w:val="00FB04D0"/>
    <w:rsid w:val="00FB0AAF"/>
    <w:rsid w:val="00FB0C99"/>
    <w:rsid w:val="00FB0E52"/>
    <w:rsid w:val="00FB0EAC"/>
    <w:rsid w:val="00FB10DE"/>
    <w:rsid w:val="00FB1167"/>
    <w:rsid w:val="00FB1449"/>
    <w:rsid w:val="00FB19A1"/>
    <w:rsid w:val="00FB208C"/>
    <w:rsid w:val="00FB212A"/>
    <w:rsid w:val="00FB21B7"/>
    <w:rsid w:val="00FB228E"/>
    <w:rsid w:val="00FB230C"/>
    <w:rsid w:val="00FB240F"/>
    <w:rsid w:val="00FB246A"/>
    <w:rsid w:val="00FB258F"/>
    <w:rsid w:val="00FB25EE"/>
    <w:rsid w:val="00FB26D9"/>
    <w:rsid w:val="00FB27BB"/>
    <w:rsid w:val="00FB289E"/>
    <w:rsid w:val="00FB28B4"/>
    <w:rsid w:val="00FB2A87"/>
    <w:rsid w:val="00FB2C2B"/>
    <w:rsid w:val="00FB2F92"/>
    <w:rsid w:val="00FB30B7"/>
    <w:rsid w:val="00FB327B"/>
    <w:rsid w:val="00FB330C"/>
    <w:rsid w:val="00FB33AD"/>
    <w:rsid w:val="00FB35B3"/>
    <w:rsid w:val="00FB3710"/>
    <w:rsid w:val="00FB3930"/>
    <w:rsid w:val="00FB3B37"/>
    <w:rsid w:val="00FB3B3C"/>
    <w:rsid w:val="00FB3B7B"/>
    <w:rsid w:val="00FB41A0"/>
    <w:rsid w:val="00FB4222"/>
    <w:rsid w:val="00FB442A"/>
    <w:rsid w:val="00FB448B"/>
    <w:rsid w:val="00FB4736"/>
    <w:rsid w:val="00FB48C7"/>
    <w:rsid w:val="00FB4985"/>
    <w:rsid w:val="00FB4C75"/>
    <w:rsid w:val="00FB51FE"/>
    <w:rsid w:val="00FB54FF"/>
    <w:rsid w:val="00FB55C1"/>
    <w:rsid w:val="00FB5621"/>
    <w:rsid w:val="00FB5665"/>
    <w:rsid w:val="00FB58C6"/>
    <w:rsid w:val="00FB5D3F"/>
    <w:rsid w:val="00FB5E28"/>
    <w:rsid w:val="00FB5FA2"/>
    <w:rsid w:val="00FB5FA8"/>
    <w:rsid w:val="00FB60EC"/>
    <w:rsid w:val="00FB610D"/>
    <w:rsid w:val="00FB6239"/>
    <w:rsid w:val="00FB6526"/>
    <w:rsid w:val="00FB674C"/>
    <w:rsid w:val="00FB6845"/>
    <w:rsid w:val="00FB6CBC"/>
    <w:rsid w:val="00FB6CE9"/>
    <w:rsid w:val="00FB6D06"/>
    <w:rsid w:val="00FB6E24"/>
    <w:rsid w:val="00FB6FC1"/>
    <w:rsid w:val="00FB73AB"/>
    <w:rsid w:val="00FB7416"/>
    <w:rsid w:val="00FB7464"/>
    <w:rsid w:val="00FB760C"/>
    <w:rsid w:val="00FB7621"/>
    <w:rsid w:val="00FB765C"/>
    <w:rsid w:val="00FB78B9"/>
    <w:rsid w:val="00FB7E05"/>
    <w:rsid w:val="00FC0040"/>
    <w:rsid w:val="00FC0219"/>
    <w:rsid w:val="00FC0249"/>
    <w:rsid w:val="00FC02CC"/>
    <w:rsid w:val="00FC0326"/>
    <w:rsid w:val="00FC03DD"/>
    <w:rsid w:val="00FC0737"/>
    <w:rsid w:val="00FC0BA7"/>
    <w:rsid w:val="00FC0C05"/>
    <w:rsid w:val="00FC0D39"/>
    <w:rsid w:val="00FC0F37"/>
    <w:rsid w:val="00FC0FAE"/>
    <w:rsid w:val="00FC1056"/>
    <w:rsid w:val="00FC1250"/>
    <w:rsid w:val="00FC1389"/>
    <w:rsid w:val="00FC146B"/>
    <w:rsid w:val="00FC17BD"/>
    <w:rsid w:val="00FC17F4"/>
    <w:rsid w:val="00FC1F48"/>
    <w:rsid w:val="00FC1FD4"/>
    <w:rsid w:val="00FC20F9"/>
    <w:rsid w:val="00FC2238"/>
    <w:rsid w:val="00FC2484"/>
    <w:rsid w:val="00FC2657"/>
    <w:rsid w:val="00FC28E3"/>
    <w:rsid w:val="00FC2C74"/>
    <w:rsid w:val="00FC2D77"/>
    <w:rsid w:val="00FC2E99"/>
    <w:rsid w:val="00FC2EA0"/>
    <w:rsid w:val="00FC2F1F"/>
    <w:rsid w:val="00FC2FC0"/>
    <w:rsid w:val="00FC2FC1"/>
    <w:rsid w:val="00FC2FEA"/>
    <w:rsid w:val="00FC3046"/>
    <w:rsid w:val="00FC3350"/>
    <w:rsid w:val="00FC3574"/>
    <w:rsid w:val="00FC363C"/>
    <w:rsid w:val="00FC3792"/>
    <w:rsid w:val="00FC37C0"/>
    <w:rsid w:val="00FC3957"/>
    <w:rsid w:val="00FC3B3B"/>
    <w:rsid w:val="00FC3D21"/>
    <w:rsid w:val="00FC40CC"/>
    <w:rsid w:val="00FC40E1"/>
    <w:rsid w:val="00FC4585"/>
    <w:rsid w:val="00FC493B"/>
    <w:rsid w:val="00FC4A24"/>
    <w:rsid w:val="00FC4EEE"/>
    <w:rsid w:val="00FC4F1B"/>
    <w:rsid w:val="00FC503E"/>
    <w:rsid w:val="00FC5367"/>
    <w:rsid w:val="00FC5425"/>
    <w:rsid w:val="00FC5552"/>
    <w:rsid w:val="00FC564B"/>
    <w:rsid w:val="00FC58ED"/>
    <w:rsid w:val="00FC5C62"/>
    <w:rsid w:val="00FC6109"/>
    <w:rsid w:val="00FC61E6"/>
    <w:rsid w:val="00FC6200"/>
    <w:rsid w:val="00FC63C4"/>
    <w:rsid w:val="00FC6485"/>
    <w:rsid w:val="00FC66B5"/>
    <w:rsid w:val="00FC6864"/>
    <w:rsid w:val="00FC6940"/>
    <w:rsid w:val="00FC6BC7"/>
    <w:rsid w:val="00FC72E8"/>
    <w:rsid w:val="00FC74C9"/>
    <w:rsid w:val="00FC75AA"/>
    <w:rsid w:val="00FC7818"/>
    <w:rsid w:val="00FC7839"/>
    <w:rsid w:val="00FC7A04"/>
    <w:rsid w:val="00FC7A13"/>
    <w:rsid w:val="00FC7A1B"/>
    <w:rsid w:val="00FC7CAF"/>
    <w:rsid w:val="00FD001B"/>
    <w:rsid w:val="00FD02B4"/>
    <w:rsid w:val="00FD0424"/>
    <w:rsid w:val="00FD063A"/>
    <w:rsid w:val="00FD07EA"/>
    <w:rsid w:val="00FD0A0D"/>
    <w:rsid w:val="00FD0A85"/>
    <w:rsid w:val="00FD0BC9"/>
    <w:rsid w:val="00FD0D2D"/>
    <w:rsid w:val="00FD0E43"/>
    <w:rsid w:val="00FD131D"/>
    <w:rsid w:val="00FD158B"/>
    <w:rsid w:val="00FD1678"/>
    <w:rsid w:val="00FD169A"/>
    <w:rsid w:val="00FD1741"/>
    <w:rsid w:val="00FD17F1"/>
    <w:rsid w:val="00FD1850"/>
    <w:rsid w:val="00FD190F"/>
    <w:rsid w:val="00FD1944"/>
    <w:rsid w:val="00FD1B99"/>
    <w:rsid w:val="00FD1BB7"/>
    <w:rsid w:val="00FD1F69"/>
    <w:rsid w:val="00FD1FED"/>
    <w:rsid w:val="00FD2084"/>
    <w:rsid w:val="00FD2793"/>
    <w:rsid w:val="00FD29AE"/>
    <w:rsid w:val="00FD2B8D"/>
    <w:rsid w:val="00FD2CEE"/>
    <w:rsid w:val="00FD2FE3"/>
    <w:rsid w:val="00FD30F6"/>
    <w:rsid w:val="00FD3163"/>
    <w:rsid w:val="00FD3660"/>
    <w:rsid w:val="00FD37EA"/>
    <w:rsid w:val="00FD3826"/>
    <w:rsid w:val="00FD3864"/>
    <w:rsid w:val="00FD392A"/>
    <w:rsid w:val="00FD39B4"/>
    <w:rsid w:val="00FD3B45"/>
    <w:rsid w:val="00FD3B49"/>
    <w:rsid w:val="00FD3E57"/>
    <w:rsid w:val="00FD3E82"/>
    <w:rsid w:val="00FD40B7"/>
    <w:rsid w:val="00FD41C8"/>
    <w:rsid w:val="00FD4459"/>
    <w:rsid w:val="00FD46B7"/>
    <w:rsid w:val="00FD477D"/>
    <w:rsid w:val="00FD49C8"/>
    <w:rsid w:val="00FD4C40"/>
    <w:rsid w:val="00FD4CA1"/>
    <w:rsid w:val="00FD4CF4"/>
    <w:rsid w:val="00FD5030"/>
    <w:rsid w:val="00FD5075"/>
    <w:rsid w:val="00FD5100"/>
    <w:rsid w:val="00FD522A"/>
    <w:rsid w:val="00FD52F2"/>
    <w:rsid w:val="00FD57A4"/>
    <w:rsid w:val="00FD5A57"/>
    <w:rsid w:val="00FD5D75"/>
    <w:rsid w:val="00FD5FE5"/>
    <w:rsid w:val="00FD617E"/>
    <w:rsid w:val="00FD61BD"/>
    <w:rsid w:val="00FD620D"/>
    <w:rsid w:val="00FD62D9"/>
    <w:rsid w:val="00FD659D"/>
    <w:rsid w:val="00FD66ED"/>
    <w:rsid w:val="00FD688E"/>
    <w:rsid w:val="00FD6AC1"/>
    <w:rsid w:val="00FD6B82"/>
    <w:rsid w:val="00FD6FC3"/>
    <w:rsid w:val="00FD70A6"/>
    <w:rsid w:val="00FD717F"/>
    <w:rsid w:val="00FD7280"/>
    <w:rsid w:val="00FD736B"/>
    <w:rsid w:val="00FD7428"/>
    <w:rsid w:val="00FD749B"/>
    <w:rsid w:val="00FD75B5"/>
    <w:rsid w:val="00FD76D1"/>
    <w:rsid w:val="00FD7791"/>
    <w:rsid w:val="00FD7855"/>
    <w:rsid w:val="00FD78C8"/>
    <w:rsid w:val="00FD7AA3"/>
    <w:rsid w:val="00FD7C31"/>
    <w:rsid w:val="00FD7CAD"/>
    <w:rsid w:val="00FD7D7A"/>
    <w:rsid w:val="00FD7F1E"/>
    <w:rsid w:val="00FE006A"/>
    <w:rsid w:val="00FE00ED"/>
    <w:rsid w:val="00FE0382"/>
    <w:rsid w:val="00FE03DD"/>
    <w:rsid w:val="00FE05E8"/>
    <w:rsid w:val="00FE0C2D"/>
    <w:rsid w:val="00FE0D3B"/>
    <w:rsid w:val="00FE0D62"/>
    <w:rsid w:val="00FE0FFB"/>
    <w:rsid w:val="00FE12BF"/>
    <w:rsid w:val="00FE18DC"/>
    <w:rsid w:val="00FE1B6E"/>
    <w:rsid w:val="00FE1FC2"/>
    <w:rsid w:val="00FE2121"/>
    <w:rsid w:val="00FE231D"/>
    <w:rsid w:val="00FE2440"/>
    <w:rsid w:val="00FE24DB"/>
    <w:rsid w:val="00FE251C"/>
    <w:rsid w:val="00FE2554"/>
    <w:rsid w:val="00FE255D"/>
    <w:rsid w:val="00FE26D7"/>
    <w:rsid w:val="00FE2800"/>
    <w:rsid w:val="00FE2958"/>
    <w:rsid w:val="00FE2BBC"/>
    <w:rsid w:val="00FE2C51"/>
    <w:rsid w:val="00FE2CD0"/>
    <w:rsid w:val="00FE316A"/>
    <w:rsid w:val="00FE33C0"/>
    <w:rsid w:val="00FE33FF"/>
    <w:rsid w:val="00FE35E7"/>
    <w:rsid w:val="00FE3675"/>
    <w:rsid w:val="00FE38FD"/>
    <w:rsid w:val="00FE3D10"/>
    <w:rsid w:val="00FE3DA5"/>
    <w:rsid w:val="00FE3EA2"/>
    <w:rsid w:val="00FE3EAD"/>
    <w:rsid w:val="00FE3FE5"/>
    <w:rsid w:val="00FE41A8"/>
    <w:rsid w:val="00FE4432"/>
    <w:rsid w:val="00FE4439"/>
    <w:rsid w:val="00FE4766"/>
    <w:rsid w:val="00FE47CC"/>
    <w:rsid w:val="00FE484F"/>
    <w:rsid w:val="00FE48CF"/>
    <w:rsid w:val="00FE48E0"/>
    <w:rsid w:val="00FE5042"/>
    <w:rsid w:val="00FE51C5"/>
    <w:rsid w:val="00FE54D6"/>
    <w:rsid w:val="00FE5725"/>
    <w:rsid w:val="00FE5735"/>
    <w:rsid w:val="00FE58AA"/>
    <w:rsid w:val="00FE58BA"/>
    <w:rsid w:val="00FE5931"/>
    <w:rsid w:val="00FE5A02"/>
    <w:rsid w:val="00FE5D19"/>
    <w:rsid w:val="00FE5E6F"/>
    <w:rsid w:val="00FE6158"/>
    <w:rsid w:val="00FE6322"/>
    <w:rsid w:val="00FE6777"/>
    <w:rsid w:val="00FE6BFA"/>
    <w:rsid w:val="00FE6D14"/>
    <w:rsid w:val="00FE749B"/>
    <w:rsid w:val="00FE75F3"/>
    <w:rsid w:val="00FE76C7"/>
    <w:rsid w:val="00FE76D0"/>
    <w:rsid w:val="00FE790F"/>
    <w:rsid w:val="00FE7A22"/>
    <w:rsid w:val="00FE7CAE"/>
    <w:rsid w:val="00FE7CB0"/>
    <w:rsid w:val="00FE7D4C"/>
    <w:rsid w:val="00FE7FC1"/>
    <w:rsid w:val="00FF0001"/>
    <w:rsid w:val="00FF004F"/>
    <w:rsid w:val="00FF0114"/>
    <w:rsid w:val="00FF01FC"/>
    <w:rsid w:val="00FF02BD"/>
    <w:rsid w:val="00FF02C1"/>
    <w:rsid w:val="00FF04C4"/>
    <w:rsid w:val="00FF05AB"/>
    <w:rsid w:val="00FF0CDB"/>
    <w:rsid w:val="00FF0EB3"/>
    <w:rsid w:val="00FF0F47"/>
    <w:rsid w:val="00FF0F60"/>
    <w:rsid w:val="00FF11D7"/>
    <w:rsid w:val="00FF12B1"/>
    <w:rsid w:val="00FF14CB"/>
    <w:rsid w:val="00FF1862"/>
    <w:rsid w:val="00FF1956"/>
    <w:rsid w:val="00FF1AE8"/>
    <w:rsid w:val="00FF20E4"/>
    <w:rsid w:val="00FF2453"/>
    <w:rsid w:val="00FF24C6"/>
    <w:rsid w:val="00FF2553"/>
    <w:rsid w:val="00FF26B4"/>
    <w:rsid w:val="00FF2873"/>
    <w:rsid w:val="00FF2959"/>
    <w:rsid w:val="00FF2961"/>
    <w:rsid w:val="00FF2D1F"/>
    <w:rsid w:val="00FF2D93"/>
    <w:rsid w:val="00FF3069"/>
    <w:rsid w:val="00FF322A"/>
    <w:rsid w:val="00FF32B6"/>
    <w:rsid w:val="00FF34E7"/>
    <w:rsid w:val="00FF365A"/>
    <w:rsid w:val="00FF37B4"/>
    <w:rsid w:val="00FF3824"/>
    <w:rsid w:val="00FF3A2E"/>
    <w:rsid w:val="00FF3EC1"/>
    <w:rsid w:val="00FF3EC4"/>
    <w:rsid w:val="00FF3F21"/>
    <w:rsid w:val="00FF41E2"/>
    <w:rsid w:val="00FF434A"/>
    <w:rsid w:val="00FF43C5"/>
    <w:rsid w:val="00FF4700"/>
    <w:rsid w:val="00FF4793"/>
    <w:rsid w:val="00FF48DF"/>
    <w:rsid w:val="00FF4955"/>
    <w:rsid w:val="00FF4BB3"/>
    <w:rsid w:val="00FF4C90"/>
    <w:rsid w:val="00FF4F7A"/>
    <w:rsid w:val="00FF50A0"/>
    <w:rsid w:val="00FF50F7"/>
    <w:rsid w:val="00FF5444"/>
    <w:rsid w:val="00FF5446"/>
    <w:rsid w:val="00FF5449"/>
    <w:rsid w:val="00FF5742"/>
    <w:rsid w:val="00FF5938"/>
    <w:rsid w:val="00FF5AC3"/>
    <w:rsid w:val="00FF5B9F"/>
    <w:rsid w:val="00FF5CAC"/>
    <w:rsid w:val="00FF5E88"/>
    <w:rsid w:val="00FF5F2F"/>
    <w:rsid w:val="00FF610A"/>
    <w:rsid w:val="00FF61B8"/>
    <w:rsid w:val="00FF6333"/>
    <w:rsid w:val="00FF6348"/>
    <w:rsid w:val="00FF6552"/>
    <w:rsid w:val="00FF698F"/>
    <w:rsid w:val="00FF6A5F"/>
    <w:rsid w:val="00FF6A73"/>
    <w:rsid w:val="00FF6B41"/>
    <w:rsid w:val="00FF6B94"/>
    <w:rsid w:val="00FF6C7D"/>
    <w:rsid w:val="00FF6E92"/>
    <w:rsid w:val="00FF6F53"/>
    <w:rsid w:val="00FF7017"/>
    <w:rsid w:val="00FF7040"/>
    <w:rsid w:val="00FF77F8"/>
    <w:rsid w:val="00FF79CF"/>
    <w:rsid w:val="00FF7A9B"/>
    <w:rsid w:val="00FF7D81"/>
    <w:rsid w:val="00FF7E70"/>
    <w:rsid w:val="00FF7F65"/>
    <w:rsid w:val="00FF7FA9"/>
    <w:rsid w:val="0F275AAD"/>
    <w:rsid w:val="2EBFE571"/>
    <w:rsid w:val="5FF62322"/>
    <w:rsid w:val="716BBC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101"/>
    <w:qFormat/>
    <w:uiPriority w:val="0"/>
    <w:pPr>
      <w:keepNext/>
      <w:keepLines/>
      <w:spacing w:before="100" w:beforeLines="100" w:after="50" w:afterLines="50"/>
      <w:ind w:firstLine="0" w:firstLineChars="0"/>
      <w:jc w:val="center"/>
      <w:outlineLvl w:val="0"/>
    </w:pPr>
    <w:rPr>
      <w:b/>
      <w:kern w:val="44"/>
      <w:sz w:val="36"/>
      <w:szCs w:val="36"/>
    </w:rPr>
  </w:style>
  <w:style w:type="paragraph" w:styleId="3">
    <w:name w:val="heading 2"/>
    <w:basedOn w:val="1"/>
    <w:next w:val="1"/>
    <w:link w:val="103"/>
    <w:qFormat/>
    <w:uiPriority w:val="0"/>
    <w:pPr>
      <w:keepNext/>
      <w:keepLines/>
      <w:tabs>
        <w:tab w:val="left" w:pos="1050"/>
      </w:tabs>
      <w:spacing w:before="50" w:beforeLines="50" w:after="50" w:afterLines="50"/>
      <w:ind w:firstLine="0" w:firstLineChars="0"/>
      <w:outlineLvl w:val="1"/>
    </w:pPr>
    <w:rPr>
      <w:rFonts w:eastAsia="黑体"/>
      <w:sz w:val="30"/>
      <w:szCs w:val="32"/>
    </w:rPr>
  </w:style>
  <w:style w:type="paragraph" w:styleId="4">
    <w:name w:val="heading 3"/>
    <w:basedOn w:val="1"/>
    <w:next w:val="1"/>
    <w:link w:val="81"/>
    <w:qFormat/>
    <w:uiPriority w:val="0"/>
    <w:pPr>
      <w:keepLines/>
      <w:spacing w:before="100" w:after="240" w:line="440" w:lineRule="atLeast"/>
      <w:ind w:left="108" w:firstLine="0" w:firstLineChars="0"/>
      <w:outlineLvl w:val="2"/>
    </w:pPr>
    <w:rPr>
      <w:rFonts w:eastAsia="黑体"/>
      <w:sz w:val="28"/>
      <w:szCs w:val="28"/>
    </w:rPr>
  </w:style>
  <w:style w:type="paragraph" w:styleId="5">
    <w:name w:val="heading 4"/>
    <w:next w:val="1"/>
    <w:link w:val="334"/>
    <w:unhideWhenUsed/>
    <w:qFormat/>
    <w:uiPriority w:val="9"/>
    <w:pPr>
      <w:keepNext/>
      <w:keepLines/>
      <w:spacing w:before="120" w:beforeLines="50" w:after="120" w:afterLines="50" w:line="360" w:lineRule="auto"/>
      <w:outlineLvl w:val="3"/>
    </w:pPr>
    <w:rPr>
      <w:rFonts w:ascii="Times New Roman" w:hAnsi="Times New Roman" w:eastAsia="宋体" w:cs="Times New Roman"/>
      <w:b/>
      <w:color w:val="0000FF"/>
      <w:sz w:val="24"/>
      <w:szCs w:val="21"/>
      <w:lang w:val="en-US" w:eastAsia="zh-CN" w:bidi="en-US"/>
    </w:rPr>
  </w:style>
  <w:style w:type="paragraph" w:styleId="6">
    <w:name w:val="heading 5"/>
    <w:basedOn w:val="1"/>
    <w:next w:val="7"/>
    <w:qFormat/>
    <w:uiPriority w:val="0"/>
    <w:pPr>
      <w:keepNext/>
      <w:keepLines/>
      <w:numPr>
        <w:ilvl w:val="4"/>
        <w:numId w:val="1"/>
      </w:numPr>
      <w:spacing w:line="440" w:lineRule="atLeast"/>
      <w:outlineLvl w:val="4"/>
    </w:pPr>
  </w:style>
  <w:style w:type="paragraph" w:styleId="8">
    <w:name w:val="heading 6"/>
    <w:basedOn w:val="1"/>
    <w:next w:val="1"/>
    <w:qFormat/>
    <w:uiPriority w:val="0"/>
    <w:pPr>
      <w:keepNext/>
      <w:jc w:val="center"/>
      <w:outlineLvl w:val="5"/>
    </w:pPr>
    <w:rPr>
      <w:rFonts w:ascii="黑体"/>
      <w:sz w:val="32"/>
    </w:rPr>
  </w:style>
  <w:style w:type="paragraph" w:styleId="9">
    <w:name w:val="heading 7"/>
    <w:basedOn w:val="1"/>
    <w:next w:val="1"/>
    <w:qFormat/>
    <w:uiPriority w:val="0"/>
    <w:pPr>
      <w:keepNext/>
      <w:spacing w:line="300" w:lineRule="atLeast"/>
      <w:jc w:val="center"/>
      <w:outlineLvl w:val="6"/>
    </w:pPr>
    <w:rPr>
      <w:b/>
      <w:bCs/>
    </w:rPr>
  </w:style>
  <w:style w:type="paragraph" w:styleId="10">
    <w:name w:val="heading 8"/>
    <w:basedOn w:val="1"/>
    <w:next w:val="1"/>
    <w:qFormat/>
    <w:uiPriority w:val="0"/>
    <w:pPr>
      <w:keepNext/>
      <w:jc w:val="center"/>
      <w:outlineLvl w:val="7"/>
    </w:pPr>
    <w:rPr>
      <w:rFonts w:eastAsia="仿宋_GB2312"/>
      <w:sz w:val="28"/>
    </w:rPr>
  </w:style>
  <w:style w:type="paragraph" w:styleId="11">
    <w:name w:val="heading 9"/>
    <w:basedOn w:val="1"/>
    <w:next w:val="1"/>
    <w:qFormat/>
    <w:uiPriority w:val="0"/>
    <w:pPr>
      <w:keepNext/>
      <w:snapToGrid w:val="0"/>
      <w:outlineLvl w:val="8"/>
    </w:pPr>
    <w:rPr>
      <w:rFonts w:ascii="Arial" w:hAnsi="Arial" w:cs="Arial"/>
      <w:b/>
      <w:bCs/>
      <w:sz w:val="28"/>
    </w:rPr>
  </w:style>
  <w:style w:type="character" w:default="1" w:styleId="56">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73"/>
    <w:qFormat/>
    <w:uiPriority w:val="0"/>
    <w:pPr>
      <w:tabs>
        <w:tab w:val="left" w:pos="4620"/>
      </w:tabs>
      <w:adjustRightInd w:val="0"/>
      <w:snapToGrid w:val="0"/>
      <w:spacing w:before="120" w:beforeLines="50"/>
      <w:jc w:val="center"/>
    </w:pPr>
    <w:rPr>
      <w:rFonts w:hAnsi="宋体"/>
      <w:b/>
      <w:color w:val="000000"/>
      <w:szCs w:val="21"/>
    </w:rPr>
  </w:style>
  <w:style w:type="paragraph" w:styleId="12">
    <w:name w:val="toc 7"/>
    <w:basedOn w:val="1"/>
    <w:next w:val="1"/>
    <w:qFormat/>
    <w:uiPriority w:val="39"/>
    <w:pPr>
      <w:ind w:left="1440"/>
      <w:jc w:val="left"/>
    </w:pPr>
    <w:rPr>
      <w:rFonts w:ascii="等线" w:eastAsia="等线"/>
      <w:sz w:val="18"/>
      <w:szCs w:val="18"/>
    </w:rPr>
  </w:style>
  <w:style w:type="paragraph" w:styleId="13">
    <w:name w:val="List Number 2"/>
    <w:basedOn w:val="1"/>
    <w:qFormat/>
    <w:uiPriority w:val="0"/>
    <w:pPr>
      <w:numPr>
        <w:ilvl w:val="0"/>
        <w:numId w:val="2"/>
      </w:numPr>
      <w:tabs>
        <w:tab w:val="left" w:pos="840"/>
        <w:tab w:val="clear" w:pos="720"/>
      </w:tabs>
      <w:spacing w:after="100" w:line="440" w:lineRule="atLeast"/>
      <w:jc w:val="center"/>
    </w:p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semiHidden/>
    <w:qFormat/>
    <w:uiPriority w:val="0"/>
    <w:pPr>
      <w:shd w:val="clear" w:color="auto" w:fill="000080"/>
    </w:pPr>
  </w:style>
  <w:style w:type="paragraph" w:styleId="16">
    <w:name w:val="toa heading"/>
    <w:basedOn w:val="1"/>
    <w:next w:val="1"/>
    <w:semiHidden/>
    <w:qFormat/>
    <w:uiPriority w:val="0"/>
    <w:pPr>
      <w:adjustRightInd w:val="0"/>
      <w:snapToGrid w:val="0"/>
      <w:spacing w:before="120" w:line="312" w:lineRule="auto"/>
    </w:pPr>
    <w:rPr>
      <w:rFonts w:ascii="Arial" w:hAnsi="Arial" w:cs="Arial"/>
    </w:rPr>
  </w:style>
  <w:style w:type="paragraph" w:styleId="17">
    <w:name w:val="annotation text"/>
    <w:basedOn w:val="1"/>
    <w:link w:val="342"/>
    <w:semiHidden/>
    <w:qFormat/>
    <w:uiPriority w:val="0"/>
    <w:pPr>
      <w:jc w:val="left"/>
    </w:pPr>
  </w:style>
  <w:style w:type="paragraph" w:styleId="18">
    <w:name w:val="Body Text 3"/>
    <w:basedOn w:val="1"/>
    <w:qFormat/>
    <w:uiPriority w:val="0"/>
    <w:pPr>
      <w:jc w:val="center"/>
    </w:pPr>
  </w:style>
  <w:style w:type="paragraph" w:styleId="19">
    <w:name w:val="Body Text"/>
    <w:basedOn w:val="1"/>
    <w:qFormat/>
    <w:uiPriority w:val="0"/>
    <w:pPr>
      <w:jc w:val="center"/>
    </w:pPr>
  </w:style>
  <w:style w:type="paragraph" w:styleId="20">
    <w:name w:val="Body Text Indent"/>
    <w:basedOn w:val="1"/>
    <w:link w:val="324"/>
    <w:qFormat/>
    <w:uiPriority w:val="0"/>
    <w:pPr>
      <w:ind w:firstLine="540"/>
    </w:pPr>
    <w:rPr>
      <w:sz w:val="28"/>
      <w:szCs w:val="20"/>
    </w:rPr>
  </w:style>
  <w:style w:type="paragraph" w:styleId="21">
    <w:name w:val="List Number 3"/>
    <w:basedOn w:val="1"/>
    <w:qFormat/>
    <w:uiPriority w:val="0"/>
    <w:pPr>
      <w:numPr>
        <w:ilvl w:val="0"/>
        <w:numId w:val="3"/>
      </w:numPr>
      <w:jc w:val="center"/>
    </w:pPr>
    <w:rPr>
      <w:b/>
      <w:sz w:val="28"/>
    </w:rPr>
  </w:style>
  <w:style w:type="paragraph" w:styleId="22">
    <w:name w:val="Block Text"/>
    <w:basedOn w:val="1"/>
    <w:qFormat/>
    <w:uiPriority w:val="0"/>
    <w:pPr>
      <w:snapToGrid w:val="0"/>
      <w:spacing w:line="420" w:lineRule="exact"/>
      <w:ind w:left="101" w:leftChars="48" w:right="149" w:rightChars="71" w:firstLine="426" w:firstLineChars="203"/>
    </w:pPr>
  </w:style>
  <w:style w:type="paragraph" w:styleId="23">
    <w:name w:val="List Bullet 2"/>
    <w:basedOn w:val="1"/>
    <w:qFormat/>
    <w:uiPriority w:val="0"/>
  </w:style>
  <w:style w:type="paragraph" w:styleId="24">
    <w:name w:val="toc 5"/>
    <w:basedOn w:val="1"/>
    <w:next w:val="1"/>
    <w:qFormat/>
    <w:uiPriority w:val="39"/>
    <w:pPr>
      <w:ind w:left="960"/>
      <w:jc w:val="left"/>
    </w:pPr>
    <w:rPr>
      <w:rFonts w:ascii="等线" w:eastAsia="等线"/>
      <w:sz w:val="18"/>
      <w:szCs w:val="18"/>
    </w:rPr>
  </w:style>
  <w:style w:type="paragraph" w:styleId="25">
    <w:name w:val="toc 3"/>
    <w:basedOn w:val="1"/>
    <w:next w:val="1"/>
    <w:qFormat/>
    <w:uiPriority w:val="39"/>
    <w:pPr>
      <w:ind w:left="480"/>
      <w:jc w:val="left"/>
    </w:pPr>
    <w:rPr>
      <w:rFonts w:ascii="等线" w:eastAsia="等线"/>
      <w:i/>
      <w:iCs/>
      <w:sz w:val="20"/>
      <w:szCs w:val="20"/>
    </w:rPr>
  </w:style>
  <w:style w:type="paragraph" w:styleId="26">
    <w:name w:val="Plain Text"/>
    <w:basedOn w:val="1"/>
    <w:link w:val="111"/>
    <w:qFormat/>
    <w:uiPriority w:val="0"/>
    <w:rPr>
      <w:rFonts w:ascii="宋体" w:hAnsi="Courier New"/>
    </w:rPr>
  </w:style>
  <w:style w:type="paragraph" w:styleId="27">
    <w:name w:val="List Bullet 5"/>
    <w:basedOn w:val="1"/>
    <w:qFormat/>
    <w:uiPriority w:val="0"/>
    <w:pPr>
      <w:tabs>
        <w:tab w:val="left" w:pos="2040"/>
      </w:tabs>
      <w:ind w:left="2040" w:leftChars="800" w:hanging="360" w:hangingChars="200"/>
    </w:pPr>
  </w:style>
  <w:style w:type="paragraph" w:styleId="28">
    <w:name w:val="toc 8"/>
    <w:basedOn w:val="1"/>
    <w:next w:val="1"/>
    <w:qFormat/>
    <w:uiPriority w:val="39"/>
    <w:pPr>
      <w:ind w:left="1680"/>
      <w:jc w:val="left"/>
    </w:pPr>
    <w:rPr>
      <w:rFonts w:ascii="等线" w:eastAsia="等线"/>
      <w:sz w:val="18"/>
      <w:szCs w:val="18"/>
    </w:rPr>
  </w:style>
  <w:style w:type="paragraph" w:styleId="29">
    <w:name w:val="Date"/>
    <w:basedOn w:val="1"/>
    <w:next w:val="1"/>
    <w:qFormat/>
    <w:uiPriority w:val="0"/>
    <w:rPr>
      <w:sz w:val="28"/>
      <w:szCs w:val="20"/>
    </w:rPr>
  </w:style>
  <w:style w:type="paragraph" w:styleId="30">
    <w:name w:val="Body Text Indent 2"/>
    <w:basedOn w:val="1"/>
    <w:qFormat/>
    <w:uiPriority w:val="0"/>
    <w:pPr>
      <w:spacing w:line="440" w:lineRule="atLeast"/>
    </w:pPr>
  </w:style>
  <w:style w:type="paragraph" w:styleId="31">
    <w:name w:val="Balloon Text"/>
    <w:basedOn w:val="1"/>
    <w:semiHidden/>
    <w:qFormat/>
    <w:uiPriority w:val="0"/>
    <w:rPr>
      <w:sz w:val="18"/>
      <w:szCs w:val="18"/>
    </w:rPr>
  </w:style>
  <w:style w:type="paragraph" w:styleId="32">
    <w:name w:val="footer"/>
    <w:basedOn w:val="1"/>
    <w:link w:val="323"/>
    <w:qFormat/>
    <w:uiPriority w:val="99"/>
    <w:pPr>
      <w:tabs>
        <w:tab w:val="center" w:pos="4153"/>
        <w:tab w:val="right" w:pos="8306"/>
      </w:tabs>
      <w:snapToGrid w:val="0"/>
      <w:jc w:val="left"/>
    </w:pPr>
    <w:rPr>
      <w:sz w:val="18"/>
      <w:szCs w:val="18"/>
    </w:rPr>
  </w:style>
  <w:style w:type="paragraph" w:styleId="33">
    <w:name w:val="header"/>
    <w:basedOn w:val="1"/>
    <w:link w:val="78"/>
    <w:qFormat/>
    <w:uiPriority w:val="0"/>
    <w:pPr>
      <w:pBdr>
        <w:bottom w:val="thinThickSmallGap" w:color="auto" w:sz="24"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等线" w:eastAsia="等线"/>
      <w:b/>
      <w:bCs/>
      <w:caps/>
      <w:sz w:val="20"/>
      <w:szCs w:val="20"/>
    </w:rPr>
  </w:style>
  <w:style w:type="paragraph" w:styleId="35">
    <w:name w:val="toc 4"/>
    <w:basedOn w:val="1"/>
    <w:next w:val="1"/>
    <w:qFormat/>
    <w:uiPriority w:val="39"/>
    <w:pPr>
      <w:ind w:left="720"/>
      <w:jc w:val="left"/>
    </w:pPr>
    <w:rPr>
      <w:rFonts w:ascii="等线" w:eastAsia="等线"/>
      <w:sz w:val="18"/>
      <w:szCs w:val="18"/>
    </w:rPr>
  </w:style>
  <w:style w:type="paragraph" w:styleId="36">
    <w:name w:val="index heading"/>
    <w:basedOn w:val="1"/>
    <w:next w:val="37"/>
    <w:qFormat/>
    <w:uiPriority w:val="0"/>
    <w:pPr>
      <w:widowControl/>
      <w:spacing w:before="100" w:beforeAutospacing="1" w:after="100" w:afterAutospacing="1"/>
      <w:jc w:val="left"/>
    </w:pPr>
    <w:rPr>
      <w:rFonts w:ascii="宋体" w:hAnsi="宋体" w:cs="宋体"/>
      <w:kern w:val="0"/>
    </w:rPr>
  </w:style>
  <w:style w:type="paragraph" w:styleId="37">
    <w:name w:val="index 1"/>
    <w:basedOn w:val="1"/>
    <w:next w:val="1"/>
    <w:semiHidden/>
    <w:qFormat/>
    <w:uiPriority w:val="0"/>
    <w:pPr>
      <w:spacing w:line="480" w:lineRule="exact"/>
      <w:ind w:firstLine="520"/>
    </w:pPr>
    <w:rPr>
      <w:sz w:val="26"/>
    </w:rPr>
  </w:style>
  <w:style w:type="paragraph" w:styleId="38">
    <w:name w:val="Subtitle"/>
    <w:basedOn w:val="1"/>
    <w:next w:val="1"/>
    <w:link w:val="337"/>
    <w:qFormat/>
    <w:uiPriority w:val="11"/>
    <w:pPr>
      <w:spacing w:before="100" w:beforeAutospacing="1" w:after="100" w:afterAutospacing="1"/>
      <w:jc w:val="center"/>
    </w:pPr>
    <w:rPr>
      <w:rFonts w:eastAsia="黑体"/>
      <w:bCs/>
      <w:kern w:val="28"/>
      <w:szCs w:val="32"/>
    </w:rPr>
  </w:style>
  <w:style w:type="paragraph" w:styleId="39">
    <w:name w:val="List Number 5"/>
    <w:basedOn w:val="1"/>
    <w:qFormat/>
    <w:uiPriority w:val="0"/>
    <w:pPr>
      <w:numPr>
        <w:ilvl w:val="0"/>
        <w:numId w:val="4"/>
      </w:numPr>
      <w:jc w:val="center"/>
    </w:pPr>
    <w:rPr>
      <w:b/>
      <w:sz w:val="28"/>
    </w:rPr>
  </w:style>
  <w:style w:type="paragraph" w:styleId="40">
    <w:name w:val="List"/>
    <w:basedOn w:val="1"/>
    <w:qFormat/>
    <w:uiPriority w:val="0"/>
    <w:pPr>
      <w:numPr>
        <w:ilvl w:val="0"/>
        <w:numId w:val="5"/>
      </w:numPr>
      <w:spacing w:before="120"/>
      <w:jc w:val="center"/>
    </w:pPr>
    <w:rPr>
      <w:b/>
      <w:sz w:val="28"/>
    </w:rPr>
  </w:style>
  <w:style w:type="paragraph" w:styleId="41">
    <w:name w:val="toc 6"/>
    <w:basedOn w:val="1"/>
    <w:next w:val="1"/>
    <w:qFormat/>
    <w:uiPriority w:val="39"/>
    <w:pPr>
      <w:ind w:left="1200"/>
      <w:jc w:val="left"/>
    </w:pPr>
    <w:rPr>
      <w:rFonts w:ascii="等线" w:eastAsia="等线"/>
      <w:sz w:val="18"/>
      <w:szCs w:val="18"/>
    </w:rPr>
  </w:style>
  <w:style w:type="paragraph" w:styleId="42">
    <w:name w:val="Body Text Indent 3"/>
    <w:basedOn w:val="1"/>
    <w:qFormat/>
    <w:uiPriority w:val="0"/>
    <w:pPr>
      <w:snapToGrid w:val="0"/>
      <w:spacing w:line="440" w:lineRule="atLeast"/>
    </w:pPr>
    <w:rPr>
      <w:rFonts w:eastAsia="仿宋_GB2312"/>
      <w:sz w:val="28"/>
    </w:rPr>
  </w:style>
  <w:style w:type="paragraph" w:styleId="43">
    <w:name w:val="table of figures"/>
    <w:basedOn w:val="1"/>
    <w:next w:val="1"/>
    <w:qFormat/>
    <w:uiPriority w:val="0"/>
    <w:pPr>
      <w:ind w:left="200" w:leftChars="200" w:hanging="200" w:hangingChars="200"/>
    </w:pPr>
  </w:style>
  <w:style w:type="paragraph" w:styleId="44">
    <w:name w:val="toc 2"/>
    <w:basedOn w:val="1"/>
    <w:next w:val="1"/>
    <w:qFormat/>
    <w:uiPriority w:val="39"/>
    <w:pPr>
      <w:ind w:left="240"/>
      <w:jc w:val="left"/>
    </w:pPr>
    <w:rPr>
      <w:rFonts w:ascii="等线" w:eastAsia="等线"/>
      <w:smallCaps/>
      <w:sz w:val="20"/>
      <w:szCs w:val="20"/>
    </w:rPr>
  </w:style>
  <w:style w:type="paragraph" w:styleId="45">
    <w:name w:val="toc 9"/>
    <w:basedOn w:val="1"/>
    <w:next w:val="1"/>
    <w:qFormat/>
    <w:uiPriority w:val="39"/>
    <w:pPr>
      <w:ind w:left="1920"/>
      <w:jc w:val="left"/>
    </w:pPr>
    <w:rPr>
      <w:rFonts w:ascii="等线" w:eastAsia="等线"/>
      <w:sz w:val="18"/>
      <w:szCs w:val="18"/>
    </w:rPr>
  </w:style>
  <w:style w:type="paragraph" w:styleId="46">
    <w:name w:val="Body Text 2"/>
    <w:basedOn w:val="1"/>
    <w:qFormat/>
    <w:uiPriority w:val="0"/>
    <w:rPr>
      <w:rFonts w:eastAsia="仿宋_GB2312"/>
    </w:rPr>
  </w:style>
  <w:style w:type="paragraph" w:styleId="4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48">
    <w:name w:val="Normal (Web)"/>
    <w:basedOn w:val="1"/>
    <w:qFormat/>
    <w:uiPriority w:val="99"/>
    <w:pPr>
      <w:widowControl/>
      <w:spacing w:before="100" w:beforeAutospacing="1" w:after="100" w:afterAutospacing="1"/>
      <w:jc w:val="left"/>
    </w:pPr>
    <w:rPr>
      <w:rFonts w:ascii="宋体" w:hAnsi="宋体"/>
      <w:color w:val="000000"/>
      <w:kern w:val="0"/>
    </w:rPr>
  </w:style>
  <w:style w:type="paragraph" w:styleId="49">
    <w:name w:val="Title"/>
    <w:basedOn w:val="1"/>
    <w:qFormat/>
    <w:uiPriority w:val="0"/>
    <w:pPr>
      <w:numPr>
        <w:ilvl w:val="0"/>
        <w:numId w:val="6"/>
      </w:numPr>
      <w:tabs>
        <w:tab w:val="clear" w:pos="720"/>
      </w:tabs>
      <w:spacing w:line="500" w:lineRule="atLeast"/>
      <w:jc w:val="center"/>
      <w:outlineLvl w:val="0"/>
    </w:pPr>
    <w:rPr>
      <w:rFonts w:ascii="Arial" w:hAnsi="Arial" w:eastAsia="黑体"/>
      <w:sz w:val="36"/>
    </w:rPr>
  </w:style>
  <w:style w:type="paragraph" w:styleId="50">
    <w:name w:val="annotation subject"/>
    <w:basedOn w:val="17"/>
    <w:next w:val="17"/>
    <w:semiHidden/>
    <w:qFormat/>
    <w:uiPriority w:val="0"/>
    <w:rPr>
      <w:b/>
      <w:bCs/>
    </w:rPr>
  </w:style>
  <w:style w:type="paragraph" w:styleId="51">
    <w:name w:val="Body Text First Indent"/>
    <w:basedOn w:val="19"/>
    <w:qFormat/>
    <w:uiPriority w:val="0"/>
    <w:pPr>
      <w:ind w:firstLine="567"/>
      <w:jc w:val="both"/>
    </w:pPr>
    <w:rPr>
      <w:sz w:val="28"/>
    </w:rPr>
  </w:style>
  <w:style w:type="paragraph" w:styleId="52">
    <w:name w:val="Body Text First Indent 2"/>
    <w:basedOn w:val="20"/>
    <w:link w:val="325"/>
    <w:qFormat/>
    <w:uiPriority w:val="0"/>
    <w:pPr>
      <w:spacing w:after="120"/>
      <w:ind w:left="420" w:leftChars="200" w:firstLine="420"/>
    </w:pPr>
    <w:rPr>
      <w:sz w:val="21"/>
      <w:szCs w:val="24"/>
    </w:rPr>
  </w:style>
  <w:style w:type="table" w:styleId="54">
    <w:name w:val="Table Grid"/>
    <w:basedOn w:val="5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5">
    <w:name w:val="Table Grid 1"/>
    <w:basedOn w:val="53"/>
    <w:qFormat/>
    <w:uiPriority w:val="0"/>
    <w:pPr>
      <w:widowControl w:val="0"/>
      <w:jc w:val="center"/>
    </w:pPr>
    <w:rPr>
      <w:sz w:val="21"/>
    </w:r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
    <w:tcPr>
      <w:shd w:val="clear" w:color="auto" w:fill="auto"/>
      <w:vAlign w:val="center"/>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character" w:styleId="57">
    <w:name w:val="Strong"/>
    <w:qFormat/>
    <w:uiPriority w:val="0"/>
    <w:rPr>
      <w:rFonts w:eastAsia="仿宋"/>
      <w:bCs/>
      <w:sz w:val="21"/>
      <w:vertAlign w:val="baseline"/>
    </w:rPr>
  </w:style>
  <w:style w:type="character" w:styleId="58">
    <w:name w:val="page number"/>
    <w:basedOn w:val="56"/>
    <w:qFormat/>
    <w:uiPriority w:val="0"/>
  </w:style>
  <w:style w:type="character" w:styleId="59">
    <w:name w:val="FollowedHyperlink"/>
    <w:qFormat/>
    <w:uiPriority w:val="0"/>
    <w:rPr>
      <w:color w:val="800080"/>
      <w:u w:val="single"/>
    </w:rPr>
  </w:style>
  <w:style w:type="character" w:styleId="60">
    <w:name w:val="Emphasis"/>
    <w:basedOn w:val="56"/>
    <w:qFormat/>
    <w:uiPriority w:val="0"/>
    <w:rPr>
      <w:i/>
      <w:iCs/>
    </w:rPr>
  </w:style>
  <w:style w:type="character" w:styleId="61">
    <w:name w:val="Hyperlink"/>
    <w:qFormat/>
    <w:uiPriority w:val="99"/>
    <w:rPr>
      <w:rFonts w:ascii="Times New Roman" w:hAnsi="Times New Roman" w:eastAsia="宋体"/>
      <w:color w:val="000000"/>
      <w:spacing w:val="0"/>
      <w:sz w:val="28"/>
      <w:u w:val="none"/>
    </w:rPr>
  </w:style>
  <w:style w:type="character" w:styleId="62">
    <w:name w:val="annotation reference"/>
    <w:semiHidden/>
    <w:qFormat/>
    <w:uiPriority w:val="0"/>
    <w:rPr>
      <w:sz w:val="21"/>
      <w:szCs w:val="21"/>
    </w:rPr>
  </w:style>
  <w:style w:type="character" w:styleId="63">
    <w:name w:val="footnote reference"/>
    <w:semiHidden/>
    <w:qFormat/>
    <w:uiPriority w:val="0"/>
    <w:rPr>
      <w:vertAlign w:val="superscript"/>
    </w:rPr>
  </w:style>
  <w:style w:type="character" w:customStyle="1" w:styleId="64">
    <w:name w:val="普通文字 Char Char Char1"/>
    <w:qFormat/>
    <w:uiPriority w:val="0"/>
    <w:rPr>
      <w:rFonts w:ascii="宋体" w:hAnsi="Courier New" w:eastAsia="宋体"/>
      <w:kern w:val="2"/>
      <w:sz w:val="21"/>
      <w:lang w:val="en-US" w:eastAsia="zh-CN" w:bidi="ar-SA"/>
    </w:rPr>
  </w:style>
  <w:style w:type="character" w:customStyle="1" w:styleId="65">
    <w:name w:val="批注主题 Char Char"/>
    <w:link w:val="66"/>
    <w:qFormat/>
    <w:uiPriority w:val="0"/>
    <w:rPr>
      <w:b/>
      <w:bCs/>
      <w:kern w:val="2"/>
      <w:sz w:val="21"/>
      <w:lang w:bidi="ar-SA"/>
    </w:rPr>
  </w:style>
  <w:style w:type="paragraph" w:customStyle="1" w:styleId="66">
    <w:name w:val="批注主题1"/>
    <w:basedOn w:val="17"/>
    <w:next w:val="17"/>
    <w:link w:val="65"/>
    <w:qFormat/>
    <w:uiPriority w:val="0"/>
    <w:rPr>
      <w:rFonts w:eastAsia="Times New Roman"/>
      <w:b/>
      <w:bCs/>
      <w:szCs w:val="20"/>
    </w:rPr>
  </w:style>
  <w:style w:type="character" w:customStyle="1" w:styleId="67">
    <w:name w:val="王正文 Char Char"/>
    <w:qFormat/>
    <w:uiPriority w:val="0"/>
    <w:rPr>
      <w:rFonts w:eastAsia="宋体"/>
      <w:color w:val="000000"/>
      <w:kern w:val="2"/>
      <w:sz w:val="24"/>
      <w:lang w:val="en-US" w:eastAsia="zh-CN" w:bidi="ar-SA"/>
    </w:rPr>
  </w:style>
  <w:style w:type="character" w:customStyle="1" w:styleId="68">
    <w:name w:val="l121"/>
    <w:qFormat/>
    <w:uiPriority w:val="0"/>
  </w:style>
  <w:style w:type="character" w:customStyle="1" w:styleId="69">
    <w:name w:val="纯文本 Char1 Char"/>
    <w:qFormat/>
    <w:uiPriority w:val="0"/>
    <w:rPr>
      <w:rFonts w:ascii="宋体" w:hAnsi="Courier New" w:eastAsia="宋体"/>
      <w:kern w:val="2"/>
      <w:sz w:val="21"/>
      <w:lang w:val="en-US" w:eastAsia="zh-CN" w:bidi="ar-SA"/>
    </w:rPr>
  </w:style>
  <w:style w:type="character" w:customStyle="1" w:styleId="70">
    <w:name w:val="red"/>
    <w:basedOn w:val="56"/>
    <w:qFormat/>
    <w:uiPriority w:val="0"/>
  </w:style>
  <w:style w:type="character" w:customStyle="1" w:styleId="71">
    <w:name w:val="l12"/>
    <w:basedOn w:val="56"/>
    <w:qFormat/>
    <w:uiPriority w:val="0"/>
  </w:style>
  <w:style w:type="character" w:customStyle="1" w:styleId="72">
    <w:name w:val="ca-4"/>
    <w:basedOn w:val="56"/>
    <w:qFormat/>
    <w:uiPriority w:val="0"/>
  </w:style>
  <w:style w:type="character" w:customStyle="1" w:styleId="73">
    <w:name w:val="正文缩进 字符"/>
    <w:link w:val="7"/>
    <w:qFormat/>
    <w:uiPriority w:val="0"/>
    <w:rPr>
      <w:rFonts w:hAnsi="宋体" w:eastAsia="宋体"/>
      <w:b/>
      <w:color w:val="000000"/>
      <w:kern w:val="2"/>
      <w:sz w:val="21"/>
      <w:szCs w:val="21"/>
      <w:lang w:val="en-US" w:eastAsia="zh-CN" w:bidi="ar-SA"/>
    </w:rPr>
  </w:style>
  <w:style w:type="character" w:customStyle="1" w:styleId="74">
    <w:name w:val="报告书正文 Char"/>
    <w:link w:val="75"/>
    <w:qFormat/>
    <w:uiPriority w:val="0"/>
    <w:rPr>
      <w:rFonts w:ascii="Arial" w:hAnsi="Arial" w:eastAsia="宋体"/>
      <w:bCs/>
      <w:kern w:val="2"/>
      <w:sz w:val="24"/>
      <w:szCs w:val="28"/>
      <w:lang w:val="en-US" w:eastAsia="zh-CN" w:bidi="ar-SA"/>
    </w:rPr>
  </w:style>
  <w:style w:type="paragraph" w:customStyle="1" w:styleId="75">
    <w:name w:val="报告书正文"/>
    <w:basedOn w:val="1"/>
    <w:link w:val="74"/>
    <w:qFormat/>
    <w:uiPriority w:val="0"/>
    <w:pPr>
      <w:keepNext/>
      <w:keepLines/>
      <w:outlineLvl w:val="3"/>
    </w:pPr>
    <w:rPr>
      <w:rFonts w:ascii="Arial" w:hAnsi="Arial"/>
      <w:bCs/>
      <w:szCs w:val="28"/>
    </w:rPr>
  </w:style>
  <w:style w:type="character" w:customStyle="1" w:styleId="76">
    <w:name w:val="c正文 Char Char"/>
    <w:qFormat/>
    <w:uiPriority w:val="0"/>
    <w:rPr>
      <w:color w:val="000000"/>
      <w:kern w:val="44"/>
      <w:sz w:val="24"/>
      <w:lang w:val="en-US" w:eastAsia="zh-CN" w:bidi="ar-SA"/>
    </w:rPr>
  </w:style>
  <w:style w:type="character" w:customStyle="1" w:styleId="77">
    <w:name w:val="font61"/>
    <w:qFormat/>
    <w:uiPriority w:val="0"/>
    <w:rPr>
      <w:rFonts w:hint="default" w:ascii="Times New Roman" w:hAnsi="Times New Roman" w:cs="Times New Roman"/>
      <w:color w:val="000000"/>
      <w:sz w:val="24"/>
      <w:szCs w:val="24"/>
      <w:u w:val="none"/>
    </w:rPr>
  </w:style>
  <w:style w:type="character" w:customStyle="1" w:styleId="78">
    <w:name w:val="页眉 字符"/>
    <w:link w:val="33"/>
    <w:qFormat/>
    <w:uiPriority w:val="0"/>
    <w:rPr>
      <w:rFonts w:eastAsia="宋体"/>
      <w:kern w:val="2"/>
      <w:sz w:val="18"/>
      <w:szCs w:val="18"/>
      <w:lang w:val="en-US" w:eastAsia="zh-CN" w:bidi="ar-SA"/>
    </w:rPr>
  </w:style>
  <w:style w:type="character" w:customStyle="1" w:styleId="79">
    <w:name w:val="表蕊居中 Char"/>
    <w:link w:val="80"/>
    <w:qFormat/>
    <w:uiPriority w:val="0"/>
    <w:rPr>
      <w:spacing w:val="-6"/>
      <w:kern w:val="2"/>
      <w:sz w:val="21"/>
      <w:szCs w:val="21"/>
    </w:rPr>
  </w:style>
  <w:style w:type="paragraph" w:customStyle="1" w:styleId="80">
    <w:name w:val="表蕊居中"/>
    <w:basedOn w:val="1"/>
    <w:link w:val="79"/>
    <w:qFormat/>
    <w:uiPriority w:val="0"/>
    <w:pPr>
      <w:spacing w:line="300" w:lineRule="exact"/>
      <w:jc w:val="center"/>
    </w:pPr>
    <w:rPr>
      <w:spacing w:val="-6"/>
      <w:szCs w:val="21"/>
    </w:rPr>
  </w:style>
  <w:style w:type="character" w:customStyle="1" w:styleId="81">
    <w:name w:val="标题 3 字符"/>
    <w:link w:val="4"/>
    <w:qFormat/>
    <w:uiPriority w:val="0"/>
    <w:rPr>
      <w:rFonts w:eastAsia="黑体" w:cstheme="minorBidi"/>
      <w:kern w:val="2"/>
      <w:sz w:val="28"/>
      <w:szCs w:val="28"/>
    </w:rPr>
  </w:style>
  <w:style w:type="character" w:customStyle="1" w:styleId="82">
    <w:name w:val="l9"/>
    <w:basedOn w:val="56"/>
    <w:qFormat/>
    <w:uiPriority w:val="0"/>
  </w:style>
  <w:style w:type="character" w:customStyle="1" w:styleId="83">
    <w:name w:val="样式 自动设置 Char"/>
    <w:link w:val="84"/>
    <w:qFormat/>
    <w:uiPriority w:val="0"/>
    <w:rPr>
      <w:rFonts w:eastAsia="宋体" w:cs="宋体"/>
      <w:kern w:val="2"/>
      <w:sz w:val="24"/>
      <w:szCs w:val="24"/>
      <w:lang w:val="en-US" w:eastAsia="zh-CN" w:bidi="ar-SA"/>
    </w:rPr>
  </w:style>
  <w:style w:type="paragraph" w:customStyle="1" w:styleId="84">
    <w:name w:val="样式 自动设置"/>
    <w:basedOn w:val="1"/>
    <w:link w:val="83"/>
    <w:qFormat/>
    <w:uiPriority w:val="0"/>
    <w:pPr>
      <w:autoSpaceDE w:val="0"/>
      <w:autoSpaceDN w:val="0"/>
      <w:adjustRightInd w:val="0"/>
      <w:snapToGrid w:val="0"/>
      <w:spacing w:before="50" w:beforeLines="50" w:line="288" w:lineRule="auto"/>
    </w:pPr>
    <w:rPr>
      <w:rFonts w:cs="宋体"/>
    </w:rPr>
  </w:style>
  <w:style w:type="character" w:customStyle="1" w:styleId="85">
    <w:name w:val="王正文28磅 Char"/>
    <w:link w:val="86"/>
    <w:qFormat/>
    <w:uiPriority w:val="0"/>
    <w:rPr>
      <w:rFonts w:eastAsia="宋体"/>
      <w:kern w:val="44"/>
      <w:sz w:val="24"/>
      <w:lang w:val="en-US" w:eastAsia="zh-CN" w:bidi="ar-SA"/>
    </w:rPr>
  </w:style>
  <w:style w:type="paragraph" w:customStyle="1" w:styleId="86">
    <w:name w:val="王正文28磅"/>
    <w:basedOn w:val="1"/>
    <w:link w:val="85"/>
    <w:qFormat/>
    <w:uiPriority w:val="0"/>
    <w:pPr>
      <w:widowControl/>
      <w:adjustRightInd w:val="0"/>
      <w:snapToGrid w:val="0"/>
      <w:spacing w:line="560" w:lineRule="exact"/>
      <w:jc w:val="left"/>
    </w:pPr>
    <w:rPr>
      <w:kern w:val="44"/>
      <w:szCs w:val="20"/>
    </w:rPr>
  </w:style>
  <w:style w:type="character" w:customStyle="1" w:styleId="87">
    <w:name w:val="font41"/>
    <w:qFormat/>
    <w:uiPriority w:val="0"/>
    <w:rPr>
      <w:rFonts w:hint="eastAsia" w:ascii="宋体" w:hAnsi="宋体" w:eastAsia="宋体" w:cs="宋体"/>
      <w:b/>
      <w:color w:val="000000"/>
      <w:sz w:val="20"/>
      <w:szCs w:val="20"/>
      <w:u w:val="none"/>
    </w:rPr>
  </w:style>
  <w:style w:type="character" w:customStyle="1" w:styleId="88">
    <w:name w:val="rckf"/>
    <w:basedOn w:val="56"/>
    <w:qFormat/>
    <w:uiPriority w:val="0"/>
  </w:style>
  <w:style w:type="character" w:customStyle="1" w:styleId="89">
    <w:name w:val="正文1 Char"/>
    <w:link w:val="90"/>
    <w:qFormat/>
    <w:uiPriority w:val="0"/>
    <w:rPr>
      <w:rFonts w:ascii="宋体" w:hAnsi="宋体" w:eastAsia="宋体" w:cs="宋体"/>
      <w:color w:val="000000"/>
      <w:kern w:val="2"/>
      <w:sz w:val="28"/>
      <w:lang w:val="en-US" w:eastAsia="zh-CN" w:bidi="ar-SA"/>
    </w:rPr>
  </w:style>
  <w:style w:type="paragraph" w:customStyle="1" w:styleId="90">
    <w:name w:val="正文1"/>
    <w:basedOn w:val="1"/>
    <w:link w:val="89"/>
    <w:qFormat/>
    <w:uiPriority w:val="0"/>
    <w:pPr>
      <w:spacing w:line="520" w:lineRule="exact"/>
    </w:pPr>
    <w:rPr>
      <w:rFonts w:ascii="宋体" w:hAnsi="宋体" w:cs="宋体"/>
      <w:color w:val="000000"/>
      <w:sz w:val="28"/>
      <w:szCs w:val="20"/>
    </w:rPr>
  </w:style>
  <w:style w:type="character" w:customStyle="1" w:styleId="91">
    <w:name w:val="c正文 Char"/>
    <w:link w:val="92"/>
    <w:qFormat/>
    <w:uiPriority w:val="0"/>
    <w:rPr>
      <w:color w:val="000000"/>
      <w:kern w:val="44"/>
      <w:sz w:val="24"/>
      <w:lang w:val="en-US" w:eastAsia="zh-CN" w:bidi="ar-SA"/>
    </w:rPr>
  </w:style>
  <w:style w:type="paragraph" w:customStyle="1" w:styleId="92">
    <w:name w:val="c正文"/>
    <w:link w:val="91"/>
    <w:qFormat/>
    <w:uiPriority w:val="0"/>
    <w:pPr>
      <w:adjustRightInd w:val="0"/>
      <w:snapToGrid w:val="0"/>
      <w:spacing w:line="500" w:lineRule="exact"/>
      <w:ind w:firstLine="200" w:firstLineChars="200"/>
    </w:pPr>
    <w:rPr>
      <w:rFonts w:ascii="Times New Roman" w:hAnsi="Times New Roman" w:eastAsia="宋体" w:cs="Times New Roman"/>
      <w:color w:val="000000"/>
      <w:kern w:val="44"/>
      <w:sz w:val="24"/>
      <w:lang w:val="en-US" w:eastAsia="zh-CN" w:bidi="ar-SA"/>
    </w:rPr>
  </w:style>
  <w:style w:type="character" w:customStyle="1" w:styleId="93">
    <w:name w:val="正文缩进 Char1"/>
    <w:qFormat/>
    <w:uiPriority w:val="0"/>
    <w:rPr>
      <w:rFonts w:ascii="Arial" w:hAnsi="Arial" w:eastAsia="宋体" w:cs="Arial"/>
      <w:spacing w:val="10"/>
      <w:kern w:val="2"/>
      <w:sz w:val="24"/>
      <w:lang w:val="en-US" w:eastAsia="zh-CN" w:bidi="ar-SA"/>
    </w:rPr>
  </w:style>
  <w:style w:type="character" w:customStyle="1" w:styleId="94">
    <w:name w:val="a"/>
    <w:basedOn w:val="56"/>
    <w:qFormat/>
    <w:uiPriority w:val="0"/>
  </w:style>
  <w:style w:type="character" w:customStyle="1" w:styleId="95">
    <w:name w:val="xmj1"/>
    <w:qFormat/>
    <w:uiPriority w:val="0"/>
    <w:rPr>
      <w:sz w:val="18"/>
      <w:szCs w:val="18"/>
      <w:u w:val="none"/>
    </w:rPr>
  </w:style>
  <w:style w:type="character" w:customStyle="1" w:styleId="96">
    <w:name w:val="正文小四首缩1.3行距 Char"/>
    <w:link w:val="97"/>
    <w:qFormat/>
    <w:uiPriority w:val="0"/>
    <w:rPr>
      <w:rFonts w:eastAsia="宋体"/>
      <w:kern w:val="2"/>
      <w:sz w:val="24"/>
      <w:szCs w:val="24"/>
      <w:lang w:val="en-US" w:eastAsia="zh-CN" w:bidi="ar-SA"/>
    </w:rPr>
  </w:style>
  <w:style w:type="paragraph" w:customStyle="1" w:styleId="97">
    <w:name w:val="正文小四首缩1.3行距"/>
    <w:basedOn w:val="1"/>
    <w:link w:val="96"/>
    <w:qFormat/>
    <w:uiPriority w:val="0"/>
    <w:pPr>
      <w:spacing w:line="312" w:lineRule="auto"/>
      <w:ind w:firstLine="420"/>
    </w:pPr>
  </w:style>
  <w:style w:type="character" w:customStyle="1" w:styleId="98">
    <w:name w:val="di1"/>
    <w:qFormat/>
    <w:uiPriority w:val="0"/>
    <w:rPr>
      <w:rFonts w:ascii="宋体" w:hAnsi="宋体" w:cs="宋体"/>
      <w:sz w:val="18"/>
      <w:szCs w:val="18"/>
    </w:rPr>
  </w:style>
  <w:style w:type="character" w:customStyle="1" w:styleId="99">
    <w:name w:val="王正文 Char"/>
    <w:link w:val="100"/>
    <w:qFormat/>
    <w:uiPriority w:val="0"/>
    <w:rPr>
      <w:rFonts w:eastAsia="宋体"/>
      <w:color w:val="000000"/>
      <w:kern w:val="2"/>
      <w:sz w:val="24"/>
      <w:lang w:val="en-US" w:eastAsia="zh-CN" w:bidi="ar-SA"/>
    </w:rPr>
  </w:style>
  <w:style w:type="paragraph" w:customStyle="1" w:styleId="100">
    <w:name w:val="王正文"/>
    <w:basedOn w:val="20"/>
    <w:link w:val="99"/>
    <w:qFormat/>
    <w:uiPriority w:val="0"/>
    <w:pPr>
      <w:adjustRightInd w:val="0"/>
      <w:snapToGrid w:val="0"/>
      <w:spacing w:line="560" w:lineRule="exact"/>
      <w:ind w:firstLine="200"/>
      <w:jc w:val="left"/>
    </w:pPr>
    <w:rPr>
      <w:color w:val="000000"/>
      <w:sz w:val="24"/>
    </w:rPr>
  </w:style>
  <w:style w:type="character" w:customStyle="1" w:styleId="101">
    <w:name w:val="标题 1 字符"/>
    <w:link w:val="2"/>
    <w:qFormat/>
    <w:uiPriority w:val="0"/>
    <w:rPr>
      <w:b/>
      <w:kern w:val="44"/>
      <w:sz w:val="36"/>
      <w:szCs w:val="36"/>
    </w:rPr>
  </w:style>
  <w:style w:type="character" w:customStyle="1" w:styleId="102">
    <w:name w:val="11v1"/>
    <w:qFormat/>
    <w:uiPriority w:val="0"/>
    <w:rPr>
      <w:rFonts w:hint="eastAsia" w:ascii="宋体" w:hAnsi="宋体" w:eastAsia="宋体"/>
      <w:sz w:val="22"/>
      <w:szCs w:val="22"/>
    </w:rPr>
  </w:style>
  <w:style w:type="character" w:customStyle="1" w:styleId="103">
    <w:name w:val="标题 2 字符"/>
    <w:link w:val="3"/>
    <w:qFormat/>
    <w:uiPriority w:val="0"/>
    <w:rPr>
      <w:rFonts w:eastAsia="黑体"/>
      <w:kern w:val="2"/>
      <w:sz w:val="30"/>
      <w:szCs w:val="32"/>
    </w:rPr>
  </w:style>
  <w:style w:type="character" w:customStyle="1" w:styleId="104">
    <w:name w:val="font11"/>
    <w:qFormat/>
    <w:uiPriority w:val="0"/>
    <w:rPr>
      <w:rFonts w:hint="eastAsia" w:ascii="宋体" w:hAnsi="宋体" w:eastAsia="宋体" w:cs="宋体"/>
      <w:color w:val="333333"/>
      <w:sz w:val="21"/>
      <w:szCs w:val="21"/>
      <w:u w:val="none"/>
    </w:rPr>
  </w:style>
  <w:style w:type="character" w:customStyle="1" w:styleId="105">
    <w:name w:val="li 2 Char"/>
    <w:link w:val="106"/>
    <w:qFormat/>
    <w:uiPriority w:val="0"/>
    <w:rPr>
      <w:rFonts w:ascii="宋体" w:hAnsi="宋体" w:eastAsia="黑体" w:cs="宋体"/>
      <w:b/>
      <w:bCs/>
      <w:kern w:val="44"/>
      <w:sz w:val="30"/>
      <w:szCs w:val="30"/>
      <w:lang w:val="en-US" w:eastAsia="zh-CN" w:bidi="ar-SA"/>
    </w:rPr>
  </w:style>
  <w:style w:type="paragraph" w:customStyle="1" w:styleId="106">
    <w:name w:val="li 2"/>
    <w:basedOn w:val="2"/>
    <w:next w:val="2"/>
    <w:link w:val="105"/>
    <w:qFormat/>
    <w:uiPriority w:val="0"/>
    <w:pPr>
      <w:spacing w:before="60" w:beforeLines="0" w:after="60" w:afterLines="0" w:line="240" w:lineRule="auto"/>
      <w:jc w:val="both"/>
      <w:outlineLvl w:val="1"/>
    </w:pPr>
    <w:rPr>
      <w:rFonts w:ascii="宋体" w:hAnsi="宋体" w:eastAsia="黑体" w:cs="宋体"/>
      <w:bCs/>
      <w:sz w:val="30"/>
      <w:szCs w:val="30"/>
    </w:rPr>
  </w:style>
  <w:style w:type="character" w:customStyle="1" w:styleId="107">
    <w:name w:val="表蕊左对齐 Char Char"/>
    <w:link w:val="108"/>
    <w:qFormat/>
    <w:uiPriority w:val="0"/>
    <w:rPr>
      <w:spacing w:val="-6"/>
      <w:kern w:val="2"/>
      <w:sz w:val="21"/>
      <w:szCs w:val="21"/>
    </w:rPr>
  </w:style>
  <w:style w:type="paragraph" w:customStyle="1" w:styleId="108">
    <w:name w:val="表蕊左对齐"/>
    <w:basedOn w:val="80"/>
    <w:link w:val="107"/>
    <w:qFormat/>
    <w:uiPriority w:val="0"/>
    <w:pPr>
      <w:ind w:left="57"/>
      <w:jc w:val="left"/>
    </w:pPr>
  </w:style>
  <w:style w:type="character" w:customStyle="1" w:styleId="109">
    <w:name w:val="正文文本 (11)_"/>
    <w:link w:val="110"/>
    <w:qFormat/>
    <w:uiPriority w:val="0"/>
    <w:rPr>
      <w:b/>
      <w:bCs/>
      <w:sz w:val="15"/>
      <w:szCs w:val="15"/>
      <w:shd w:val="clear" w:color="auto" w:fill="FFFFFF"/>
      <w:lang w:bidi="ar-SA"/>
    </w:rPr>
  </w:style>
  <w:style w:type="paragraph" w:customStyle="1" w:styleId="110">
    <w:name w:val="正文文本 (11)"/>
    <w:basedOn w:val="1"/>
    <w:link w:val="109"/>
    <w:qFormat/>
    <w:uiPriority w:val="0"/>
    <w:pPr>
      <w:shd w:val="clear" w:color="auto" w:fill="FFFFFF"/>
      <w:spacing w:line="278" w:lineRule="exact"/>
      <w:jc w:val="distribute"/>
    </w:pPr>
    <w:rPr>
      <w:rFonts w:eastAsia="Times New Roman"/>
      <w:b/>
      <w:bCs/>
      <w:kern w:val="0"/>
      <w:sz w:val="15"/>
      <w:szCs w:val="15"/>
      <w:shd w:val="clear" w:color="auto" w:fill="FFFFFF"/>
    </w:rPr>
  </w:style>
  <w:style w:type="character" w:customStyle="1" w:styleId="111">
    <w:name w:val="纯文本 字符"/>
    <w:link w:val="26"/>
    <w:qFormat/>
    <w:uiPriority w:val="0"/>
    <w:rPr>
      <w:rFonts w:ascii="宋体" w:hAnsi="Courier New" w:eastAsia="宋体"/>
      <w:kern w:val="2"/>
      <w:sz w:val="21"/>
      <w:szCs w:val="24"/>
      <w:lang w:val="en-US" w:eastAsia="zh-CN" w:bidi="ar-SA"/>
    </w:rPr>
  </w:style>
  <w:style w:type="character" w:customStyle="1" w:styleId="112">
    <w:name w:val="表格文字 Char"/>
    <w:link w:val="113"/>
    <w:qFormat/>
    <w:uiPriority w:val="0"/>
    <w:rPr>
      <w:rFonts w:eastAsia="宋体"/>
      <w:bCs/>
      <w:color w:val="000000"/>
      <w:kern w:val="2"/>
      <w:sz w:val="21"/>
      <w:szCs w:val="21"/>
      <w:lang w:val="en-US" w:eastAsia="zh-CN" w:bidi="ar-SA"/>
    </w:rPr>
  </w:style>
  <w:style w:type="paragraph" w:customStyle="1" w:styleId="113">
    <w:name w:val="表格文字"/>
    <w:basedOn w:val="26"/>
    <w:link w:val="112"/>
    <w:qFormat/>
    <w:uiPriority w:val="0"/>
    <w:pPr>
      <w:adjustRightInd w:val="0"/>
      <w:spacing w:before="62" w:beforeLines="20" w:after="62" w:afterLines="20" w:line="240" w:lineRule="atLeast"/>
      <w:ind w:left="-105"/>
      <w:jc w:val="center"/>
    </w:pPr>
    <w:rPr>
      <w:rFonts w:ascii="Times New Roman" w:hAnsi="Times New Roman"/>
      <w:bCs/>
      <w:color w:val="000000"/>
      <w:szCs w:val="21"/>
    </w:rPr>
  </w:style>
  <w:style w:type="character" w:customStyle="1" w:styleId="114">
    <w:name w:val="Char Char1"/>
    <w:qFormat/>
    <w:uiPriority w:val="0"/>
    <w:rPr>
      <w:rFonts w:ascii="宋体" w:hAnsi="Courier New" w:eastAsia="宋体"/>
      <w:kern w:val="2"/>
      <w:sz w:val="21"/>
      <w:szCs w:val="24"/>
      <w:lang w:val="en-US" w:eastAsia="zh-CN" w:bidi="ar-SA"/>
    </w:rPr>
  </w:style>
  <w:style w:type="character" w:customStyle="1" w:styleId="115">
    <w:name w:val="标题 2 Char Char Char Char"/>
    <w:qFormat/>
    <w:uiPriority w:val="0"/>
    <w:rPr>
      <w:rFonts w:ascii="Arial" w:hAnsi="Arial" w:eastAsia="黑体"/>
      <w:b/>
      <w:bCs/>
      <w:kern w:val="2"/>
      <w:sz w:val="32"/>
      <w:szCs w:val="32"/>
      <w:lang w:val="en-US" w:eastAsia="zh-CN" w:bidi="ar-SA"/>
    </w:rPr>
  </w:style>
  <w:style w:type="character" w:customStyle="1" w:styleId="116">
    <w:name w:val="font81"/>
    <w:qFormat/>
    <w:uiPriority w:val="0"/>
    <w:rPr>
      <w:rFonts w:hint="default" w:ascii="Times New Roman" w:hAnsi="Times New Roman" w:cs="Times New Roman"/>
      <w:color w:val="000000"/>
      <w:sz w:val="21"/>
      <w:szCs w:val="21"/>
      <w:u w:val="none"/>
    </w:rPr>
  </w:style>
  <w:style w:type="character" w:customStyle="1" w:styleId="117">
    <w:name w:val="font21"/>
    <w:qFormat/>
    <w:uiPriority w:val="0"/>
    <w:rPr>
      <w:rFonts w:hint="eastAsia" w:ascii="宋体" w:hAnsi="宋体" w:eastAsia="宋体" w:cs="宋体"/>
      <w:color w:val="000000"/>
      <w:sz w:val="24"/>
      <w:szCs w:val="24"/>
      <w:u w:val="none"/>
    </w:rPr>
  </w:style>
  <w:style w:type="paragraph" w:customStyle="1" w:styleId="118">
    <w:name w:val="Char Char2 Char Char Char Char Char Char Char Char"/>
    <w:basedOn w:val="1"/>
    <w:qFormat/>
    <w:uiPriority w:val="0"/>
    <w:pPr>
      <w:spacing w:line="560" w:lineRule="exact"/>
    </w:pPr>
    <w:rPr>
      <w:szCs w:val="20"/>
    </w:rPr>
  </w:style>
  <w:style w:type="paragraph" w:customStyle="1" w:styleId="119">
    <w:name w:val="标题03"/>
    <w:basedOn w:val="1"/>
    <w:qFormat/>
    <w:uiPriority w:val="0"/>
    <w:pPr>
      <w:tabs>
        <w:tab w:val="left" w:pos="709"/>
        <w:tab w:val="left" w:pos="860"/>
        <w:tab w:val="left" w:pos="1075"/>
      </w:tabs>
      <w:snapToGrid w:val="0"/>
      <w:spacing w:line="440" w:lineRule="atLeast"/>
      <w:ind w:left="709" w:hanging="709"/>
      <w:outlineLvl w:val="2"/>
    </w:pPr>
    <w:rPr>
      <w:b/>
      <w:sz w:val="26"/>
      <w:szCs w:val="20"/>
    </w:rPr>
  </w:style>
  <w:style w:type="paragraph" w:customStyle="1" w:styleId="120">
    <w:name w:val="left_06_0"/>
    <w:basedOn w:val="1"/>
    <w:qFormat/>
    <w:uiPriority w:val="0"/>
    <w:pPr>
      <w:widowControl/>
      <w:spacing w:line="345" w:lineRule="atLeast"/>
      <w:jc w:val="left"/>
    </w:pPr>
    <w:rPr>
      <w:rFonts w:ascii="宋体" w:hAnsi="宋体" w:cs="宋体"/>
      <w:kern w:val="0"/>
    </w:rPr>
  </w:style>
  <w:style w:type="paragraph" w:customStyle="1" w:styleId="121">
    <w:name w:val="left_01"/>
    <w:basedOn w:val="1"/>
    <w:qFormat/>
    <w:uiPriority w:val="0"/>
    <w:pPr>
      <w:widowControl/>
      <w:spacing w:before="105"/>
      <w:jc w:val="left"/>
    </w:pPr>
    <w:rPr>
      <w:rFonts w:ascii="宋体" w:hAnsi="宋体" w:cs="宋体"/>
      <w:kern w:val="0"/>
    </w:rPr>
  </w:style>
  <w:style w:type="paragraph" w:customStyle="1" w:styleId="122">
    <w:name w:val="gao"/>
    <w:basedOn w:val="1"/>
    <w:qFormat/>
    <w:uiPriority w:val="0"/>
    <w:pPr>
      <w:autoSpaceDE w:val="0"/>
      <w:autoSpaceDN w:val="0"/>
      <w:adjustRightInd w:val="0"/>
    </w:pPr>
    <w:rPr>
      <w:rFonts w:ascii="宋体"/>
      <w:spacing w:val="-20"/>
      <w:kern w:val="0"/>
      <w:sz w:val="28"/>
    </w:rPr>
  </w:style>
  <w:style w:type="paragraph" w:customStyle="1" w:styleId="123">
    <w:name w:val="文字"/>
    <w:basedOn w:val="1"/>
    <w:qFormat/>
    <w:uiPriority w:val="0"/>
    <w:pPr>
      <w:autoSpaceDE w:val="0"/>
      <w:autoSpaceDN w:val="0"/>
      <w:spacing w:line="500" w:lineRule="atLeast"/>
    </w:pPr>
    <w:rPr>
      <w:sz w:val="28"/>
      <w:szCs w:val="28"/>
    </w:rPr>
  </w:style>
  <w:style w:type="paragraph" w:customStyle="1" w:styleId="124">
    <w:name w:val="我的标题4"/>
    <w:basedOn w:val="5"/>
    <w:qFormat/>
    <w:uiPriority w:val="0"/>
    <w:pPr>
      <w:spacing w:after="0" w:line="460" w:lineRule="exact"/>
    </w:pPr>
    <w:rPr>
      <w:b w:val="0"/>
    </w:rPr>
  </w:style>
  <w:style w:type="paragraph" w:customStyle="1" w:styleId="125">
    <w:name w:val="main"/>
    <w:basedOn w:val="1"/>
    <w:qFormat/>
    <w:uiPriority w:val="0"/>
    <w:pPr>
      <w:widowControl/>
      <w:jc w:val="left"/>
    </w:pPr>
    <w:rPr>
      <w:rFonts w:ascii="宋体" w:hAnsi="宋体" w:cs="宋体"/>
      <w:kern w:val="0"/>
    </w:rPr>
  </w:style>
  <w:style w:type="paragraph" w:customStyle="1" w:styleId="126">
    <w:name w:val="F03"/>
    <w:basedOn w:val="1"/>
    <w:qFormat/>
    <w:uiPriority w:val="0"/>
    <w:pPr>
      <w:snapToGrid w:val="0"/>
      <w:spacing w:line="320" w:lineRule="exact"/>
      <w:outlineLvl w:val="0"/>
    </w:pPr>
    <w:rPr>
      <w:rFonts w:ascii="宋体" w:hAnsi="宋体" w:cs="仿宋_GB2312"/>
      <w:b/>
      <w:szCs w:val="21"/>
    </w:rPr>
  </w:style>
  <w:style w:type="paragraph" w:customStyle="1" w:styleId="127">
    <w:name w:val="Biao00"/>
    <w:qFormat/>
    <w:uiPriority w:val="0"/>
    <w:pPr>
      <w:widowControl w:val="0"/>
      <w:spacing w:line="0" w:lineRule="atLeast"/>
      <w:jc w:val="center"/>
    </w:pPr>
    <w:rPr>
      <w:rFonts w:ascii="Arial" w:hAnsi="Arial" w:eastAsia="仿宋_GB2312" w:cs="Times New Roman"/>
      <w:bCs/>
      <w:w w:val="90"/>
      <w:kern w:val="18"/>
      <w:sz w:val="24"/>
      <w:szCs w:val="24"/>
      <w:lang w:val="en-US" w:eastAsia="zh-CN" w:bidi="ar-SA"/>
    </w:rPr>
  </w:style>
  <w:style w:type="paragraph" w:customStyle="1" w:styleId="128">
    <w:name w:val="left_03_1_2_2"/>
    <w:basedOn w:val="1"/>
    <w:qFormat/>
    <w:uiPriority w:val="0"/>
    <w:pPr>
      <w:widowControl/>
      <w:pBdr>
        <w:bottom w:val="dashed" w:color="DBDBDB" w:sz="6" w:space="0"/>
      </w:pBdr>
      <w:shd w:val="clear" w:color="auto" w:fill="CCCCCC"/>
      <w:spacing w:before="100" w:beforeAutospacing="1" w:after="100" w:afterAutospacing="1"/>
      <w:jc w:val="left"/>
    </w:pPr>
    <w:rPr>
      <w:rFonts w:ascii="宋体" w:hAnsi="宋体" w:cs="宋体"/>
      <w:kern w:val="0"/>
    </w:rPr>
  </w:style>
  <w:style w:type="paragraph" w:customStyle="1" w:styleId="129">
    <w:name w:val="top_table_1_01"/>
    <w:basedOn w:val="1"/>
    <w:qFormat/>
    <w:uiPriority w:val="0"/>
    <w:pPr>
      <w:widowControl/>
      <w:spacing w:before="100" w:beforeAutospacing="1" w:after="100" w:afterAutospacing="1"/>
      <w:jc w:val="left"/>
    </w:pPr>
    <w:rPr>
      <w:rFonts w:ascii="宋体" w:hAnsi="宋体" w:cs="宋体"/>
      <w:kern w:val="0"/>
    </w:rPr>
  </w:style>
  <w:style w:type="paragraph" w:customStyle="1" w:styleId="130">
    <w:name w:val="tabads"/>
    <w:basedOn w:val="1"/>
    <w:qFormat/>
    <w:uiPriority w:val="0"/>
    <w:pPr>
      <w:widowControl/>
      <w:spacing w:before="100" w:beforeAutospacing="1" w:after="100" w:afterAutospacing="1"/>
      <w:jc w:val="left"/>
    </w:pPr>
    <w:rPr>
      <w:rFonts w:ascii="宋体" w:hAnsi="宋体" w:cs="宋体"/>
      <w:kern w:val="0"/>
    </w:rPr>
  </w:style>
  <w:style w:type="paragraph" w:customStyle="1" w:styleId="131">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132">
    <w:name w:val="top_text_1"/>
    <w:basedOn w:val="1"/>
    <w:qFormat/>
    <w:uiPriority w:val="0"/>
    <w:pPr>
      <w:widowControl/>
      <w:spacing w:before="100" w:beforeAutospacing="1" w:after="100" w:afterAutospacing="1"/>
      <w:jc w:val="left"/>
    </w:pPr>
    <w:rPr>
      <w:rFonts w:ascii="ˎ̥" w:hAnsi="ˎ̥" w:cs="宋体"/>
      <w:color w:val="000000"/>
      <w:kern w:val="0"/>
      <w:sz w:val="18"/>
      <w:szCs w:val="18"/>
    </w:rPr>
  </w:style>
  <w:style w:type="paragraph" w:customStyle="1" w:styleId="133">
    <w:name w:val="left-07_2_3_1"/>
    <w:basedOn w:val="1"/>
    <w:qFormat/>
    <w:uiPriority w:val="0"/>
    <w:pPr>
      <w:widowControl/>
      <w:spacing w:before="100" w:beforeAutospacing="1" w:after="100" w:afterAutospacing="1" w:line="300" w:lineRule="atLeast"/>
      <w:jc w:val="left"/>
    </w:pPr>
    <w:rPr>
      <w:rFonts w:ascii="宋体" w:hAnsi="宋体" w:cs="宋体"/>
      <w:color w:val="626262"/>
      <w:kern w:val="0"/>
      <w:sz w:val="18"/>
      <w:szCs w:val="18"/>
    </w:rPr>
  </w:style>
  <w:style w:type="paragraph" w:customStyle="1" w:styleId="134">
    <w:name w:val="left_01_1_3"/>
    <w:basedOn w:val="1"/>
    <w:qFormat/>
    <w:uiPriority w:val="0"/>
    <w:pPr>
      <w:widowControl/>
      <w:pBdr>
        <w:bottom w:val="single" w:color="CCCCCC" w:sz="6" w:space="0"/>
      </w:pBdr>
      <w:shd w:val="clear" w:color="auto" w:fill="FFFFFF"/>
      <w:spacing w:before="100" w:beforeAutospacing="1" w:after="100" w:afterAutospacing="1" w:line="345" w:lineRule="atLeast"/>
      <w:jc w:val="left"/>
    </w:pPr>
    <w:rPr>
      <w:rFonts w:ascii="宋体" w:hAnsi="宋体" w:cs="宋体"/>
      <w:kern w:val="0"/>
    </w:rPr>
  </w:style>
  <w:style w:type="paragraph" w:customStyle="1" w:styleId="135">
    <w:name w:val="F07"/>
    <w:qFormat/>
    <w:uiPriority w:val="0"/>
    <w:pPr>
      <w:widowControl w:val="0"/>
      <w:snapToGrid w:val="0"/>
      <w:spacing w:line="320" w:lineRule="exact"/>
      <w:ind w:firstLine="315" w:firstLineChars="150"/>
      <w:jc w:val="both"/>
      <w:outlineLvl w:val="0"/>
    </w:pPr>
    <w:rPr>
      <w:rFonts w:ascii="宋体" w:hAnsi="宋体" w:eastAsia="宋体" w:cs="Times New Roman"/>
      <w:b/>
      <w:kern w:val="2"/>
      <w:sz w:val="21"/>
      <w:szCs w:val="21"/>
      <w:lang w:val="en-US" w:eastAsia="zh-CN" w:bidi="ar-SA"/>
    </w:rPr>
  </w:style>
  <w:style w:type="paragraph" w:customStyle="1" w:styleId="136">
    <w:name w:val="F00 Char"/>
    <w:basedOn w:val="1"/>
    <w:qFormat/>
    <w:uiPriority w:val="0"/>
    <w:pPr>
      <w:spacing w:before="50" w:beforeLines="50" w:line="0" w:lineRule="atLeast"/>
    </w:pPr>
    <w:rPr>
      <w:rFonts w:eastAsia="仿宋_GB2312"/>
      <w:kern w:val="21"/>
      <w:sz w:val="28"/>
      <w:szCs w:val="28"/>
    </w:rPr>
  </w:style>
  <w:style w:type="paragraph" w:customStyle="1" w:styleId="137">
    <w:name w:val="left-07_2_2"/>
    <w:basedOn w:val="1"/>
    <w:qFormat/>
    <w:uiPriority w:val="0"/>
    <w:pPr>
      <w:widowControl/>
      <w:pBdr>
        <w:bottom w:val="dotted" w:color="CCCCCC" w:sz="6" w:space="2"/>
      </w:pBdr>
      <w:spacing w:before="100" w:beforeAutospacing="1" w:after="100" w:afterAutospacing="1" w:line="300" w:lineRule="atLeast"/>
      <w:jc w:val="left"/>
    </w:pPr>
    <w:rPr>
      <w:rFonts w:ascii="宋体" w:hAnsi="宋体" w:cs="宋体"/>
      <w:color w:val="626262"/>
      <w:kern w:val="0"/>
      <w:sz w:val="18"/>
      <w:szCs w:val="18"/>
    </w:rPr>
  </w:style>
  <w:style w:type="paragraph" w:customStyle="1" w:styleId="138">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139">
    <w:name w:val="简单回函地址"/>
    <w:basedOn w:val="1"/>
    <w:qFormat/>
    <w:uiPriority w:val="0"/>
    <w:rPr>
      <w:szCs w:val="20"/>
    </w:rPr>
  </w:style>
  <w:style w:type="paragraph" w:customStyle="1" w:styleId="140">
    <w:name w:val="left_03_2_1"/>
    <w:basedOn w:val="1"/>
    <w:qFormat/>
    <w:uiPriority w:val="0"/>
    <w:pPr>
      <w:widowControl/>
      <w:shd w:val="clear" w:color="auto" w:fill="FFFFFF"/>
      <w:spacing w:before="100" w:beforeAutospacing="1" w:after="100" w:afterAutospacing="1"/>
      <w:jc w:val="left"/>
    </w:pPr>
    <w:rPr>
      <w:rFonts w:ascii="宋体" w:hAnsi="宋体" w:cs="宋体"/>
      <w:kern w:val="0"/>
    </w:rPr>
  </w:style>
  <w:style w:type="paragraph" w:customStyle="1" w:styleId="141">
    <w:name w:val="表内容"/>
    <w:basedOn w:val="1"/>
    <w:qFormat/>
    <w:uiPriority w:val="0"/>
    <w:pPr>
      <w:autoSpaceDE w:val="0"/>
      <w:autoSpaceDN w:val="0"/>
      <w:adjustRightInd w:val="0"/>
      <w:spacing w:before="60" w:after="60"/>
      <w:ind w:left="-115" w:leftChars="-48" w:firstLine="10" w:firstLineChars="0"/>
      <w:jc w:val="center"/>
      <w:textAlignment w:val="bottom"/>
    </w:pPr>
    <w:rPr>
      <w:kern w:val="0"/>
      <w:szCs w:val="21"/>
    </w:rPr>
  </w:style>
  <w:style w:type="paragraph" w:customStyle="1" w:styleId="142">
    <w:name w:val="列表编号 6"/>
    <w:basedOn w:val="39"/>
    <w:qFormat/>
    <w:uiPriority w:val="0"/>
    <w:rPr>
      <w:b w:val="0"/>
      <w:bCs/>
    </w:rPr>
  </w:style>
  <w:style w:type="paragraph" w:customStyle="1" w:styleId="143">
    <w:name w:val="menubox4"/>
    <w:basedOn w:val="1"/>
    <w:qFormat/>
    <w:uiPriority w:val="0"/>
    <w:pPr>
      <w:widowControl/>
      <w:pBdr>
        <w:bottom w:val="single" w:color="DDDDDD" w:sz="6" w:space="0"/>
      </w:pBdr>
      <w:spacing w:before="100" w:beforeAutospacing="1" w:after="100" w:afterAutospacing="1" w:line="375" w:lineRule="atLeast"/>
      <w:jc w:val="left"/>
    </w:pPr>
    <w:rPr>
      <w:rFonts w:ascii="宋体" w:hAnsi="宋体" w:cs="宋体"/>
      <w:kern w:val="0"/>
    </w:rPr>
  </w:style>
  <w:style w:type="paragraph" w:customStyle="1" w:styleId="144">
    <w:name w:val="new_top_logo_right"/>
    <w:basedOn w:val="1"/>
    <w:qFormat/>
    <w:uiPriority w:val="0"/>
    <w:pPr>
      <w:widowControl/>
      <w:spacing w:before="100" w:beforeAutospacing="1" w:after="100" w:afterAutospacing="1"/>
      <w:jc w:val="left"/>
    </w:pPr>
    <w:rPr>
      <w:rFonts w:ascii="宋体" w:hAnsi="宋体" w:cs="宋体"/>
      <w:kern w:val="0"/>
    </w:rPr>
  </w:style>
  <w:style w:type="paragraph" w:customStyle="1" w:styleId="145">
    <w:name w:val="top_menu_03"/>
    <w:basedOn w:val="1"/>
    <w:qFormat/>
    <w:uiPriority w:val="0"/>
    <w:pPr>
      <w:widowControl/>
      <w:spacing w:before="100" w:beforeAutospacing="1" w:after="100" w:afterAutospacing="1" w:line="375" w:lineRule="atLeast"/>
      <w:jc w:val="center"/>
    </w:pPr>
    <w:rPr>
      <w:rFonts w:ascii="宋体" w:hAnsi="宋体" w:cs="宋体"/>
      <w:color w:val="000000"/>
      <w:kern w:val="0"/>
      <w:sz w:val="18"/>
      <w:szCs w:val="18"/>
    </w:rPr>
  </w:style>
  <w:style w:type="paragraph" w:customStyle="1" w:styleId="146">
    <w:name w:val="列表编号7"/>
    <w:basedOn w:val="27"/>
    <w:qFormat/>
    <w:uiPriority w:val="0"/>
    <w:pPr>
      <w:ind w:left="0" w:leftChars="0" w:firstLine="0" w:firstLineChars="0"/>
      <w:jc w:val="center"/>
    </w:pPr>
    <w:rPr>
      <w:b/>
      <w:sz w:val="28"/>
    </w:rPr>
  </w:style>
  <w:style w:type="paragraph" w:customStyle="1" w:styleId="147">
    <w:name w:val="font0"/>
    <w:basedOn w:val="1"/>
    <w:qFormat/>
    <w:uiPriority w:val="0"/>
    <w:pPr>
      <w:widowControl/>
      <w:spacing w:before="100" w:beforeAutospacing="1" w:after="100" w:afterAutospacing="1"/>
      <w:jc w:val="left"/>
    </w:pPr>
    <w:rPr>
      <w:rFonts w:hint="eastAsia" w:ascii="宋体" w:hAnsi="宋体" w:cs="Arial Unicode MS"/>
      <w:kern w:val="0"/>
    </w:rPr>
  </w:style>
  <w:style w:type="paragraph" w:customStyle="1" w:styleId="148">
    <w:name w:val="表格文字L18"/>
    <w:basedOn w:val="1"/>
    <w:qFormat/>
    <w:uiPriority w:val="0"/>
    <w:pPr>
      <w:adjustRightInd w:val="0"/>
      <w:snapToGrid w:val="0"/>
      <w:spacing w:line="360" w:lineRule="exact"/>
      <w:jc w:val="center"/>
    </w:pPr>
    <w:rPr>
      <w:color w:val="000000"/>
      <w:kern w:val="32"/>
      <w:szCs w:val="20"/>
    </w:rPr>
  </w:style>
  <w:style w:type="paragraph" w:customStyle="1" w:styleId="149">
    <w:name w:val="right_01_3_4"/>
    <w:basedOn w:val="1"/>
    <w:qFormat/>
    <w:uiPriority w:val="0"/>
    <w:pPr>
      <w:widowControl/>
      <w:spacing w:before="105"/>
      <w:jc w:val="left"/>
    </w:pPr>
    <w:rPr>
      <w:rFonts w:ascii="宋体" w:hAnsi="宋体" w:cs="宋体"/>
      <w:kern w:val="0"/>
    </w:rPr>
  </w:style>
  <w:style w:type="paragraph" w:customStyle="1" w:styleId="150">
    <w:name w:val="left_01_2"/>
    <w:basedOn w:val="1"/>
    <w:qFormat/>
    <w:uiPriority w:val="0"/>
    <w:pPr>
      <w:widowControl/>
      <w:ind w:left="105"/>
      <w:jc w:val="left"/>
    </w:pPr>
    <w:rPr>
      <w:rFonts w:ascii="宋体" w:hAnsi="宋体" w:cs="宋体"/>
      <w:kern w:val="0"/>
    </w:rPr>
  </w:style>
  <w:style w:type="paragraph" w:customStyle="1" w:styleId="151">
    <w:name w:val="表格3"/>
    <w:basedOn w:val="23"/>
    <w:qFormat/>
    <w:uiPriority w:val="0"/>
    <w:pPr>
      <w:spacing w:line="340" w:lineRule="exact"/>
      <w:ind w:firstLine="0" w:firstLineChars="0"/>
      <w:jc w:val="center"/>
    </w:pPr>
  </w:style>
  <w:style w:type="paragraph" w:customStyle="1" w:styleId="152">
    <w:name w:val="font5"/>
    <w:basedOn w:val="1"/>
    <w:qFormat/>
    <w:uiPriority w:val="0"/>
    <w:pPr>
      <w:widowControl/>
      <w:spacing w:before="100" w:beforeAutospacing="1" w:after="100" w:afterAutospacing="1"/>
      <w:jc w:val="left"/>
    </w:pPr>
    <w:rPr>
      <w:rFonts w:hint="eastAsia" w:ascii="宋体" w:hAnsi="宋体" w:cs="Arial Unicode MS"/>
      <w:kern w:val="0"/>
    </w:rPr>
  </w:style>
  <w:style w:type="paragraph" w:customStyle="1" w:styleId="153">
    <w:name w:val="left_03_1_1"/>
    <w:basedOn w:val="1"/>
    <w:qFormat/>
    <w:uiPriority w:val="0"/>
    <w:pPr>
      <w:widowControl/>
      <w:shd w:val="clear" w:color="auto" w:fill="FFFFFF"/>
      <w:spacing w:before="100" w:beforeAutospacing="1" w:after="100" w:afterAutospacing="1"/>
      <w:jc w:val="left"/>
    </w:pPr>
    <w:rPr>
      <w:rFonts w:ascii="宋体" w:hAnsi="宋体" w:cs="宋体"/>
      <w:kern w:val="0"/>
    </w:rPr>
  </w:style>
  <w:style w:type="paragraph" w:customStyle="1" w:styleId="154">
    <w:name w:val="font6"/>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55">
    <w:name w:val="font7"/>
    <w:basedOn w:val="1"/>
    <w:qFormat/>
    <w:uiPriority w:val="0"/>
    <w:pPr>
      <w:widowControl/>
      <w:spacing w:before="100" w:beforeAutospacing="1" w:after="100" w:afterAutospacing="1"/>
      <w:jc w:val="left"/>
    </w:pPr>
    <w:rPr>
      <w:rFonts w:eastAsia="Arial Unicode MS"/>
      <w:kern w:val="0"/>
    </w:rPr>
  </w:style>
  <w:style w:type="paragraph" w:customStyle="1" w:styleId="156">
    <w:name w:val="right"/>
    <w:basedOn w:val="1"/>
    <w:qFormat/>
    <w:uiPriority w:val="0"/>
    <w:pPr>
      <w:widowControl/>
      <w:spacing w:before="100" w:beforeAutospacing="1" w:after="100" w:afterAutospacing="1"/>
      <w:jc w:val="left"/>
    </w:pPr>
    <w:rPr>
      <w:rFonts w:ascii="宋体" w:hAnsi="宋体" w:cs="宋体"/>
      <w:kern w:val="0"/>
    </w:rPr>
  </w:style>
  <w:style w:type="paragraph" w:customStyle="1" w:styleId="157">
    <w:name w:val="left-07_2_1"/>
    <w:basedOn w:val="1"/>
    <w:qFormat/>
    <w:uiPriority w:val="0"/>
    <w:pPr>
      <w:widowControl/>
      <w:pBdr>
        <w:top w:val="single" w:color="FFFFFF" w:sz="6" w:space="5"/>
        <w:left w:val="single" w:color="FFFFFF" w:sz="6" w:space="2"/>
        <w:bottom w:val="single" w:color="FFFFFF" w:sz="6" w:space="0"/>
        <w:right w:val="single" w:color="FFFFFF" w:sz="6" w:space="0"/>
      </w:pBdr>
      <w:spacing w:before="100" w:beforeAutospacing="1" w:after="100" w:afterAutospacing="1"/>
      <w:jc w:val="left"/>
    </w:pPr>
    <w:rPr>
      <w:rFonts w:ascii="宋体" w:hAnsi="宋体" w:cs="宋体"/>
      <w:kern w:val="0"/>
    </w:rPr>
  </w:style>
  <w:style w:type="paragraph" w:customStyle="1" w:styleId="158">
    <w:name w:val="left_01_2_4"/>
    <w:basedOn w:val="1"/>
    <w:qFormat/>
    <w:uiPriority w:val="0"/>
    <w:pPr>
      <w:widowControl/>
      <w:spacing w:before="75" w:after="120"/>
      <w:jc w:val="left"/>
    </w:pPr>
    <w:rPr>
      <w:rFonts w:ascii="宋体" w:hAnsi="宋体" w:cs="宋体"/>
      <w:kern w:val="0"/>
    </w:rPr>
  </w:style>
  <w:style w:type="paragraph" w:customStyle="1" w:styleId="15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kern w:val="0"/>
      <w:szCs w:val="21"/>
    </w:rPr>
  </w:style>
  <w:style w:type="paragraph" w:customStyle="1" w:styleId="160">
    <w:name w:val="li 1"/>
    <w:basedOn w:val="2"/>
    <w:next w:val="2"/>
    <w:qFormat/>
    <w:uiPriority w:val="0"/>
    <w:pPr>
      <w:spacing w:beforeLines="0" w:afterLines="0" w:line="240" w:lineRule="auto"/>
    </w:pPr>
    <w:rPr>
      <w:rFonts w:eastAsia="隶书"/>
      <w:sz w:val="44"/>
      <w:szCs w:val="30"/>
    </w:rPr>
  </w:style>
  <w:style w:type="paragraph" w:customStyle="1" w:styleId="161">
    <w:name w:val="new_editbox2"/>
    <w:basedOn w:val="1"/>
    <w:qFormat/>
    <w:uiPriority w:val="0"/>
    <w:pPr>
      <w:widowControl/>
      <w:pBdr>
        <w:top w:val="single" w:color="ADCEED" w:sz="6" w:space="0"/>
        <w:left w:val="single" w:color="ADCEED" w:sz="6" w:space="0"/>
        <w:bottom w:val="single" w:color="ADCEED" w:sz="6" w:space="2"/>
        <w:right w:val="single" w:color="ADCEED" w:sz="6" w:space="0"/>
      </w:pBdr>
      <w:shd w:val="clear" w:color="auto" w:fill="FFFFFF"/>
      <w:spacing w:before="105" w:line="285" w:lineRule="atLeast"/>
      <w:ind w:left="300"/>
      <w:jc w:val="left"/>
    </w:pPr>
    <w:rPr>
      <w:rFonts w:ascii="宋体" w:hAnsi="宋体" w:cs="宋体"/>
      <w:color w:val="333333"/>
      <w:kern w:val="0"/>
      <w:sz w:val="18"/>
      <w:szCs w:val="18"/>
    </w:rPr>
  </w:style>
  <w:style w:type="paragraph" w:customStyle="1" w:styleId="162">
    <w:name w:val="editbox1"/>
    <w:basedOn w:val="1"/>
    <w:qFormat/>
    <w:uiPriority w:val="0"/>
    <w:pPr>
      <w:widowControl/>
      <w:pBdr>
        <w:top w:val="single" w:color="FFFFFF" w:sz="2" w:space="1"/>
        <w:left w:val="single" w:color="FFFFFF" w:sz="2" w:space="1"/>
        <w:bottom w:val="single" w:color="FFFFFF" w:sz="2" w:space="1"/>
        <w:right w:val="single" w:color="FFFFFF" w:sz="2" w:space="1"/>
      </w:pBdr>
      <w:spacing w:before="105"/>
      <w:ind w:left="3000"/>
      <w:jc w:val="left"/>
    </w:pPr>
    <w:rPr>
      <w:rFonts w:ascii="宋体" w:hAnsi="宋体" w:cs="宋体"/>
      <w:kern w:val="0"/>
    </w:rPr>
  </w:style>
  <w:style w:type="paragraph" w:customStyle="1" w:styleId="163">
    <w:name w:val="Default"/>
    <w:link w:val="321"/>
    <w:qFormat/>
    <w:uiPriority w:val="0"/>
    <w:pPr>
      <w:widowControl w:val="0"/>
      <w:autoSpaceDE w:val="0"/>
      <w:autoSpaceDN w:val="0"/>
      <w:adjustRightInd w:val="0"/>
    </w:pPr>
    <w:rPr>
      <w:rFonts w:ascii="楷体" w:hAnsi="Times New Roman" w:eastAsia="楷体" w:cs="楷体"/>
      <w:color w:val="000000"/>
      <w:sz w:val="24"/>
      <w:szCs w:val="24"/>
      <w:lang w:val="en-US" w:eastAsia="zh-CN" w:bidi="ar-SA"/>
    </w:rPr>
  </w:style>
  <w:style w:type="paragraph" w:customStyle="1" w:styleId="164">
    <w:name w:val="xl25"/>
    <w:basedOn w:val="1"/>
    <w:qFormat/>
    <w:uiPriority w:val="0"/>
    <w:pPr>
      <w:widowControl/>
      <w:spacing w:before="100" w:beforeAutospacing="1" w:after="100" w:afterAutospacing="1"/>
      <w:textAlignment w:val="top"/>
    </w:pPr>
    <w:rPr>
      <w:rFonts w:eastAsia="Arial Unicode MS"/>
      <w:kern w:val="0"/>
      <w:szCs w:val="21"/>
    </w:rPr>
  </w:style>
  <w:style w:type="paragraph" w:customStyle="1" w:styleId="165">
    <w:name w:val="left_03_2_1_02"/>
    <w:basedOn w:val="1"/>
    <w:qFormat/>
    <w:uiPriority w:val="0"/>
    <w:pPr>
      <w:widowControl/>
      <w:shd w:val="clear" w:color="auto" w:fill="DBDBDB"/>
      <w:spacing w:before="100" w:beforeAutospacing="1" w:after="100" w:afterAutospacing="1"/>
      <w:jc w:val="left"/>
    </w:pPr>
    <w:rPr>
      <w:rFonts w:ascii="宋体" w:hAnsi="宋体" w:cs="宋体"/>
      <w:kern w:val="0"/>
    </w:rPr>
  </w:style>
  <w:style w:type="paragraph" w:customStyle="1" w:styleId="16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rPr>
  </w:style>
  <w:style w:type="paragraph" w:customStyle="1" w:styleId="167">
    <w:name w:val="right_01_1_font"/>
    <w:basedOn w:val="1"/>
    <w:qFormat/>
    <w:uiPriority w:val="0"/>
    <w:pPr>
      <w:widowControl/>
      <w:spacing w:before="100" w:beforeAutospacing="1" w:after="100" w:afterAutospacing="1"/>
      <w:jc w:val="left"/>
    </w:pPr>
    <w:rPr>
      <w:rFonts w:ascii="ˎ̥" w:hAnsi="ˎ̥" w:cs="宋体"/>
      <w:b/>
      <w:bCs/>
      <w:color w:val="044E97"/>
      <w:kern w:val="0"/>
      <w:sz w:val="18"/>
      <w:szCs w:val="18"/>
    </w:rPr>
  </w:style>
  <w:style w:type="paragraph" w:customStyle="1" w:styleId="168">
    <w:name w:val="left-07_1_2"/>
    <w:basedOn w:val="1"/>
    <w:qFormat/>
    <w:uiPriority w:val="0"/>
    <w:pPr>
      <w:widowControl/>
      <w:spacing w:before="100" w:beforeAutospacing="1" w:after="100" w:afterAutospacing="1" w:line="300" w:lineRule="atLeast"/>
      <w:jc w:val="left"/>
    </w:pPr>
    <w:rPr>
      <w:rFonts w:ascii="宋体" w:hAnsi="宋体" w:cs="宋体"/>
      <w:color w:val="626262"/>
      <w:kern w:val="0"/>
      <w:sz w:val="18"/>
      <w:szCs w:val="18"/>
    </w:rPr>
  </w:style>
  <w:style w:type="paragraph" w:customStyle="1" w:styleId="16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rPr>
  </w:style>
  <w:style w:type="paragraph" w:customStyle="1" w:styleId="170">
    <w:name w:val="new_top_table"/>
    <w:basedOn w:val="1"/>
    <w:qFormat/>
    <w:uiPriority w:val="0"/>
    <w:pPr>
      <w:widowControl/>
      <w:spacing w:before="75" w:after="75"/>
      <w:jc w:val="left"/>
    </w:pPr>
    <w:rPr>
      <w:rFonts w:ascii="宋体" w:hAnsi="宋体" w:cs="宋体"/>
      <w:kern w:val="0"/>
    </w:rPr>
  </w:style>
  <w:style w:type="paragraph" w:customStyle="1" w:styleId="171">
    <w:name w:val="top_menu_02"/>
    <w:basedOn w:val="1"/>
    <w:qFormat/>
    <w:uiPriority w:val="0"/>
    <w:pPr>
      <w:widowControl/>
      <w:spacing w:before="100" w:beforeAutospacing="1" w:after="100" w:afterAutospacing="1" w:line="375" w:lineRule="atLeast"/>
      <w:jc w:val="center"/>
    </w:pPr>
    <w:rPr>
      <w:rFonts w:ascii="宋体" w:hAnsi="宋体" w:cs="宋体"/>
      <w:b/>
      <w:bCs/>
      <w:color w:val="FFFFFF"/>
      <w:kern w:val="0"/>
      <w:sz w:val="18"/>
      <w:szCs w:val="18"/>
    </w:rPr>
  </w:style>
  <w:style w:type="paragraph" w:customStyle="1" w:styleId="172">
    <w:name w:val="editbox2"/>
    <w:basedOn w:val="1"/>
    <w:qFormat/>
    <w:uiPriority w:val="0"/>
    <w:pPr>
      <w:widowControl/>
      <w:pBdr>
        <w:top w:val="single" w:color="ADCEED" w:sz="6" w:space="1"/>
        <w:left w:val="single" w:color="ADCEED" w:sz="6" w:space="0"/>
        <w:bottom w:val="single" w:color="ADCEED" w:sz="6" w:space="0"/>
        <w:right w:val="single" w:color="ADCEED" w:sz="6" w:space="0"/>
      </w:pBdr>
      <w:shd w:val="clear" w:color="auto" w:fill="FFFFFF"/>
      <w:spacing w:before="105"/>
      <w:ind w:left="300"/>
      <w:jc w:val="left"/>
    </w:pPr>
    <w:rPr>
      <w:rFonts w:ascii="宋体" w:hAnsi="宋体" w:cs="宋体"/>
      <w:color w:val="333333"/>
      <w:kern w:val="0"/>
      <w:sz w:val="18"/>
      <w:szCs w:val="18"/>
    </w:rPr>
  </w:style>
  <w:style w:type="paragraph" w:customStyle="1" w:styleId="17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rPr>
  </w:style>
  <w:style w:type="paragraph" w:customStyle="1" w:styleId="17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kern w:val="0"/>
      <w:szCs w:val="21"/>
    </w:rPr>
  </w:style>
  <w:style w:type="paragraph" w:customStyle="1" w:styleId="17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eastAsia="Arial Unicode MS"/>
      <w:kern w:val="0"/>
    </w:rPr>
  </w:style>
  <w:style w:type="paragraph" w:customStyle="1" w:styleId="17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kern w:val="0"/>
    </w:rPr>
  </w:style>
  <w:style w:type="paragraph" w:customStyle="1" w:styleId="177">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eastAsia="Arial Unicode MS"/>
      <w:kern w:val="0"/>
    </w:rPr>
  </w:style>
  <w:style w:type="paragraph" w:customStyle="1" w:styleId="178">
    <w:name w:val="font8"/>
    <w:basedOn w:val="1"/>
    <w:qFormat/>
    <w:uiPriority w:val="0"/>
    <w:pPr>
      <w:widowControl/>
      <w:spacing w:before="100" w:beforeAutospacing="1" w:after="100" w:afterAutospacing="1"/>
      <w:jc w:val="left"/>
    </w:pPr>
    <w:rPr>
      <w:rFonts w:hint="eastAsia" w:ascii="宋体" w:hAnsi="宋体" w:cs="Arial Unicode MS"/>
      <w:kern w:val="0"/>
      <w:szCs w:val="21"/>
    </w:rPr>
  </w:style>
  <w:style w:type="paragraph" w:customStyle="1" w:styleId="179">
    <w:name w:val="表"/>
    <w:basedOn w:val="1"/>
    <w:qFormat/>
    <w:uiPriority w:val="0"/>
    <w:pPr>
      <w:snapToGrid w:val="0"/>
      <w:jc w:val="center"/>
    </w:pPr>
    <w:rPr>
      <w:spacing w:val="2"/>
      <w:szCs w:val="20"/>
    </w:rPr>
  </w:style>
  <w:style w:type="paragraph" w:customStyle="1" w:styleId="180">
    <w:name w:val="表头"/>
    <w:basedOn w:val="1"/>
    <w:link w:val="346"/>
    <w:qFormat/>
    <w:uiPriority w:val="0"/>
    <w:pPr>
      <w:tabs>
        <w:tab w:val="left" w:pos="860"/>
        <w:tab w:val="left" w:pos="1075"/>
      </w:tabs>
      <w:snapToGrid w:val="0"/>
      <w:spacing w:after="120" w:line="460" w:lineRule="exact"/>
      <w:jc w:val="center"/>
      <w:outlineLvl w:val="0"/>
    </w:pPr>
    <w:rPr>
      <w:b/>
      <w:spacing w:val="2"/>
      <w:sz w:val="26"/>
      <w:szCs w:val="20"/>
    </w:rPr>
  </w:style>
  <w:style w:type="paragraph" w:customStyle="1" w:styleId="181">
    <w:name w:val="图头"/>
    <w:basedOn w:val="1"/>
    <w:qFormat/>
    <w:uiPriority w:val="0"/>
    <w:pPr>
      <w:spacing w:before="156" w:beforeLines="50" w:after="156" w:afterLines="50" w:line="300" w:lineRule="auto"/>
      <w:jc w:val="center"/>
    </w:pPr>
    <w:rPr>
      <w:rFonts w:eastAsia="黑体"/>
      <w:b/>
      <w:bCs/>
      <w:spacing w:val="2"/>
      <w:sz w:val="28"/>
      <w:szCs w:val="20"/>
    </w:rPr>
  </w:style>
  <w:style w:type="paragraph" w:customStyle="1" w:styleId="182">
    <w:name w:val="样式3"/>
    <w:basedOn w:val="1"/>
    <w:qFormat/>
    <w:uiPriority w:val="0"/>
    <w:pPr>
      <w:tabs>
        <w:tab w:val="left" w:pos="547"/>
        <w:tab w:val="left" w:pos="1080"/>
        <w:tab w:val="center" w:pos="4320"/>
        <w:tab w:val="right" w:pos="8550"/>
      </w:tabs>
      <w:spacing w:line="480" w:lineRule="atLeast"/>
    </w:pPr>
    <w:rPr>
      <w:rFonts w:eastAsia="仿宋_GB2312"/>
      <w:szCs w:val="20"/>
    </w:rPr>
  </w:style>
  <w:style w:type="paragraph" w:customStyle="1" w:styleId="183">
    <w:name w:val="xmj"/>
    <w:basedOn w:val="1"/>
    <w:qFormat/>
    <w:uiPriority w:val="0"/>
    <w:pPr>
      <w:widowControl/>
      <w:spacing w:before="100" w:beforeAutospacing="1" w:after="100" w:afterAutospacing="1" w:line="300" w:lineRule="atLeast"/>
      <w:jc w:val="left"/>
    </w:pPr>
    <w:rPr>
      <w:rFonts w:ascii="Arial Unicode MS" w:hAnsi="Arial Unicode MS" w:eastAsia="Arial Unicode MS" w:cs="Arial Unicode MS"/>
      <w:color w:val="000000"/>
      <w:kern w:val="0"/>
      <w:sz w:val="18"/>
      <w:szCs w:val="18"/>
    </w:rPr>
  </w:style>
  <w:style w:type="paragraph" w:customStyle="1" w:styleId="184">
    <w:name w:val="yu"/>
    <w:basedOn w:val="1"/>
    <w:qFormat/>
    <w:uiPriority w:val="0"/>
    <w:pPr>
      <w:widowControl/>
      <w:spacing w:before="100" w:beforeAutospacing="1" w:after="100" w:afterAutospacing="1" w:line="384" w:lineRule="auto"/>
      <w:jc w:val="left"/>
    </w:pPr>
    <w:rPr>
      <w:rFonts w:ascii="Arial Unicode MS" w:hAnsi="Arial Unicode MS" w:eastAsia="Arial Unicode MS" w:cs="Arial Unicode MS"/>
      <w:color w:val="000000"/>
      <w:kern w:val="0"/>
      <w:sz w:val="18"/>
      <w:szCs w:val="18"/>
    </w:rPr>
  </w:style>
  <w:style w:type="paragraph" w:customStyle="1" w:styleId="185">
    <w:name w:val="left_06_1_1"/>
    <w:basedOn w:val="1"/>
    <w:qFormat/>
    <w:uiPriority w:val="0"/>
    <w:pPr>
      <w:widowControl/>
      <w:spacing w:before="100" w:beforeAutospacing="1" w:after="100" w:afterAutospacing="1"/>
      <w:jc w:val="left"/>
    </w:pPr>
    <w:rPr>
      <w:rFonts w:ascii="ˎ̥" w:hAnsi="ˎ̥" w:cs="宋体"/>
      <w:color w:val="FFFFFF"/>
      <w:kern w:val="0"/>
      <w:sz w:val="18"/>
      <w:szCs w:val="18"/>
    </w:rPr>
  </w:style>
  <w:style w:type="paragraph" w:customStyle="1" w:styleId="186">
    <w:name w:val="pt9h20"/>
    <w:basedOn w:val="1"/>
    <w:qFormat/>
    <w:uiPriority w:val="0"/>
    <w:pPr>
      <w:widowControl/>
      <w:spacing w:before="100" w:beforeAutospacing="1" w:after="100" w:afterAutospacing="1" w:line="400" w:lineRule="atLeast"/>
      <w:jc w:val="left"/>
    </w:pPr>
    <w:rPr>
      <w:rFonts w:ascii="宋体" w:hAnsi="宋体"/>
      <w:kern w:val="0"/>
      <w:sz w:val="18"/>
      <w:szCs w:val="18"/>
    </w:rPr>
  </w:style>
  <w:style w:type="paragraph" w:customStyle="1" w:styleId="187">
    <w:name w:val="表文"/>
    <w:basedOn w:val="14"/>
    <w:qFormat/>
    <w:uiPriority w:val="0"/>
    <w:pPr>
      <w:spacing w:before="0" w:after="0" w:line="320" w:lineRule="atLeast"/>
      <w:jc w:val="center"/>
      <w:textAlignment w:val="baseline"/>
    </w:pPr>
    <w:rPr>
      <w:rFonts w:ascii="Times New Roman" w:hAnsi="Times New Roman" w:eastAsia="宋体" w:cs="Times New Roman"/>
      <w:kern w:val="24"/>
      <w:sz w:val="24"/>
    </w:rPr>
  </w:style>
  <w:style w:type="paragraph" w:customStyle="1" w:styleId="188">
    <w:name w:val="标题02"/>
    <w:basedOn w:val="1"/>
    <w:qFormat/>
    <w:uiPriority w:val="0"/>
    <w:pPr>
      <w:tabs>
        <w:tab w:val="left" w:pos="567"/>
      </w:tabs>
      <w:snapToGrid w:val="0"/>
      <w:spacing w:line="440" w:lineRule="atLeast"/>
      <w:ind w:left="476" w:hanging="357"/>
      <w:outlineLvl w:val="1"/>
    </w:pPr>
    <w:rPr>
      <w:b/>
      <w:sz w:val="26"/>
      <w:szCs w:val="20"/>
    </w:rPr>
  </w:style>
  <w:style w:type="paragraph" w:customStyle="1" w:styleId="189">
    <w:name w:val="标题01"/>
    <w:basedOn w:val="1"/>
    <w:qFormat/>
    <w:uiPriority w:val="0"/>
    <w:pPr>
      <w:spacing w:before="100" w:beforeAutospacing="1" w:after="100" w:afterAutospacing="1"/>
      <w:jc w:val="center"/>
      <w:outlineLvl w:val="0"/>
    </w:pPr>
    <w:rPr>
      <w:b/>
      <w:sz w:val="32"/>
      <w:szCs w:val="20"/>
    </w:rPr>
  </w:style>
  <w:style w:type="paragraph" w:customStyle="1" w:styleId="190">
    <w:name w:val="样式1"/>
    <w:basedOn w:val="4"/>
    <w:qFormat/>
    <w:uiPriority w:val="0"/>
    <w:pPr>
      <w:ind w:left="0"/>
    </w:pPr>
    <w:rPr>
      <w:rFonts w:ascii="宋体" w:eastAsia="宋体"/>
      <w:b/>
      <w:sz w:val="24"/>
    </w:rPr>
  </w:style>
  <w:style w:type="paragraph" w:customStyle="1" w:styleId="191">
    <w:name w:val="4"/>
    <w:basedOn w:val="1"/>
    <w:next w:val="26"/>
    <w:qFormat/>
    <w:uiPriority w:val="0"/>
    <w:rPr>
      <w:rFonts w:ascii="宋体" w:hAnsi="Courier New" w:cs="Courier New"/>
      <w:szCs w:val="21"/>
    </w:rPr>
  </w:style>
  <w:style w:type="paragraph" w:customStyle="1" w:styleId="192">
    <w:name w:val="Char Char Char Char Char Char"/>
    <w:basedOn w:val="1"/>
    <w:qFormat/>
    <w:uiPriority w:val="0"/>
    <w:rPr>
      <w:szCs w:val="20"/>
    </w:rPr>
  </w:style>
  <w:style w:type="paragraph" w:customStyle="1" w:styleId="193">
    <w:name w:val="1"/>
    <w:basedOn w:val="1"/>
    <w:next w:val="19"/>
    <w:qFormat/>
    <w:uiPriority w:val="0"/>
    <w:pPr>
      <w:widowControl/>
      <w:spacing w:line="302" w:lineRule="exact"/>
    </w:pPr>
  </w:style>
  <w:style w:type="paragraph" w:customStyle="1" w:styleId="194">
    <w:name w:val="Char Char Char1 Char"/>
    <w:basedOn w:val="1"/>
    <w:qFormat/>
    <w:uiPriority w:val="0"/>
    <w:rPr>
      <w:rFonts w:ascii="宋体" w:hAnsi="宋体" w:cs="宋体"/>
    </w:rPr>
  </w:style>
  <w:style w:type="paragraph" w:customStyle="1" w:styleId="195">
    <w:name w:val="Char"/>
    <w:basedOn w:val="1"/>
    <w:qFormat/>
    <w:uiPriority w:val="0"/>
    <w:pPr>
      <w:snapToGrid w:val="0"/>
      <w:ind w:firstLine="529"/>
    </w:pPr>
    <w:rPr>
      <w:rFonts w:ascii="宋体" w:hAnsi="宋体"/>
      <w:b/>
    </w:rPr>
  </w:style>
  <w:style w:type="paragraph" w:customStyle="1" w:styleId="196">
    <w:name w:val="Char Char Char Char Char Char Char"/>
    <w:basedOn w:val="1"/>
    <w:qFormat/>
    <w:uiPriority w:val="0"/>
  </w:style>
  <w:style w:type="paragraph" w:customStyle="1" w:styleId="197">
    <w:name w:val="表头文字"/>
    <w:basedOn w:val="26"/>
    <w:qFormat/>
    <w:uiPriority w:val="0"/>
    <w:pPr>
      <w:spacing w:line="480" w:lineRule="exact"/>
      <w:jc w:val="center"/>
    </w:pPr>
    <w:rPr>
      <w:spacing w:val="2"/>
      <w:szCs w:val="20"/>
    </w:rPr>
  </w:style>
  <w:style w:type="paragraph" w:customStyle="1" w:styleId="198">
    <w:name w:val="正文标准样式"/>
    <w:basedOn w:val="1"/>
    <w:qFormat/>
    <w:uiPriority w:val="0"/>
    <w:pPr>
      <w:adjustRightInd w:val="0"/>
      <w:spacing w:line="300" w:lineRule="auto"/>
      <w:ind w:firstLine="482"/>
      <w:textAlignment w:val="baseline"/>
    </w:pPr>
    <w:rPr>
      <w:kern w:val="0"/>
      <w:szCs w:val="20"/>
    </w:rPr>
  </w:style>
  <w:style w:type="paragraph" w:customStyle="1" w:styleId="199">
    <w:name w:val="样式 标题 1 + 黑体 二号 两端对齐"/>
    <w:basedOn w:val="2"/>
    <w:qFormat/>
    <w:uiPriority w:val="0"/>
    <w:pPr>
      <w:keepLines w:val="0"/>
      <w:widowControl/>
      <w:tabs>
        <w:tab w:val="left" w:pos="432"/>
        <w:tab w:val="right" w:pos="8640"/>
      </w:tabs>
      <w:spacing w:line="240" w:lineRule="auto"/>
      <w:ind w:left="432" w:hanging="432"/>
    </w:pPr>
    <w:rPr>
      <w:rFonts w:ascii="黑体" w:hAnsi="Garamond" w:eastAsia="黑体" w:cs="宋体"/>
      <w:bCs/>
      <w:snapToGrid w:val="0"/>
      <w:spacing w:val="-2"/>
      <w:kern w:val="0"/>
      <w:sz w:val="44"/>
      <w:szCs w:val="20"/>
    </w:rPr>
  </w:style>
  <w:style w:type="paragraph" w:customStyle="1" w:styleId="200">
    <w:name w:val="山焦报告正文"/>
    <w:basedOn w:val="1"/>
    <w:qFormat/>
    <w:uiPriority w:val="0"/>
    <w:pPr>
      <w:adjustRightInd w:val="0"/>
      <w:snapToGrid w:val="0"/>
      <w:spacing w:before="25" w:beforeLines="25" w:line="440" w:lineRule="exact"/>
    </w:pPr>
    <w:rPr>
      <w:color w:val="000000"/>
    </w:rPr>
  </w:style>
  <w:style w:type="paragraph" w:customStyle="1" w:styleId="201">
    <w:name w:val="图题"/>
    <w:basedOn w:val="1"/>
    <w:qFormat/>
    <w:uiPriority w:val="0"/>
    <w:pPr>
      <w:adjustRightInd w:val="0"/>
      <w:jc w:val="left"/>
      <w:textAlignment w:val="baseline"/>
    </w:pPr>
    <w:rPr>
      <w:rFonts w:eastAsia="黑体"/>
      <w:sz w:val="28"/>
      <w:szCs w:val="20"/>
    </w:rPr>
  </w:style>
  <w:style w:type="paragraph" w:customStyle="1" w:styleId="202">
    <w:name w:val="Char Char Char Char Char Char Char1"/>
    <w:basedOn w:val="1"/>
    <w:next w:val="1"/>
    <w:qFormat/>
    <w:uiPriority w:val="0"/>
    <w:rPr>
      <w:rFonts w:ascii="宋体" w:hAnsi="宋体" w:cs="宋体"/>
    </w:rPr>
  </w:style>
  <w:style w:type="paragraph" w:customStyle="1" w:styleId="203">
    <w:name w:val="样式5"/>
    <w:basedOn w:val="32"/>
    <w:qFormat/>
    <w:uiPriority w:val="0"/>
    <w:pPr>
      <w:pBdr>
        <w:top w:val="thinThickSmallGap" w:color="auto" w:sz="24" w:space="1"/>
      </w:pBdr>
    </w:pPr>
  </w:style>
  <w:style w:type="paragraph" w:customStyle="1" w:styleId="204">
    <w:name w:val="Char Char Char Char Char Char Char Char Char Char"/>
    <w:basedOn w:val="1"/>
    <w:qFormat/>
    <w:uiPriority w:val="0"/>
    <w:pPr>
      <w:snapToGrid w:val="0"/>
      <w:ind w:firstLine="529"/>
    </w:pPr>
    <w:rPr>
      <w:rFonts w:ascii="宋体" w:hAnsi="宋体"/>
      <w:b/>
    </w:rPr>
  </w:style>
  <w:style w:type="paragraph" w:customStyle="1" w:styleId="205">
    <w:name w:val="表格式"/>
    <w:basedOn w:val="40"/>
    <w:qFormat/>
    <w:uiPriority w:val="0"/>
    <w:pPr>
      <w:numPr>
        <w:numId w:val="0"/>
      </w:numPr>
      <w:spacing w:before="156" w:beforeLines="50" w:after="156" w:afterLines="50" w:line="240" w:lineRule="exact"/>
    </w:pPr>
    <w:rPr>
      <w:b w:val="0"/>
      <w:sz w:val="21"/>
      <w:szCs w:val="20"/>
    </w:rPr>
  </w:style>
  <w:style w:type="paragraph" w:customStyle="1" w:styleId="206">
    <w:name w:val="Char Char Char Char Char Char Char Char Char Char Char Char Char Char Char Char"/>
    <w:basedOn w:val="1"/>
    <w:semiHidden/>
    <w:qFormat/>
    <w:uiPriority w:val="0"/>
    <w:pPr>
      <w:adjustRightInd w:val="0"/>
      <w:snapToGrid w:val="0"/>
    </w:pPr>
    <w:rPr>
      <w:rFonts w:eastAsia="楷体_GB2312"/>
    </w:rPr>
  </w:style>
  <w:style w:type="paragraph" w:customStyle="1" w:styleId="207">
    <w:name w:val="Char Char Char Char"/>
    <w:basedOn w:val="1"/>
    <w:qFormat/>
    <w:uiPriority w:val="0"/>
    <w:pPr>
      <w:snapToGrid w:val="0"/>
      <w:ind w:firstLine="529"/>
    </w:pPr>
    <w:rPr>
      <w:rFonts w:ascii="宋体" w:hAnsi="宋体"/>
      <w:b/>
    </w:rPr>
  </w:style>
  <w:style w:type="paragraph" w:customStyle="1" w:styleId="208">
    <w:name w:val="默认段落字体 Para Char Char Char Char"/>
    <w:basedOn w:val="1"/>
    <w:qFormat/>
    <w:uiPriority w:val="0"/>
  </w:style>
  <w:style w:type="paragraph" w:customStyle="1" w:styleId="209">
    <w:name w:val="表格，五宋"/>
    <w:qFormat/>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210">
    <w:name w:val="Char Char Char1 Char Char Char Char Char Char Char"/>
    <w:basedOn w:val="1"/>
    <w:qFormat/>
    <w:uiPriority w:val="0"/>
    <w:rPr>
      <w:rFonts w:ascii="宋体" w:hAnsi="宋体" w:cs="宋体"/>
    </w:rPr>
  </w:style>
  <w:style w:type="paragraph" w:customStyle="1" w:styleId="211">
    <w:name w:val="new_top_ssk"/>
    <w:basedOn w:val="1"/>
    <w:qFormat/>
    <w:uiPriority w:val="0"/>
    <w:pPr>
      <w:widowControl/>
      <w:spacing w:before="75" w:line="525" w:lineRule="atLeast"/>
      <w:jc w:val="center"/>
    </w:pPr>
    <w:rPr>
      <w:rFonts w:ascii="宋体" w:hAnsi="宋体" w:cs="宋体"/>
      <w:kern w:val="0"/>
    </w:rPr>
  </w:style>
  <w:style w:type="paragraph" w:customStyle="1" w:styleId="212">
    <w:name w:val="2级"/>
    <w:basedOn w:val="1"/>
    <w:qFormat/>
    <w:uiPriority w:val="0"/>
    <w:rPr>
      <w:rFonts w:eastAsia="黑体"/>
      <w:b/>
      <w:sz w:val="28"/>
      <w:szCs w:val="20"/>
    </w:rPr>
  </w:style>
  <w:style w:type="paragraph" w:customStyle="1" w:styleId="213">
    <w:name w:val="right_01_4_2"/>
    <w:basedOn w:val="1"/>
    <w:qFormat/>
    <w:uiPriority w:val="0"/>
    <w:pPr>
      <w:widowControl/>
      <w:spacing w:before="100" w:beforeAutospacing="1" w:after="100" w:afterAutospacing="1" w:line="300" w:lineRule="atLeast"/>
      <w:jc w:val="left"/>
    </w:pPr>
    <w:rPr>
      <w:rFonts w:ascii="宋体" w:hAnsi="宋体" w:cs="宋体"/>
      <w:color w:val="636363"/>
      <w:kern w:val="0"/>
      <w:sz w:val="18"/>
      <w:szCs w:val="18"/>
    </w:rPr>
  </w:style>
  <w:style w:type="paragraph" w:customStyle="1" w:styleId="214">
    <w:name w:val="F00"/>
    <w:basedOn w:val="1"/>
    <w:qFormat/>
    <w:uiPriority w:val="0"/>
    <w:pPr>
      <w:spacing w:before="50" w:beforeLines="50" w:line="0" w:lineRule="atLeast"/>
    </w:pPr>
    <w:rPr>
      <w:rFonts w:eastAsia="仿宋_GB2312"/>
      <w:kern w:val="24"/>
      <w:sz w:val="28"/>
      <w:szCs w:val="28"/>
    </w:rPr>
  </w:style>
  <w:style w:type="paragraph" w:customStyle="1" w:styleId="215">
    <w:name w:val="默认段落字体 Para Char"/>
    <w:basedOn w:val="1"/>
    <w:next w:val="1"/>
    <w:qFormat/>
    <w:uiPriority w:val="0"/>
    <w:rPr>
      <w:rFonts w:ascii="宋体" w:hAnsi="宋体" w:cs="宋体"/>
    </w:rPr>
  </w:style>
  <w:style w:type="paragraph" w:customStyle="1" w:styleId="216">
    <w:name w:val="正文首缩"/>
    <w:basedOn w:val="1"/>
    <w:next w:val="5"/>
    <w:qFormat/>
    <w:uiPriority w:val="0"/>
    <w:pPr>
      <w:adjustRightInd w:val="0"/>
      <w:spacing w:line="324" w:lineRule="auto"/>
      <w:ind w:firstLine="567"/>
    </w:pPr>
    <w:rPr>
      <w:kern w:val="0"/>
      <w:sz w:val="28"/>
      <w:szCs w:val="20"/>
    </w:rPr>
  </w:style>
  <w:style w:type="paragraph" w:customStyle="1" w:styleId="217">
    <w:name w:val="段落1"/>
    <w:basedOn w:val="1"/>
    <w:qFormat/>
    <w:uiPriority w:val="0"/>
    <w:pPr>
      <w:spacing w:line="480" w:lineRule="exact"/>
    </w:pPr>
    <w:rPr>
      <w:rFonts w:eastAsia="楷体_GB2312"/>
      <w:spacing w:val="6"/>
      <w:sz w:val="28"/>
    </w:rPr>
  </w:style>
  <w:style w:type="paragraph" w:customStyle="1" w:styleId="218">
    <w:name w:val="top_text_2"/>
    <w:basedOn w:val="1"/>
    <w:qFormat/>
    <w:uiPriority w:val="0"/>
    <w:pPr>
      <w:widowControl/>
      <w:spacing w:before="100" w:beforeAutospacing="1" w:after="100" w:afterAutospacing="1"/>
      <w:jc w:val="left"/>
    </w:pPr>
    <w:rPr>
      <w:rFonts w:ascii="ˎ̥" w:hAnsi="ˎ̥" w:cs="宋体"/>
      <w:color w:val="911657"/>
      <w:kern w:val="0"/>
      <w:sz w:val="18"/>
      <w:szCs w:val="18"/>
    </w:rPr>
  </w:style>
  <w:style w:type="paragraph" w:customStyle="1" w:styleId="219">
    <w:name w:val="left_03_1_2_1"/>
    <w:basedOn w:val="1"/>
    <w:qFormat/>
    <w:uiPriority w:val="0"/>
    <w:pPr>
      <w:widowControl/>
      <w:pBdr>
        <w:bottom w:val="dotted" w:color="DBDBDB" w:sz="6" w:space="0"/>
      </w:pBdr>
      <w:shd w:val="clear" w:color="auto" w:fill="FFFFFF"/>
      <w:spacing w:before="75"/>
      <w:jc w:val="left"/>
    </w:pPr>
    <w:rPr>
      <w:rFonts w:ascii="宋体" w:hAnsi="宋体" w:cs="宋体"/>
      <w:kern w:val="0"/>
    </w:rPr>
  </w:style>
  <w:style w:type="paragraph" w:customStyle="1" w:styleId="220">
    <w:name w:val="报告书表头"/>
    <w:basedOn w:val="7"/>
    <w:qFormat/>
    <w:uiPriority w:val="0"/>
    <w:pPr>
      <w:tabs>
        <w:tab w:val="clear" w:pos="4620"/>
      </w:tabs>
      <w:adjustRightInd/>
      <w:snapToGrid/>
      <w:spacing w:line="240" w:lineRule="auto"/>
    </w:pPr>
    <w:rPr>
      <w:rFonts w:ascii="黑体"/>
      <w:b w:val="0"/>
      <w:szCs w:val="20"/>
    </w:rPr>
  </w:style>
  <w:style w:type="paragraph" w:customStyle="1" w:styleId="221">
    <w:name w:val="段落"/>
    <w:basedOn w:val="1"/>
    <w:qFormat/>
    <w:uiPriority w:val="0"/>
    <w:pPr>
      <w:spacing w:line="540" w:lineRule="exact"/>
    </w:pPr>
  </w:style>
  <w:style w:type="paragraph" w:customStyle="1" w:styleId="222">
    <w:name w:val="_Style 16"/>
    <w:basedOn w:val="1"/>
    <w:semiHidden/>
    <w:qFormat/>
    <w:uiPriority w:val="0"/>
    <w:pPr>
      <w:spacing w:after="156" w:afterLines="50" w:line="520" w:lineRule="exact"/>
      <w:jc w:val="center"/>
    </w:pPr>
    <w:rPr>
      <w:rFonts w:ascii="Arial" w:hAnsi="Arial" w:eastAsia="仿宋_GB2312"/>
      <w:sz w:val="28"/>
      <w:szCs w:val="28"/>
    </w:rPr>
  </w:style>
  <w:style w:type="paragraph" w:customStyle="1" w:styleId="223">
    <w:name w:val="right_02"/>
    <w:basedOn w:val="1"/>
    <w:qFormat/>
    <w:uiPriority w:val="0"/>
    <w:pPr>
      <w:widowControl/>
      <w:pBdr>
        <w:top w:val="single" w:color="DBDBDB" w:sz="6" w:space="0"/>
        <w:left w:val="single" w:color="DBDBDB" w:sz="6" w:space="0"/>
        <w:bottom w:val="single" w:color="DBDBDB" w:sz="6" w:space="0"/>
        <w:right w:val="single" w:color="DBDBDB" w:sz="6" w:space="0"/>
      </w:pBdr>
      <w:shd w:val="clear" w:color="auto" w:fill="FFFFFF"/>
      <w:spacing w:before="150" w:after="100" w:afterAutospacing="1"/>
      <w:jc w:val="left"/>
    </w:pPr>
    <w:rPr>
      <w:rFonts w:ascii="宋体" w:hAnsi="宋体" w:cs="宋体"/>
      <w:kern w:val="0"/>
    </w:rPr>
  </w:style>
  <w:style w:type="paragraph" w:customStyle="1" w:styleId="224">
    <w:name w:val="left-07_2"/>
    <w:basedOn w:val="1"/>
    <w:qFormat/>
    <w:uiPriority w:val="0"/>
    <w:pPr>
      <w:widowControl/>
      <w:pBdr>
        <w:top w:val="single" w:color="DBDBDB" w:sz="6" w:space="0"/>
        <w:left w:val="single" w:color="DBDBDB" w:sz="6" w:space="0"/>
        <w:bottom w:val="single" w:color="DBDBDB" w:sz="6" w:space="0"/>
        <w:right w:val="single" w:color="DBDBDB" w:sz="6" w:space="0"/>
      </w:pBdr>
      <w:spacing w:before="100" w:beforeAutospacing="1" w:after="100" w:afterAutospacing="1"/>
      <w:jc w:val="left"/>
    </w:pPr>
    <w:rPr>
      <w:rFonts w:ascii="宋体" w:hAnsi="宋体" w:cs="宋体"/>
      <w:kern w:val="0"/>
    </w:rPr>
  </w:style>
  <w:style w:type="paragraph" w:customStyle="1" w:styleId="225">
    <w:name w:val="left_01_2_3"/>
    <w:basedOn w:val="1"/>
    <w:qFormat/>
    <w:uiPriority w:val="0"/>
    <w:pPr>
      <w:widowControl/>
      <w:pBdr>
        <w:top w:val="single" w:color="CCCCCC" w:sz="6" w:space="2"/>
        <w:left w:val="single" w:color="CCCCCC" w:sz="6" w:space="4"/>
        <w:bottom w:val="single" w:color="CCCCCC" w:sz="6" w:space="0"/>
        <w:right w:val="single" w:color="CCCCCC" w:sz="6" w:space="0"/>
      </w:pBdr>
      <w:spacing w:before="150" w:line="300" w:lineRule="atLeast"/>
      <w:jc w:val="left"/>
    </w:pPr>
    <w:rPr>
      <w:rFonts w:ascii="宋体" w:hAnsi="宋体" w:cs="宋体"/>
      <w:kern w:val="0"/>
    </w:rPr>
  </w:style>
  <w:style w:type="paragraph" w:customStyle="1" w:styleId="226">
    <w:name w:val="F04"/>
    <w:basedOn w:val="1"/>
    <w:qFormat/>
    <w:uiPriority w:val="0"/>
    <w:pPr>
      <w:snapToGrid w:val="0"/>
      <w:spacing w:line="320" w:lineRule="exact"/>
      <w:outlineLvl w:val="0"/>
    </w:pPr>
    <w:rPr>
      <w:rFonts w:ascii="宋体" w:hAnsi="宋体"/>
      <w:b/>
      <w:szCs w:val="21"/>
    </w:rPr>
  </w:style>
  <w:style w:type="paragraph" w:customStyle="1" w:styleId="227">
    <w:name w:val="top_text"/>
    <w:basedOn w:val="1"/>
    <w:qFormat/>
    <w:uiPriority w:val="0"/>
    <w:pPr>
      <w:widowControl/>
      <w:spacing w:before="100" w:beforeAutospacing="1" w:after="100" w:afterAutospacing="1"/>
      <w:jc w:val="right"/>
    </w:pPr>
    <w:rPr>
      <w:rFonts w:ascii="ˎ̥" w:hAnsi="ˎ̥" w:cs="宋体"/>
      <w:color w:val="044E97"/>
      <w:kern w:val="0"/>
      <w:sz w:val="18"/>
      <w:szCs w:val="18"/>
    </w:rPr>
  </w:style>
  <w:style w:type="paragraph" w:customStyle="1" w:styleId="228">
    <w:name w:val="left-07_1"/>
    <w:basedOn w:val="1"/>
    <w:qFormat/>
    <w:uiPriority w:val="0"/>
    <w:pPr>
      <w:widowControl/>
      <w:pBdr>
        <w:top w:val="single" w:color="DBDBDB" w:sz="6" w:space="0"/>
        <w:left w:val="single" w:color="DBDBDB" w:sz="6" w:space="0"/>
        <w:bottom w:val="single" w:color="DBDBDB" w:sz="6" w:space="0"/>
        <w:right w:val="single" w:color="DBDBDB" w:sz="6" w:space="0"/>
      </w:pBdr>
      <w:spacing w:before="100" w:beforeAutospacing="1" w:after="100" w:afterAutospacing="1"/>
      <w:jc w:val="left"/>
    </w:pPr>
    <w:rPr>
      <w:rFonts w:ascii="宋体" w:hAnsi="宋体" w:cs="宋体"/>
      <w:kern w:val="0"/>
    </w:rPr>
  </w:style>
  <w:style w:type="paragraph" w:customStyle="1" w:styleId="229">
    <w:name w:val="F00_02"/>
    <w:basedOn w:val="1"/>
    <w:qFormat/>
    <w:uiPriority w:val="0"/>
    <w:pPr>
      <w:snapToGrid w:val="0"/>
      <w:spacing w:line="380" w:lineRule="exact"/>
      <w:outlineLvl w:val="7"/>
    </w:pPr>
    <w:rPr>
      <w:rFonts w:ascii="宋体" w:hAnsi="宋体"/>
      <w:bCs/>
    </w:rPr>
  </w:style>
  <w:style w:type="paragraph" w:customStyle="1" w:styleId="230">
    <w:name w:val="right_01_4"/>
    <w:basedOn w:val="1"/>
    <w:qFormat/>
    <w:uiPriority w:val="0"/>
    <w:pPr>
      <w:widowControl/>
      <w:spacing w:before="100" w:beforeAutospacing="1" w:after="100" w:afterAutospacing="1"/>
      <w:jc w:val="left"/>
    </w:pPr>
    <w:rPr>
      <w:rFonts w:ascii="宋体" w:hAnsi="宋体" w:cs="宋体"/>
      <w:kern w:val="0"/>
    </w:rPr>
  </w:style>
  <w:style w:type="paragraph" w:customStyle="1" w:styleId="231">
    <w:name w:val="left_zt"/>
    <w:basedOn w:val="1"/>
    <w:qFormat/>
    <w:uiPriority w:val="0"/>
    <w:pPr>
      <w:widowControl/>
      <w:spacing w:before="100" w:beforeAutospacing="1" w:after="100" w:afterAutospacing="1"/>
      <w:jc w:val="left"/>
    </w:pPr>
    <w:rPr>
      <w:rFonts w:ascii="ˎ̥" w:hAnsi="ˎ̥" w:cs="宋体"/>
      <w:b/>
      <w:bCs/>
      <w:color w:val="044E97"/>
      <w:kern w:val="0"/>
      <w:szCs w:val="21"/>
    </w:rPr>
  </w:style>
  <w:style w:type="paragraph" w:customStyle="1" w:styleId="232">
    <w:name w:val="Normal1"/>
    <w:qFormat/>
    <w:uiPriority w:val="0"/>
    <w:pPr>
      <w:widowControl w:val="0"/>
      <w:adjustRightInd w:val="0"/>
      <w:spacing w:line="315" w:lineRule="atLeast"/>
      <w:jc w:val="both"/>
      <w:textAlignment w:val="baseline"/>
    </w:pPr>
    <w:rPr>
      <w:rFonts w:ascii="宋体" w:hAnsi="Times New Roman" w:eastAsia="宋体" w:cs="Times New Roman"/>
      <w:sz w:val="21"/>
      <w:lang w:val="en-US" w:eastAsia="zh-CN" w:bidi="ar-SA"/>
    </w:rPr>
  </w:style>
  <w:style w:type="paragraph" w:customStyle="1" w:styleId="233">
    <w:name w:val="left"/>
    <w:basedOn w:val="1"/>
    <w:qFormat/>
    <w:uiPriority w:val="0"/>
    <w:pPr>
      <w:widowControl/>
      <w:jc w:val="left"/>
    </w:pPr>
    <w:rPr>
      <w:rFonts w:ascii="宋体" w:hAnsi="宋体" w:cs="宋体"/>
      <w:kern w:val="0"/>
    </w:rPr>
  </w:style>
  <w:style w:type="paragraph" w:customStyle="1" w:styleId="234">
    <w:name w:val="top_menu_05"/>
    <w:basedOn w:val="1"/>
    <w:qFormat/>
    <w:uiPriority w:val="0"/>
    <w:pPr>
      <w:widowControl/>
      <w:spacing w:before="100" w:beforeAutospacing="1" w:after="100" w:afterAutospacing="1"/>
      <w:jc w:val="left"/>
    </w:pPr>
    <w:rPr>
      <w:rFonts w:ascii="宋体" w:hAnsi="宋体" w:cs="宋体"/>
      <w:kern w:val="0"/>
    </w:rPr>
  </w:style>
  <w:style w:type="paragraph" w:customStyle="1" w:styleId="235">
    <w:name w:val="top_hot"/>
    <w:basedOn w:val="1"/>
    <w:qFormat/>
    <w:uiPriority w:val="0"/>
    <w:pPr>
      <w:widowControl/>
      <w:spacing w:line="375" w:lineRule="atLeast"/>
      <w:jc w:val="center"/>
    </w:pPr>
    <w:rPr>
      <w:rFonts w:ascii="宋体" w:hAnsi="宋体" w:cs="宋体"/>
      <w:color w:val="FFFFFF"/>
      <w:kern w:val="0"/>
      <w:sz w:val="18"/>
      <w:szCs w:val="18"/>
    </w:rPr>
  </w:style>
  <w:style w:type="paragraph" w:customStyle="1" w:styleId="236">
    <w:name w:val="left_01_1"/>
    <w:basedOn w:val="1"/>
    <w:qFormat/>
    <w:uiPriority w:val="0"/>
    <w:pPr>
      <w:widowControl/>
      <w:spacing w:before="100" w:beforeAutospacing="1" w:after="100" w:afterAutospacing="1"/>
      <w:jc w:val="left"/>
    </w:pPr>
    <w:rPr>
      <w:rFonts w:ascii="宋体" w:hAnsi="宋体" w:cs="宋体"/>
      <w:kern w:val="0"/>
    </w:rPr>
  </w:style>
  <w:style w:type="paragraph" w:customStyle="1" w:styleId="237">
    <w:name w:val="新利正文"/>
    <w:basedOn w:val="1"/>
    <w:qFormat/>
    <w:uiPriority w:val="0"/>
    <w:pPr>
      <w:adjustRightInd w:val="0"/>
      <w:snapToGrid w:val="0"/>
      <w:spacing w:before="25" w:beforeLines="25" w:line="440" w:lineRule="exact"/>
    </w:pPr>
    <w:rPr>
      <w:color w:val="000000"/>
    </w:rPr>
  </w:style>
  <w:style w:type="paragraph" w:customStyle="1" w:styleId="238">
    <w:name w:val="left_03_1_2_1_a"/>
    <w:basedOn w:val="1"/>
    <w:qFormat/>
    <w:uiPriority w:val="0"/>
    <w:pPr>
      <w:widowControl/>
      <w:shd w:val="clear" w:color="auto" w:fill="FFFFFF"/>
      <w:ind w:right="75"/>
      <w:jc w:val="left"/>
    </w:pPr>
    <w:rPr>
      <w:rFonts w:ascii="宋体" w:hAnsi="宋体" w:cs="宋体"/>
      <w:kern w:val="0"/>
    </w:rPr>
  </w:style>
  <w:style w:type="paragraph" w:customStyle="1" w:styleId="239">
    <w:name w:val="left_03_1"/>
    <w:basedOn w:val="1"/>
    <w:qFormat/>
    <w:uiPriority w:val="0"/>
    <w:pPr>
      <w:widowControl/>
      <w:pBdr>
        <w:top w:val="single" w:color="DBDBDB" w:sz="6" w:space="0"/>
        <w:left w:val="single" w:color="DBDBDB" w:sz="6" w:space="0"/>
        <w:bottom w:val="single" w:color="DBDBDB" w:sz="6" w:space="0"/>
        <w:right w:val="single" w:color="DBDBDB" w:sz="6" w:space="0"/>
      </w:pBdr>
      <w:spacing w:before="100" w:beforeAutospacing="1" w:after="100" w:afterAutospacing="1" w:line="360" w:lineRule="atLeast"/>
      <w:jc w:val="left"/>
    </w:pPr>
    <w:rPr>
      <w:rFonts w:ascii="宋体" w:hAnsi="宋体" w:cs="宋体"/>
      <w:kern w:val="0"/>
    </w:rPr>
  </w:style>
  <w:style w:type="paragraph" w:customStyle="1" w:styleId="240">
    <w:name w:val="left_01_2_2"/>
    <w:basedOn w:val="1"/>
    <w:qFormat/>
    <w:uiPriority w:val="0"/>
    <w:pPr>
      <w:widowControl/>
      <w:pBdr>
        <w:bottom w:val="dotted" w:color="999999" w:sz="6" w:space="0"/>
      </w:pBdr>
      <w:jc w:val="left"/>
    </w:pPr>
    <w:rPr>
      <w:rFonts w:ascii="宋体" w:hAnsi="宋体" w:cs="宋体"/>
      <w:kern w:val="0"/>
    </w:rPr>
  </w:style>
  <w:style w:type="paragraph" w:customStyle="1" w:styleId="241">
    <w:name w:val="left_01_1_1"/>
    <w:basedOn w:val="1"/>
    <w:qFormat/>
    <w:uiPriority w:val="0"/>
    <w:pPr>
      <w:widowControl/>
      <w:pBdr>
        <w:top w:val="single" w:color="DBDBDB" w:sz="6" w:space="4"/>
        <w:left w:val="single" w:color="DBDBDB" w:sz="6" w:space="0"/>
        <w:bottom w:val="single" w:color="DBDBDB" w:sz="6" w:space="0"/>
        <w:right w:val="single" w:color="DBDBDB" w:sz="6" w:space="0"/>
      </w:pBdr>
      <w:shd w:val="clear" w:color="auto" w:fill="EEEFF1"/>
      <w:spacing w:before="100" w:beforeAutospacing="1" w:after="100" w:afterAutospacing="1"/>
      <w:jc w:val="left"/>
    </w:pPr>
    <w:rPr>
      <w:rFonts w:ascii="宋体" w:hAnsi="宋体" w:cs="宋体"/>
      <w:kern w:val="0"/>
    </w:rPr>
  </w:style>
  <w:style w:type="paragraph" w:customStyle="1" w:styleId="242">
    <w:name w:val="正文（小间距）"/>
    <w:basedOn w:val="1"/>
    <w:qFormat/>
    <w:uiPriority w:val="0"/>
    <w:pPr>
      <w:snapToGrid w:val="0"/>
      <w:spacing w:line="440" w:lineRule="exact"/>
      <w:ind w:firstLine="482"/>
    </w:pPr>
    <w:rPr>
      <w:szCs w:val="20"/>
    </w:rPr>
  </w:style>
  <w:style w:type="paragraph" w:customStyle="1" w:styleId="243">
    <w:name w:val="left-07_2_3"/>
    <w:basedOn w:val="1"/>
    <w:qFormat/>
    <w:uiPriority w:val="0"/>
    <w:pPr>
      <w:widowControl/>
      <w:spacing w:before="100" w:beforeAutospacing="1" w:after="100" w:afterAutospacing="1"/>
      <w:jc w:val="left"/>
    </w:pPr>
    <w:rPr>
      <w:rFonts w:ascii="宋体" w:hAnsi="宋体" w:cs="宋体"/>
      <w:kern w:val="0"/>
    </w:rPr>
  </w:style>
  <w:style w:type="paragraph" w:customStyle="1" w:styleId="244">
    <w:name w:val="bq_font"/>
    <w:basedOn w:val="1"/>
    <w:qFormat/>
    <w:uiPriority w:val="0"/>
    <w:pPr>
      <w:widowControl/>
      <w:spacing w:before="100" w:beforeAutospacing="1" w:after="100" w:afterAutospacing="1"/>
      <w:jc w:val="left"/>
    </w:pPr>
    <w:rPr>
      <w:rFonts w:ascii="宋体" w:hAnsi="宋体" w:cs="宋体"/>
      <w:b/>
      <w:bCs/>
      <w:color w:val="C72401"/>
      <w:kern w:val="0"/>
      <w:sz w:val="18"/>
      <w:szCs w:val="18"/>
    </w:rPr>
  </w:style>
  <w:style w:type="paragraph" w:customStyle="1" w:styleId="245">
    <w:name w:val="left_01_1_2"/>
    <w:basedOn w:val="1"/>
    <w:qFormat/>
    <w:uiPriority w:val="0"/>
    <w:pPr>
      <w:widowControl/>
      <w:pBdr>
        <w:top w:val="single" w:color="DBDBDB" w:sz="6" w:space="0"/>
        <w:left w:val="single" w:color="DBDBDB" w:sz="6" w:space="0"/>
        <w:bottom w:val="single" w:color="DBDBDB" w:sz="6" w:space="0"/>
        <w:right w:val="single" w:color="DBDBDB" w:sz="6" w:space="0"/>
      </w:pBdr>
      <w:spacing w:before="75"/>
      <w:jc w:val="left"/>
    </w:pPr>
    <w:rPr>
      <w:rFonts w:ascii="宋体" w:hAnsi="宋体" w:cs="宋体"/>
      <w:kern w:val="0"/>
    </w:rPr>
  </w:style>
  <w:style w:type="paragraph" w:customStyle="1" w:styleId="246">
    <w:name w:val="left_02_2"/>
    <w:basedOn w:val="1"/>
    <w:qFormat/>
    <w:uiPriority w:val="0"/>
    <w:pPr>
      <w:widowControl/>
      <w:spacing w:before="100" w:beforeAutospacing="1" w:after="100" w:afterAutospacing="1"/>
      <w:jc w:val="right"/>
    </w:pPr>
    <w:rPr>
      <w:rFonts w:ascii="宋体" w:hAnsi="宋体" w:cs="宋体"/>
      <w:color w:val="646263"/>
      <w:kern w:val="0"/>
      <w:sz w:val="18"/>
      <w:szCs w:val="18"/>
    </w:rPr>
  </w:style>
  <w:style w:type="paragraph" w:customStyle="1" w:styleId="247">
    <w:name w:val="left_022"/>
    <w:basedOn w:val="1"/>
    <w:qFormat/>
    <w:uiPriority w:val="0"/>
    <w:pPr>
      <w:widowControl/>
      <w:shd w:val="clear" w:color="auto" w:fill="0000FF"/>
      <w:spacing w:before="75" w:after="75"/>
      <w:jc w:val="left"/>
    </w:pPr>
    <w:rPr>
      <w:rFonts w:ascii="宋体" w:hAnsi="宋体" w:cs="宋体"/>
      <w:kern w:val="0"/>
    </w:rPr>
  </w:style>
  <w:style w:type="paragraph" w:customStyle="1" w:styleId="248">
    <w:name w:val="left_01_1_5"/>
    <w:basedOn w:val="1"/>
    <w:qFormat/>
    <w:uiPriority w:val="0"/>
    <w:pPr>
      <w:widowControl/>
      <w:spacing w:before="100" w:beforeAutospacing="1" w:after="100" w:afterAutospacing="1" w:line="300" w:lineRule="atLeast"/>
      <w:jc w:val="left"/>
    </w:pPr>
    <w:rPr>
      <w:rFonts w:ascii="宋体" w:hAnsi="宋体" w:cs="宋体"/>
      <w:color w:val="646263"/>
      <w:kern w:val="0"/>
      <w:sz w:val="18"/>
      <w:szCs w:val="18"/>
    </w:rPr>
  </w:style>
  <w:style w:type="paragraph" w:customStyle="1" w:styleId="249">
    <w:name w:val="left_01_2_1"/>
    <w:basedOn w:val="1"/>
    <w:qFormat/>
    <w:uiPriority w:val="0"/>
    <w:pPr>
      <w:widowControl/>
      <w:spacing w:before="100" w:beforeAutospacing="1" w:after="100" w:afterAutospacing="1" w:line="300" w:lineRule="atLeast"/>
      <w:jc w:val="left"/>
    </w:pPr>
    <w:rPr>
      <w:rFonts w:ascii="宋体" w:hAnsi="宋体" w:cs="宋体"/>
      <w:color w:val="646263"/>
      <w:kern w:val="0"/>
      <w:sz w:val="18"/>
      <w:szCs w:val="18"/>
    </w:rPr>
  </w:style>
  <w:style w:type="paragraph" w:customStyle="1" w:styleId="250">
    <w:name w:val="new_editbox1"/>
    <w:basedOn w:val="1"/>
    <w:qFormat/>
    <w:uiPriority w:val="0"/>
    <w:pPr>
      <w:widowControl/>
      <w:pBdr>
        <w:top w:val="single" w:color="FFFFFF" w:sz="2" w:space="1"/>
        <w:left w:val="single" w:color="FFFFFF" w:sz="2" w:space="1"/>
        <w:bottom w:val="single" w:color="FFFFFF" w:sz="2" w:space="1"/>
        <w:right w:val="single" w:color="FFFFFF" w:sz="2" w:space="1"/>
      </w:pBdr>
      <w:spacing w:before="105"/>
      <w:ind w:left="300"/>
      <w:jc w:val="left"/>
    </w:pPr>
    <w:rPr>
      <w:rFonts w:ascii="宋体" w:hAnsi="宋体" w:cs="宋体"/>
      <w:kern w:val="0"/>
    </w:rPr>
  </w:style>
  <w:style w:type="paragraph" w:customStyle="1" w:styleId="251">
    <w:name w:val="top_info"/>
    <w:basedOn w:val="1"/>
    <w:qFormat/>
    <w:uiPriority w:val="0"/>
    <w:pPr>
      <w:widowControl/>
      <w:jc w:val="center"/>
    </w:pPr>
    <w:rPr>
      <w:rFonts w:ascii="宋体" w:hAnsi="宋体" w:cs="宋体"/>
      <w:kern w:val="0"/>
      <w:sz w:val="18"/>
      <w:szCs w:val="18"/>
    </w:rPr>
  </w:style>
  <w:style w:type="paragraph" w:customStyle="1" w:styleId="252">
    <w:name w:val="top_menu_01"/>
    <w:basedOn w:val="1"/>
    <w:qFormat/>
    <w:uiPriority w:val="0"/>
    <w:pPr>
      <w:widowControl/>
      <w:spacing w:before="100" w:beforeAutospacing="1" w:after="100" w:afterAutospacing="1"/>
      <w:jc w:val="left"/>
    </w:pPr>
    <w:rPr>
      <w:rFonts w:ascii="宋体" w:hAnsi="宋体" w:cs="宋体"/>
      <w:kern w:val="0"/>
    </w:rPr>
  </w:style>
  <w:style w:type="paragraph" w:customStyle="1" w:styleId="253">
    <w:name w:val="left_01_2_1_ft"/>
    <w:basedOn w:val="1"/>
    <w:qFormat/>
    <w:uiPriority w:val="0"/>
    <w:pPr>
      <w:widowControl/>
      <w:spacing w:before="100" w:beforeAutospacing="1" w:after="100" w:afterAutospacing="1" w:line="375" w:lineRule="atLeast"/>
      <w:jc w:val="center"/>
    </w:pPr>
    <w:rPr>
      <w:rFonts w:ascii="宋体" w:hAnsi="宋体" w:cs="宋体"/>
      <w:b/>
      <w:bCs/>
      <w:color w:val="044E97"/>
      <w:kern w:val="0"/>
    </w:rPr>
  </w:style>
  <w:style w:type="paragraph" w:customStyle="1" w:styleId="254">
    <w:name w:val="表格文字小"/>
    <w:basedOn w:val="1"/>
    <w:qFormat/>
    <w:uiPriority w:val="0"/>
    <w:pPr>
      <w:spacing w:line="400" w:lineRule="exact"/>
      <w:jc w:val="center"/>
    </w:pPr>
    <w:rPr>
      <w:szCs w:val="20"/>
    </w:rPr>
  </w:style>
  <w:style w:type="paragraph" w:customStyle="1" w:styleId="255">
    <w:name w:val="正文2"/>
    <w:basedOn w:val="1"/>
    <w:qFormat/>
    <w:uiPriority w:val="0"/>
    <w:pPr>
      <w:widowControl/>
      <w:spacing w:before="100" w:beforeAutospacing="1" w:after="100" w:afterAutospacing="1"/>
      <w:jc w:val="left"/>
    </w:pPr>
    <w:rPr>
      <w:rFonts w:ascii="宋体" w:hAnsi="宋体" w:cs="宋体"/>
      <w:kern w:val="0"/>
    </w:rPr>
  </w:style>
  <w:style w:type="paragraph" w:customStyle="1" w:styleId="256">
    <w:name w:val="left_01_2_2_1"/>
    <w:basedOn w:val="1"/>
    <w:qFormat/>
    <w:uiPriority w:val="0"/>
    <w:pPr>
      <w:widowControl/>
      <w:spacing w:before="75" w:line="300" w:lineRule="atLeast"/>
      <w:jc w:val="left"/>
    </w:pPr>
    <w:rPr>
      <w:rFonts w:ascii="宋体" w:hAnsi="宋体" w:cs="宋体"/>
      <w:color w:val="646263"/>
      <w:kern w:val="0"/>
      <w:sz w:val="18"/>
      <w:szCs w:val="18"/>
    </w:rPr>
  </w:style>
  <w:style w:type="paragraph" w:customStyle="1" w:styleId="257">
    <w:name w:val="right_01_1_font_1"/>
    <w:basedOn w:val="1"/>
    <w:qFormat/>
    <w:uiPriority w:val="0"/>
    <w:pPr>
      <w:widowControl/>
      <w:spacing w:before="100" w:beforeAutospacing="1" w:after="100" w:afterAutospacing="1"/>
      <w:jc w:val="left"/>
    </w:pPr>
    <w:rPr>
      <w:rFonts w:ascii="ˎ̥" w:hAnsi="ˎ̥" w:cs="宋体"/>
      <w:color w:val="636363"/>
      <w:kern w:val="0"/>
      <w:sz w:val="18"/>
      <w:szCs w:val="18"/>
    </w:rPr>
  </w:style>
  <w:style w:type="paragraph" w:customStyle="1" w:styleId="258">
    <w:name w:val="left-07_1_3"/>
    <w:basedOn w:val="1"/>
    <w:qFormat/>
    <w:uiPriority w:val="0"/>
    <w:pPr>
      <w:widowControl/>
      <w:spacing w:before="100" w:beforeAutospacing="1" w:after="100" w:afterAutospacing="1" w:line="300" w:lineRule="atLeast"/>
      <w:jc w:val="left"/>
    </w:pPr>
    <w:rPr>
      <w:rFonts w:ascii="宋体" w:hAnsi="宋体" w:cs="宋体"/>
      <w:color w:val="626262"/>
      <w:kern w:val="0"/>
      <w:sz w:val="18"/>
      <w:szCs w:val="18"/>
    </w:rPr>
  </w:style>
  <w:style w:type="paragraph" w:customStyle="1" w:styleId="259">
    <w:name w:val="left_01_2_33"/>
    <w:basedOn w:val="1"/>
    <w:qFormat/>
    <w:uiPriority w:val="0"/>
    <w:pPr>
      <w:widowControl/>
      <w:pBdr>
        <w:top w:val="single" w:color="EFEFEF" w:sz="6" w:space="0"/>
        <w:left w:val="single" w:color="EFEFEF" w:sz="6" w:space="0"/>
        <w:bottom w:val="single" w:color="EFEFEF" w:sz="6" w:space="0"/>
        <w:right w:val="single" w:color="EFEFEF" w:sz="6" w:space="0"/>
      </w:pBdr>
      <w:spacing w:before="100" w:beforeAutospacing="1" w:after="100" w:afterAutospacing="1"/>
      <w:jc w:val="left"/>
    </w:pPr>
    <w:rPr>
      <w:rFonts w:ascii="宋体" w:hAnsi="宋体" w:cs="宋体"/>
      <w:kern w:val="0"/>
      <w:sz w:val="18"/>
      <w:szCs w:val="18"/>
    </w:rPr>
  </w:style>
  <w:style w:type="paragraph" w:customStyle="1" w:styleId="260">
    <w:name w:val="left_04"/>
    <w:basedOn w:val="1"/>
    <w:qFormat/>
    <w:uiPriority w:val="0"/>
    <w:pPr>
      <w:widowControl/>
      <w:pBdr>
        <w:top w:val="single" w:color="CCCCCC" w:sz="6" w:space="0"/>
        <w:left w:val="single" w:color="CCCCCC" w:sz="6" w:space="0"/>
        <w:bottom w:val="single" w:color="CCCCCC" w:sz="6" w:space="0"/>
        <w:right w:val="single" w:color="CCCCCC" w:sz="6" w:space="0"/>
      </w:pBdr>
      <w:spacing w:before="105" w:after="105"/>
      <w:jc w:val="left"/>
    </w:pPr>
    <w:rPr>
      <w:rFonts w:ascii="宋体" w:hAnsi="宋体" w:cs="宋体"/>
      <w:kern w:val="0"/>
    </w:rPr>
  </w:style>
  <w:style w:type="paragraph" w:customStyle="1" w:styleId="261">
    <w:name w:val="left_02"/>
    <w:basedOn w:val="1"/>
    <w:qFormat/>
    <w:uiPriority w:val="0"/>
    <w:pPr>
      <w:widowControl/>
      <w:pBdr>
        <w:top w:val="single" w:color="DBDBDB" w:sz="6" w:space="0"/>
        <w:left w:val="single" w:color="DBDBDB" w:sz="6" w:space="0"/>
        <w:bottom w:val="single" w:color="DBDBDB" w:sz="6" w:space="0"/>
        <w:right w:val="single" w:color="DBDBDB" w:sz="6" w:space="0"/>
      </w:pBdr>
      <w:spacing w:line="345" w:lineRule="atLeast"/>
      <w:jc w:val="left"/>
    </w:pPr>
    <w:rPr>
      <w:rFonts w:ascii="宋体" w:hAnsi="宋体" w:cs="宋体"/>
      <w:kern w:val="0"/>
    </w:rPr>
  </w:style>
  <w:style w:type="paragraph" w:customStyle="1" w:styleId="262">
    <w:name w:val="left_02_1"/>
    <w:basedOn w:val="1"/>
    <w:qFormat/>
    <w:uiPriority w:val="0"/>
    <w:pPr>
      <w:widowControl/>
      <w:spacing w:before="100" w:beforeAutospacing="1" w:after="100" w:afterAutospacing="1"/>
      <w:jc w:val="left"/>
    </w:pPr>
    <w:rPr>
      <w:rFonts w:ascii="宋体" w:hAnsi="宋体" w:cs="宋体"/>
      <w:b/>
      <w:bCs/>
      <w:color w:val="FFFFFF"/>
      <w:kern w:val="0"/>
      <w:szCs w:val="21"/>
    </w:rPr>
  </w:style>
  <w:style w:type="paragraph" w:customStyle="1" w:styleId="263">
    <w:name w:val="right_01_4_1"/>
    <w:basedOn w:val="1"/>
    <w:qFormat/>
    <w:uiPriority w:val="0"/>
    <w:pPr>
      <w:widowControl/>
      <w:spacing w:before="100" w:beforeAutospacing="1" w:after="100" w:afterAutospacing="1"/>
      <w:jc w:val="left"/>
    </w:pPr>
    <w:rPr>
      <w:rFonts w:ascii="宋体" w:hAnsi="宋体" w:cs="宋体"/>
      <w:kern w:val="0"/>
    </w:rPr>
  </w:style>
  <w:style w:type="paragraph" w:customStyle="1" w:styleId="264">
    <w:name w:val="left_03"/>
    <w:basedOn w:val="1"/>
    <w:qFormat/>
    <w:uiPriority w:val="0"/>
    <w:pPr>
      <w:widowControl/>
      <w:spacing w:before="105"/>
      <w:jc w:val="left"/>
    </w:pPr>
    <w:rPr>
      <w:rFonts w:ascii="宋体" w:hAnsi="宋体" w:cs="宋体"/>
      <w:kern w:val="0"/>
    </w:rPr>
  </w:style>
  <w:style w:type="paragraph" w:customStyle="1" w:styleId="265">
    <w:name w:val="left_03_1_1_01"/>
    <w:basedOn w:val="1"/>
    <w:qFormat/>
    <w:uiPriority w:val="0"/>
    <w:pPr>
      <w:widowControl/>
      <w:pBdr>
        <w:right w:val="single" w:color="DBDBDB" w:sz="6" w:space="0"/>
      </w:pBdr>
      <w:spacing w:before="100" w:beforeAutospacing="1" w:after="100" w:afterAutospacing="1"/>
      <w:jc w:val="center"/>
    </w:pPr>
    <w:rPr>
      <w:rFonts w:ascii="宋体" w:hAnsi="宋体" w:cs="宋体"/>
      <w:color w:val="646263"/>
      <w:kern w:val="0"/>
    </w:rPr>
  </w:style>
  <w:style w:type="paragraph" w:customStyle="1" w:styleId="266">
    <w:name w:val="left_cp_zt_kd"/>
    <w:basedOn w:val="1"/>
    <w:qFormat/>
    <w:uiPriority w:val="0"/>
    <w:pPr>
      <w:widowControl/>
      <w:spacing w:before="75" w:after="75"/>
      <w:jc w:val="left"/>
    </w:pPr>
    <w:rPr>
      <w:rFonts w:ascii="宋体" w:hAnsi="宋体" w:cs="宋体"/>
      <w:kern w:val="0"/>
    </w:rPr>
  </w:style>
  <w:style w:type="paragraph" w:customStyle="1" w:styleId="267">
    <w:name w:val="left_03_1_1_02"/>
    <w:basedOn w:val="1"/>
    <w:qFormat/>
    <w:uiPriority w:val="0"/>
    <w:pPr>
      <w:widowControl/>
      <w:shd w:val="clear" w:color="auto" w:fill="DBDBDB"/>
      <w:spacing w:before="100" w:beforeAutospacing="1" w:after="100" w:afterAutospacing="1"/>
      <w:jc w:val="left"/>
    </w:pPr>
    <w:rPr>
      <w:rFonts w:ascii="宋体" w:hAnsi="宋体" w:cs="宋体"/>
      <w:kern w:val="0"/>
    </w:rPr>
  </w:style>
  <w:style w:type="paragraph" w:customStyle="1" w:styleId="268">
    <w:name w:val="top_menu_06"/>
    <w:basedOn w:val="1"/>
    <w:qFormat/>
    <w:uiPriority w:val="0"/>
    <w:pPr>
      <w:widowControl/>
      <w:spacing w:before="100" w:beforeAutospacing="1" w:after="100" w:afterAutospacing="1"/>
      <w:jc w:val="left"/>
    </w:pPr>
    <w:rPr>
      <w:rFonts w:ascii="宋体" w:hAnsi="宋体" w:cs="宋体"/>
      <w:kern w:val="0"/>
    </w:rPr>
  </w:style>
  <w:style w:type="paragraph" w:customStyle="1" w:styleId="269">
    <w:name w:val="top_menu"/>
    <w:basedOn w:val="1"/>
    <w:qFormat/>
    <w:uiPriority w:val="0"/>
    <w:pPr>
      <w:widowControl/>
      <w:jc w:val="left"/>
    </w:pPr>
    <w:rPr>
      <w:rFonts w:ascii="宋体" w:hAnsi="宋体" w:cs="宋体"/>
      <w:kern w:val="0"/>
    </w:rPr>
  </w:style>
  <w:style w:type="paragraph" w:customStyle="1" w:styleId="270">
    <w:name w:val="right_01"/>
    <w:basedOn w:val="1"/>
    <w:qFormat/>
    <w:uiPriority w:val="0"/>
    <w:pPr>
      <w:widowControl/>
      <w:pBdr>
        <w:top w:val="single" w:color="DBDBDB" w:sz="6" w:space="0"/>
        <w:left w:val="single" w:color="DBDBDB" w:sz="6" w:space="0"/>
        <w:bottom w:val="single" w:color="DBDBDB" w:sz="6" w:space="0"/>
        <w:right w:val="single" w:color="DBDBDB" w:sz="6" w:space="0"/>
      </w:pBdr>
      <w:spacing w:before="105"/>
      <w:jc w:val="left"/>
    </w:pPr>
    <w:rPr>
      <w:rFonts w:ascii="宋体" w:hAnsi="宋体" w:cs="宋体"/>
      <w:kern w:val="0"/>
    </w:rPr>
  </w:style>
  <w:style w:type="paragraph" w:customStyle="1" w:styleId="271">
    <w:name w:val="left_03_1_2_1_b"/>
    <w:basedOn w:val="1"/>
    <w:qFormat/>
    <w:uiPriority w:val="0"/>
    <w:pPr>
      <w:widowControl/>
      <w:spacing w:before="75" w:line="300" w:lineRule="atLeast"/>
      <w:ind w:left="75" w:right="30"/>
      <w:jc w:val="left"/>
    </w:pPr>
    <w:rPr>
      <w:rFonts w:ascii="宋体" w:hAnsi="宋体" w:cs="宋体"/>
      <w:kern w:val="0"/>
      <w:sz w:val="18"/>
      <w:szCs w:val="18"/>
    </w:rPr>
  </w:style>
  <w:style w:type="paragraph" w:customStyle="1" w:styleId="272">
    <w:name w:val="top_table_1"/>
    <w:basedOn w:val="1"/>
    <w:qFormat/>
    <w:uiPriority w:val="0"/>
    <w:pPr>
      <w:widowControl/>
      <w:jc w:val="left"/>
    </w:pPr>
    <w:rPr>
      <w:rFonts w:ascii="宋体" w:hAnsi="宋体" w:cs="宋体"/>
      <w:kern w:val="0"/>
    </w:rPr>
  </w:style>
  <w:style w:type="paragraph" w:customStyle="1" w:styleId="273">
    <w:name w:val="right_03"/>
    <w:basedOn w:val="1"/>
    <w:qFormat/>
    <w:uiPriority w:val="0"/>
    <w:pPr>
      <w:widowControl/>
      <w:spacing w:before="75" w:after="75"/>
      <w:jc w:val="left"/>
    </w:pPr>
    <w:rPr>
      <w:rFonts w:ascii="宋体" w:hAnsi="宋体" w:cs="宋体"/>
      <w:kern w:val="0"/>
    </w:rPr>
  </w:style>
  <w:style w:type="paragraph" w:customStyle="1" w:styleId="274">
    <w:name w:val="left_03_1_2_3"/>
    <w:basedOn w:val="1"/>
    <w:qFormat/>
    <w:uiPriority w:val="0"/>
    <w:pPr>
      <w:widowControl/>
      <w:shd w:val="clear" w:color="auto" w:fill="FFFFFF"/>
      <w:spacing w:before="30" w:line="300" w:lineRule="atLeast"/>
      <w:jc w:val="left"/>
    </w:pPr>
    <w:rPr>
      <w:rFonts w:ascii="ˎ̥" w:hAnsi="ˎ̥" w:cs="宋体"/>
      <w:color w:val="646263"/>
      <w:kern w:val="0"/>
      <w:sz w:val="18"/>
      <w:szCs w:val="18"/>
    </w:rPr>
  </w:style>
  <w:style w:type="paragraph" w:customStyle="1" w:styleId="275">
    <w:name w:val="right_01_3_1"/>
    <w:basedOn w:val="1"/>
    <w:qFormat/>
    <w:uiPriority w:val="0"/>
    <w:pPr>
      <w:widowControl/>
      <w:spacing w:before="100" w:beforeAutospacing="1" w:after="100" w:afterAutospacing="1" w:line="300" w:lineRule="atLeast"/>
      <w:jc w:val="left"/>
    </w:pPr>
    <w:rPr>
      <w:rFonts w:ascii="宋体" w:hAnsi="宋体" w:cs="宋体"/>
      <w:color w:val="636363"/>
      <w:kern w:val="0"/>
      <w:sz w:val="18"/>
      <w:szCs w:val="18"/>
    </w:rPr>
  </w:style>
  <w:style w:type="paragraph" w:customStyle="1" w:styleId="276">
    <w:name w:val="left-07"/>
    <w:basedOn w:val="1"/>
    <w:qFormat/>
    <w:uiPriority w:val="0"/>
    <w:pPr>
      <w:widowControl/>
      <w:spacing w:before="105"/>
      <w:jc w:val="left"/>
    </w:pPr>
    <w:rPr>
      <w:rFonts w:ascii="宋体" w:hAnsi="宋体" w:cs="宋体"/>
      <w:kern w:val="0"/>
    </w:rPr>
  </w:style>
  <w:style w:type="paragraph" w:customStyle="1" w:styleId="277">
    <w:name w:val="left_06"/>
    <w:basedOn w:val="1"/>
    <w:qFormat/>
    <w:uiPriority w:val="0"/>
    <w:pPr>
      <w:widowControl/>
      <w:pBdr>
        <w:top w:val="single" w:color="DBDBDB" w:sz="6" w:space="0"/>
        <w:left w:val="single" w:color="DBDBDB" w:sz="6" w:space="0"/>
        <w:bottom w:val="single" w:color="DBDBDB" w:sz="6" w:space="0"/>
        <w:right w:val="single" w:color="DBDBDB" w:sz="6" w:space="0"/>
      </w:pBdr>
      <w:spacing w:before="105"/>
      <w:jc w:val="left"/>
    </w:pPr>
    <w:rPr>
      <w:rFonts w:ascii="宋体" w:hAnsi="宋体" w:cs="宋体"/>
      <w:kern w:val="0"/>
    </w:rPr>
  </w:style>
  <w:style w:type="paragraph" w:customStyle="1" w:styleId="278">
    <w:name w:val="left_03_2"/>
    <w:basedOn w:val="1"/>
    <w:qFormat/>
    <w:uiPriority w:val="0"/>
    <w:pPr>
      <w:widowControl/>
      <w:pBdr>
        <w:top w:val="single" w:color="DBDBDB" w:sz="6" w:space="0"/>
        <w:left w:val="single" w:color="DBDBDB" w:sz="6" w:space="0"/>
        <w:bottom w:val="single" w:color="DBDBDB" w:sz="6" w:space="0"/>
        <w:right w:val="single" w:color="DBDBDB" w:sz="6" w:space="0"/>
      </w:pBdr>
      <w:spacing w:before="100" w:beforeAutospacing="1" w:after="100" w:afterAutospacing="1" w:line="360" w:lineRule="atLeast"/>
      <w:jc w:val="left"/>
    </w:pPr>
    <w:rPr>
      <w:rFonts w:ascii="宋体" w:hAnsi="宋体" w:cs="宋体"/>
      <w:kern w:val="0"/>
    </w:rPr>
  </w:style>
  <w:style w:type="paragraph" w:customStyle="1" w:styleId="279">
    <w:name w:val="right_01_3"/>
    <w:basedOn w:val="1"/>
    <w:qFormat/>
    <w:uiPriority w:val="0"/>
    <w:pPr>
      <w:widowControl/>
      <w:spacing w:before="100" w:beforeAutospacing="1" w:after="100" w:afterAutospacing="1"/>
      <w:jc w:val="left"/>
    </w:pPr>
    <w:rPr>
      <w:rFonts w:ascii="宋体" w:hAnsi="宋体" w:cs="宋体"/>
      <w:kern w:val="0"/>
    </w:rPr>
  </w:style>
  <w:style w:type="paragraph" w:customStyle="1" w:styleId="280">
    <w:name w:val="left_03_2_2"/>
    <w:basedOn w:val="1"/>
    <w:qFormat/>
    <w:uiPriority w:val="0"/>
    <w:pPr>
      <w:widowControl/>
      <w:shd w:val="clear" w:color="auto" w:fill="FFFFFF"/>
      <w:spacing w:before="15"/>
      <w:ind w:left="15" w:right="15"/>
      <w:jc w:val="left"/>
    </w:pPr>
    <w:rPr>
      <w:rFonts w:ascii="宋体" w:hAnsi="宋体" w:cs="宋体"/>
      <w:kern w:val="0"/>
    </w:rPr>
  </w:style>
  <w:style w:type="paragraph" w:customStyle="1" w:styleId="281">
    <w:name w:val="new_top_logo_right_text"/>
    <w:basedOn w:val="1"/>
    <w:qFormat/>
    <w:uiPriority w:val="0"/>
    <w:pPr>
      <w:widowControl/>
      <w:spacing w:before="100" w:beforeAutospacing="1" w:after="100" w:afterAutospacing="1" w:line="420" w:lineRule="atLeast"/>
      <w:jc w:val="left"/>
    </w:pPr>
    <w:rPr>
      <w:rFonts w:ascii="宋体" w:hAnsi="宋体" w:cs="宋体"/>
      <w:kern w:val="0"/>
    </w:rPr>
  </w:style>
  <w:style w:type="paragraph" w:customStyle="1" w:styleId="282">
    <w:name w:val="right_logo"/>
    <w:basedOn w:val="1"/>
    <w:qFormat/>
    <w:uiPriority w:val="0"/>
    <w:pPr>
      <w:widowControl/>
      <w:pBdr>
        <w:top w:val="single" w:color="CCCCCC" w:sz="6" w:space="0"/>
        <w:left w:val="single" w:color="CCCCCC" w:sz="6" w:space="0"/>
        <w:bottom w:val="single" w:color="CCCCCC" w:sz="6" w:space="0"/>
        <w:right w:val="single" w:color="CCCCCC" w:sz="6" w:space="0"/>
      </w:pBdr>
      <w:spacing w:before="75"/>
      <w:jc w:val="left"/>
    </w:pPr>
    <w:rPr>
      <w:rFonts w:ascii="宋体" w:hAnsi="宋体" w:cs="宋体"/>
      <w:kern w:val="0"/>
    </w:rPr>
  </w:style>
  <w:style w:type="paragraph" w:customStyle="1" w:styleId="283">
    <w:name w:val="left_05"/>
    <w:basedOn w:val="1"/>
    <w:qFormat/>
    <w:uiPriority w:val="0"/>
    <w:pPr>
      <w:widowControl/>
      <w:jc w:val="left"/>
    </w:pPr>
    <w:rPr>
      <w:rFonts w:ascii="宋体" w:hAnsi="宋体" w:cs="宋体"/>
      <w:kern w:val="0"/>
    </w:rPr>
  </w:style>
  <w:style w:type="paragraph" w:customStyle="1" w:styleId="284">
    <w:name w:val="left_06_3_1_2"/>
    <w:basedOn w:val="1"/>
    <w:qFormat/>
    <w:uiPriority w:val="0"/>
    <w:pPr>
      <w:widowControl/>
      <w:spacing w:before="100" w:beforeAutospacing="1" w:after="100" w:afterAutospacing="1"/>
      <w:jc w:val="left"/>
    </w:pPr>
    <w:rPr>
      <w:rFonts w:ascii="宋体" w:hAnsi="宋体" w:cs="宋体"/>
      <w:kern w:val="0"/>
    </w:rPr>
  </w:style>
  <w:style w:type="paragraph" w:customStyle="1" w:styleId="285">
    <w:name w:val="left_06_00"/>
    <w:basedOn w:val="1"/>
    <w:qFormat/>
    <w:uiPriority w:val="0"/>
    <w:pPr>
      <w:widowControl/>
      <w:jc w:val="left"/>
    </w:pPr>
    <w:rPr>
      <w:rFonts w:ascii="宋体" w:hAnsi="宋体" w:cs="宋体"/>
      <w:kern w:val="0"/>
    </w:rPr>
  </w:style>
  <w:style w:type="paragraph" w:customStyle="1" w:styleId="286">
    <w:name w:val="left_06_1"/>
    <w:basedOn w:val="1"/>
    <w:qFormat/>
    <w:uiPriority w:val="0"/>
    <w:pPr>
      <w:widowControl/>
      <w:spacing w:before="100" w:beforeAutospacing="1" w:after="100" w:afterAutospacing="1"/>
      <w:jc w:val="left"/>
    </w:pPr>
    <w:rPr>
      <w:rFonts w:ascii="ˎ̥" w:hAnsi="ˎ̥" w:cs="宋体"/>
      <w:b/>
      <w:bCs/>
      <w:color w:val="646263"/>
      <w:kern w:val="0"/>
      <w:szCs w:val="21"/>
    </w:rPr>
  </w:style>
  <w:style w:type="paragraph" w:customStyle="1" w:styleId="287">
    <w:name w:val="left_06_3_1_1"/>
    <w:basedOn w:val="1"/>
    <w:qFormat/>
    <w:uiPriority w:val="0"/>
    <w:pPr>
      <w:widowControl/>
      <w:spacing w:before="100" w:beforeAutospacing="1" w:after="100" w:afterAutospacing="1" w:line="300" w:lineRule="atLeast"/>
      <w:jc w:val="center"/>
    </w:pPr>
    <w:rPr>
      <w:rFonts w:ascii="宋体" w:hAnsi="宋体" w:cs="宋体"/>
      <w:b/>
      <w:bCs/>
      <w:kern w:val="0"/>
      <w:sz w:val="18"/>
      <w:szCs w:val="18"/>
    </w:rPr>
  </w:style>
  <w:style w:type="paragraph" w:customStyle="1" w:styleId="288">
    <w:name w:val="left_06_1_2"/>
    <w:basedOn w:val="1"/>
    <w:qFormat/>
    <w:uiPriority w:val="0"/>
    <w:pPr>
      <w:widowControl/>
      <w:ind w:left="150"/>
      <w:jc w:val="left"/>
    </w:pPr>
    <w:rPr>
      <w:rFonts w:ascii="ˎ̥" w:hAnsi="ˎ̥" w:cs="宋体"/>
      <w:b/>
      <w:bCs/>
      <w:color w:val="646263"/>
      <w:kern w:val="0"/>
      <w:sz w:val="18"/>
      <w:szCs w:val="18"/>
    </w:rPr>
  </w:style>
  <w:style w:type="paragraph" w:customStyle="1" w:styleId="289">
    <w:name w:val="left_06_2"/>
    <w:basedOn w:val="1"/>
    <w:qFormat/>
    <w:uiPriority w:val="0"/>
    <w:pPr>
      <w:widowControl/>
      <w:spacing w:before="100" w:beforeAutospacing="1" w:after="100" w:afterAutospacing="1"/>
      <w:jc w:val="right"/>
    </w:pPr>
    <w:rPr>
      <w:rFonts w:ascii="ˎ̥" w:hAnsi="ˎ̥" w:cs="宋体"/>
      <w:color w:val="646263"/>
      <w:kern w:val="0"/>
      <w:sz w:val="18"/>
      <w:szCs w:val="18"/>
    </w:rPr>
  </w:style>
  <w:style w:type="paragraph" w:customStyle="1" w:styleId="290">
    <w:name w:val="left_06_3"/>
    <w:basedOn w:val="1"/>
    <w:qFormat/>
    <w:uiPriority w:val="0"/>
    <w:pPr>
      <w:widowControl/>
      <w:spacing w:before="100" w:beforeAutospacing="1" w:after="100" w:afterAutospacing="1"/>
      <w:jc w:val="left"/>
    </w:pPr>
    <w:rPr>
      <w:rFonts w:ascii="宋体" w:hAnsi="宋体" w:cs="宋体"/>
      <w:kern w:val="0"/>
    </w:rPr>
  </w:style>
  <w:style w:type="paragraph" w:customStyle="1" w:styleId="291">
    <w:name w:val="left_06_3_1"/>
    <w:basedOn w:val="1"/>
    <w:qFormat/>
    <w:uiPriority w:val="0"/>
    <w:pPr>
      <w:widowControl/>
      <w:spacing w:before="100" w:beforeAutospacing="1" w:after="100" w:afterAutospacing="1"/>
      <w:jc w:val="left"/>
    </w:pPr>
    <w:rPr>
      <w:rFonts w:ascii="宋体" w:hAnsi="宋体" w:cs="宋体"/>
      <w:kern w:val="0"/>
    </w:rPr>
  </w:style>
  <w:style w:type="paragraph" w:customStyle="1" w:styleId="292">
    <w:name w:val="left_cp_zt"/>
    <w:basedOn w:val="1"/>
    <w:qFormat/>
    <w:uiPriority w:val="0"/>
    <w:pPr>
      <w:widowControl/>
      <w:spacing w:before="100" w:beforeAutospacing="1" w:after="100" w:afterAutospacing="1" w:line="345" w:lineRule="atLeast"/>
      <w:jc w:val="left"/>
    </w:pPr>
    <w:rPr>
      <w:rFonts w:ascii="宋体" w:hAnsi="宋体" w:cs="宋体"/>
      <w:color w:val="656565"/>
      <w:kern w:val="0"/>
      <w:sz w:val="18"/>
      <w:szCs w:val="18"/>
    </w:rPr>
  </w:style>
  <w:style w:type="paragraph" w:customStyle="1" w:styleId="293">
    <w:name w:val="left_cp_zt_kdd"/>
    <w:basedOn w:val="1"/>
    <w:qFormat/>
    <w:uiPriority w:val="0"/>
    <w:pPr>
      <w:widowControl/>
      <w:spacing w:before="75" w:after="75"/>
      <w:jc w:val="left"/>
    </w:pPr>
    <w:rPr>
      <w:rFonts w:ascii="宋体" w:hAnsi="宋体" w:cs="宋体"/>
      <w:kern w:val="0"/>
    </w:rPr>
  </w:style>
  <w:style w:type="paragraph" w:customStyle="1" w:styleId="294">
    <w:name w:val="top_search"/>
    <w:basedOn w:val="1"/>
    <w:qFormat/>
    <w:uiPriority w:val="0"/>
    <w:pPr>
      <w:widowControl/>
      <w:jc w:val="center"/>
    </w:pPr>
    <w:rPr>
      <w:rFonts w:ascii="宋体" w:hAnsi="宋体" w:cs="宋体"/>
      <w:kern w:val="0"/>
    </w:rPr>
  </w:style>
  <w:style w:type="paragraph" w:customStyle="1" w:styleId="295">
    <w:name w:val="left-07_1_1"/>
    <w:basedOn w:val="1"/>
    <w:qFormat/>
    <w:uiPriority w:val="0"/>
    <w:pPr>
      <w:widowControl/>
      <w:pBdr>
        <w:top w:val="single" w:color="FFFFFF" w:sz="6" w:space="5"/>
        <w:left w:val="single" w:color="FFFFFF" w:sz="6" w:space="2"/>
        <w:bottom w:val="single" w:color="FFFFFF" w:sz="6" w:space="0"/>
        <w:right w:val="single" w:color="FFFFFF" w:sz="6" w:space="0"/>
      </w:pBdr>
      <w:spacing w:before="100" w:beforeAutospacing="1" w:after="100" w:afterAutospacing="1"/>
      <w:jc w:val="left"/>
    </w:pPr>
    <w:rPr>
      <w:rFonts w:ascii="宋体" w:hAnsi="宋体" w:cs="宋体"/>
      <w:kern w:val="0"/>
    </w:rPr>
  </w:style>
  <w:style w:type="paragraph" w:customStyle="1" w:styleId="296">
    <w:name w:val="封面标准号2"/>
    <w:qFormat/>
    <w:uiPriority w:val="0"/>
    <w:pPr>
      <w:spacing w:before="357" w:line="280" w:lineRule="exact"/>
      <w:jc w:val="right"/>
    </w:pPr>
    <w:rPr>
      <w:rFonts w:ascii="黑体" w:hAnsi="Times New Roman" w:eastAsia="黑体" w:cs="Times New Roman"/>
      <w:sz w:val="28"/>
      <w:szCs w:val="28"/>
      <w:lang w:val="en-US" w:eastAsia="zh-CN" w:bidi="ar-SA"/>
    </w:rPr>
  </w:style>
  <w:style w:type="paragraph" w:customStyle="1" w:styleId="297">
    <w:name w:val="right_01_1"/>
    <w:basedOn w:val="1"/>
    <w:qFormat/>
    <w:uiPriority w:val="0"/>
    <w:pPr>
      <w:widowControl/>
      <w:pBdr>
        <w:bottom w:val="single" w:color="CCCCCC" w:sz="6" w:space="0"/>
      </w:pBdr>
      <w:shd w:val="clear" w:color="auto" w:fill="FFFFFF"/>
      <w:spacing w:before="100" w:beforeAutospacing="1" w:after="100" w:afterAutospacing="1" w:line="315" w:lineRule="atLeast"/>
      <w:jc w:val="left"/>
    </w:pPr>
    <w:rPr>
      <w:rFonts w:ascii="宋体" w:hAnsi="宋体" w:cs="宋体"/>
      <w:kern w:val="0"/>
    </w:rPr>
  </w:style>
  <w:style w:type="paragraph" w:customStyle="1" w:styleId="298">
    <w:name w:val="Table Paragraph"/>
    <w:basedOn w:val="1"/>
    <w:qFormat/>
    <w:uiPriority w:val="1"/>
    <w:pPr>
      <w:autoSpaceDE w:val="0"/>
      <w:autoSpaceDN w:val="0"/>
      <w:adjustRightInd w:val="0"/>
      <w:jc w:val="left"/>
    </w:pPr>
    <w:rPr>
      <w:kern w:val="0"/>
    </w:rPr>
  </w:style>
  <w:style w:type="paragraph" w:customStyle="1" w:styleId="299">
    <w:name w:val="0正文"/>
    <w:basedOn w:val="20"/>
    <w:qFormat/>
    <w:uiPriority w:val="0"/>
    <w:pPr>
      <w:spacing w:line="300" w:lineRule="auto"/>
      <w:ind w:firstLine="480"/>
    </w:pPr>
    <w:rPr>
      <w:rFonts w:cs="宋体"/>
      <w:b/>
      <w:spacing w:val="4"/>
      <w:kern w:val="0"/>
      <w:sz w:val="24"/>
    </w:rPr>
  </w:style>
  <w:style w:type="paragraph" w:customStyle="1" w:styleId="300">
    <w:name w:val="top_table_1_02_2"/>
    <w:basedOn w:val="1"/>
    <w:qFormat/>
    <w:uiPriority w:val="0"/>
    <w:pPr>
      <w:widowControl/>
      <w:shd w:val="clear" w:color="auto" w:fill="DBDBDB"/>
      <w:spacing w:before="75"/>
      <w:jc w:val="left"/>
    </w:pPr>
    <w:rPr>
      <w:rFonts w:ascii="宋体" w:hAnsi="宋体" w:cs="宋体"/>
      <w:kern w:val="0"/>
    </w:rPr>
  </w:style>
  <w:style w:type="paragraph" w:customStyle="1" w:styleId="301">
    <w:name w:val="right_01_3_3"/>
    <w:basedOn w:val="1"/>
    <w:qFormat/>
    <w:uiPriority w:val="0"/>
    <w:pPr>
      <w:widowControl/>
      <w:pBdr>
        <w:top w:val="single" w:color="CCCCCC" w:sz="6" w:space="2"/>
        <w:left w:val="single" w:color="CCCCCC" w:sz="6" w:space="3"/>
        <w:bottom w:val="single" w:color="CCCCCC" w:sz="6" w:space="2"/>
        <w:right w:val="single" w:color="CCCCCC" w:sz="6" w:space="2"/>
      </w:pBdr>
      <w:shd w:val="clear" w:color="auto" w:fill="F6FAFD"/>
      <w:spacing w:before="45" w:after="45" w:line="300" w:lineRule="atLeast"/>
      <w:ind w:left="75" w:right="45"/>
      <w:jc w:val="left"/>
    </w:pPr>
    <w:rPr>
      <w:rFonts w:ascii="宋体" w:hAnsi="宋体" w:cs="宋体"/>
      <w:kern w:val="0"/>
      <w:sz w:val="18"/>
      <w:szCs w:val="18"/>
    </w:rPr>
  </w:style>
  <w:style w:type="paragraph" w:customStyle="1" w:styleId="302">
    <w:name w:val="right_01_3_2"/>
    <w:basedOn w:val="1"/>
    <w:qFormat/>
    <w:uiPriority w:val="0"/>
    <w:pPr>
      <w:widowControl/>
      <w:spacing w:before="45" w:after="45"/>
      <w:jc w:val="left"/>
    </w:pPr>
    <w:rPr>
      <w:rFonts w:ascii="宋体" w:hAnsi="宋体" w:cs="宋体"/>
      <w:kern w:val="0"/>
    </w:rPr>
  </w:style>
  <w:style w:type="paragraph" w:customStyle="1" w:styleId="303">
    <w:name w:val="rigthzt"/>
    <w:basedOn w:val="1"/>
    <w:qFormat/>
    <w:uiPriority w:val="0"/>
    <w:pPr>
      <w:widowControl/>
      <w:spacing w:before="100" w:beforeAutospacing="1" w:after="100" w:afterAutospacing="1" w:line="270" w:lineRule="atLeast"/>
      <w:jc w:val="left"/>
    </w:pPr>
    <w:rPr>
      <w:rFonts w:ascii="宋体" w:hAnsi="宋体" w:cs="宋体"/>
      <w:color w:val="636363"/>
      <w:kern w:val="0"/>
      <w:sz w:val="18"/>
      <w:szCs w:val="18"/>
    </w:rPr>
  </w:style>
  <w:style w:type="paragraph" w:customStyle="1" w:styleId="304">
    <w:name w:val="right_01_4_tupian"/>
    <w:basedOn w:val="1"/>
    <w:qFormat/>
    <w:uiPriority w:val="0"/>
    <w:pPr>
      <w:widowControl/>
      <w:spacing w:before="60" w:line="300" w:lineRule="atLeast"/>
      <w:jc w:val="left"/>
    </w:pPr>
    <w:rPr>
      <w:rFonts w:ascii="宋体" w:hAnsi="宋体" w:cs="宋体"/>
      <w:color w:val="636363"/>
      <w:kern w:val="0"/>
    </w:rPr>
  </w:style>
  <w:style w:type="paragraph" w:customStyle="1" w:styleId="305">
    <w:name w:val="top_table_1_02"/>
    <w:basedOn w:val="1"/>
    <w:qFormat/>
    <w:uiPriority w:val="0"/>
    <w:pPr>
      <w:widowControl/>
      <w:ind w:left="150"/>
      <w:jc w:val="left"/>
    </w:pPr>
    <w:rPr>
      <w:rFonts w:ascii="宋体" w:hAnsi="宋体" w:cs="宋体"/>
      <w:kern w:val="0"/>
    </w:rPr>
  </w:style>
  <w:style w:type="paragraph" w:customStyle="1" w:styleId="306">
    <w:name w:val="top_table"/>
    <w:basedOn w:val="1"/>
    <w:qFormat/>
    <w:uiPriority w:val="0"/>
    <w:pPr>
      <w:widowControl/>
      <w:pBdr>
        <w:top w:val="single" w:color="EBEBEB" w:sz="6" w:space="0"/>
        <w:left w:val="single" w:color="EBEBEB" w:sz="6" w:space="0"/>
        <w:bottom w:val="single" w:color="EBEBEB" w:sz="6" w:space="0"/>
        <w:right w:val="single" w:color="EBEBEB" w:sz="6" w:space="0"/>
      </w:pBdr>
      <w:spacing w:before="75" w:after="75" w:line="375" w:lineRule="atLeast"/>
      <w:jc w:val="left"/>
    </w:pPr>
    <w:rPr>
      <w:rFonts w:ascii="宋体" w:hAnsi="宋体" w:cs="宋体"/>
      <w:kern w:val="0"/>
    </w:rPr>
  </w:style>
  <w:style w:type="paragraph" w:customStyle="1" w:styleId="307">
    <w:name w:val="top_table_1_02_1"/>
    <w:basedOn w:val="1"/>
    <w:qFormat/>
    <w:uiPriority w:val="0"/>
    <w:pPr>
      <w:widowControl/>
      <w:spacing w:before="75" w:line="300" w:lineRule="atLeast"/>
      <w:jc w:val="left"/>
    </w:pPr>
    <w:rPr>
      <w:rFonts w:ascii="宋体" w:hAnsi="宋体" w:cs="宋体"/>
      <w:kern w:val="0"/>
      <w:sz w:val="18"/>
      <w:szCs w:val="18"/>
    </w:rPr>
  </w:style>
  <w:style w:type="paragraph" w:customStyle="1" w:styleId="308">
    <w:name w:val="new_top_ssk_1"/>
    <w:basedOn w:val="1"/>
    <w:qFormat/>
    <w:uiPriority w:val="0"/>
    <w:pPr>
      <w:widowControl/>
      <w:pBdr>
        <w:left w:val="single" w:color="CCCCCC" w:sz="6" w:space="0"/>
        <w:bottom w:val="single" w:color="CCCCCC" w:sz="6" w:space="0"/>
        <w:right w:val="single" w:color="CCCCCC" w:sz="6" w:space="0"/>
      </w:pBdr>
      <w:spacing w:after="75" w:line="300" w:lineRule="atLeast"/>
      <w:jc w:val="left"/>
    </w:pPr>
    <w:rPr>
      <w:rFonts w:ascii="宋体" w:hAnsi="宋体" w:cs="宋体"/>
      <w:kern w:val="0"/>
    </w:rPr>
  </w:style>
  <w:style w:type="paragraph" w:customStyle="1" w:styleId="309">
    <w:name w:val="top_ss"/>
    <w:basedOn w:val="1"/>
    <w:qFormat/>
    <w:uiPriority w:val="0"/>
    <w:pPr>
      <w:widowControl/>
      <w:jc w:val="left"/>
    </w:pPr>
    <w:rPr>
      <w:rFonts w:ascii="宋体" w:hAnsi="宋体" w:cs="宋体"/>
      <w:kern w:val="0"/>
    </w:rPr>
  </w:style>
  <w:style w:type="paragraph" w:customStyle="1" w:styleId="310">
    <w:name w:val="top_menu_04"/>
    <w:basedOn w:val="1"/>
    <w:qFormat/>
    <w:uiPriority w:val="0"/>
    <w:pPr>
      <w:widowControl/>
      <w:spacing w:before="100" w:beforeAutospacing="1" w:after="100" w:afterAutospacing="1"/>
      <w:jc w:val="left"/>
    </w:pPr>
    <w:rPr>
      <w:rFonts w:ascii="宋体" w:hAnsi="宋体" w:cs="宋体"/>
      <w:kern w:val="0"/>
    </w:rPr>
  </w:style>
  <w:style w:type="paragraph" w:customStyle="1" w:styleId="311">
    <w:name w:val="top_search_1"/>
    <w:basedOn w:val="1"/>
    <w:qFormat/>
    <w:uiPriority w:val="0"/>
    <w:pPr>
      <w:widowControl/>
      <w:spacing w:before="165"/>
      <w:jc w:val="center"/>
    </w:pPr>
    <w:rPr>
      <w:rFonts w:ascii="宋体" w:hAnsi="宋体" w:cs="宋体"/>
      <w:color w:val="FFFFFF"/>
      <w:kern w:val="0"/>
      <w:sz w:val="18"/>
      <w:szCs w:val="18"/>
    </w:rPr>
  </w:style>
  <w:style w:type="paragraph" w:customStyle="1" w:styleId="312">
    <w:name w:val="new_top_logo"/>
    <w:basedOn w:val="1"/>
    <w:qFormat/>
    <w:uiPriority w:val="0"/>
    <w:pPr>
      <w:widowControl/>
      <w:spacing w:before="100" w:beforeAutospacing="1" w:after="100" w:afterAutospacing="1"/>
      <w:jc w:val="left"/>
    </w:pPr>
    <w:rPr>
      <w:rFonts w:ascii="宋体" w:hAnsi="宋体" w:cs="宋体"/>
      <w:kern w:val="0"/>
    </w:rPr>
  </w:style>
  <w:style w:type="paragraph" w:customStyle="1" w:styleId="313">
    <w:name w:val="top_menu_02_1"/>
    <w:basedOn w:val="1"/>
    <w:qFormat/>
    <w:uiPriority w:val="0"/>
    <w:pPr>
      <w:widowControl/>
      <w:spacing w:before="100" w:beforeAutospacing="1" w:after="100" w:afterAutospacing="1" w:line="375" w:lineRule="atLeast"/>
      <w:jc w:val="center"/>
    </w:pPr>
    <w:rPr>
      <w:rFonts w:ascii="宋体" w:hAnsi="宋体" w:cs="宋体"/>
      <w:b/>
      <w:bCs/>
      <w:color w:val="FFFFFF"/>
      <w:kern w:val="0"/>
      <w:szCs w:val="21"/>
    </w:rPr>
  </w:style>
  <w:style w:type="paragraph" w:customStyle="1" w:styleId="314">
    <w:name w:val="表格文字16"/>
    <w:basedOn w:val="1"/>
    <w:qFormat/>
    <w:uiPriority w:val="0"/>
    <w:pPr>
      <w:adjustRightInd w:val="0"/>
      <w:snapToGrid w:val="0"/>
      <w:spacing w:line="320" w:lineRule="exact"/>
      <w:jc w:val="center"/>
    </w:pPr>
    <w:rPr>
      <w:rFonts w:eastAsia="Times New Roman"/>
      <w:color w:val="000000"/>
      <w:kern w:val="32"/>
      <w:szCs w:val="20"/>
    </w:rPr>
  </w:style>
  <w:style w:type="paragraph" w:customStyle="1" w:styleId="315">
    <w:name w:val="contentbox4"/>
    <w:basedOn w:val="1"/>
    <w:qFormat/>
    <w:uiPriority w:val="0"/>
    <w:pPr>
      <w:widowControl/>
      <w:spacing w:after="100" w:afterAutospacing="1" w:line="330" w:lineRule="atLeast"/>
      <w:jc w:val="left"/>
    </w:pPr>
    <w:rPr>
      <w:rFonts w:ascii="宋体" w:hAnsi="宋体" w:cs="宋体"/>
      <w:kern w:val="0"/>
    </w:rPr>
  </w:style>
  <w:style w:type="paragraph" w:customStyle="1" w:styleId="316">
    <w:name w:val="top_menu_03_1"/>
    <w:basedOn w:val="1"/>
    <w:qFormat/>
    <w:uiPriority w:val="0"/>
    <w:pPr>
      <w:widowControl/>
      <w:spacing w:before="100" w:beforeAutospacing="1" w:after="100" w:afterAutospacing="1" w:line="375" w:lineRule="atLeast"/>
      <w:jc w:val="center"/>
    </w:pPr>
    <w:rPr>
      <w:rFonts w:ascii="宋体" w:hAnsi="宋体" w:cs="宋体"/>
      <w:b/>
      <w:bCs/>
      <w:color w:val="000000"/>
      <w:kern w:val="0"/>
      <w:szCs w:val="21"/>
    </w:rPr>
  </w:style>
  <w:style w:type="paragraph" w:customStyle="1" w:styleId="317">
    <w:name w:val="Char1"/>
    <w:basedOn w:val="1"/>
    <w:next w:val="1"/>
    <w:qFormat/>
    <w:uiPriority w:val="0"/>
    <w:rPr>
      <w:szCs w:val="20"/>
    </w:rPr>
  </w:style>
  <w:style w:type="paragraph" w:customStyle="1" w:styleId="318">
    <w:name w:val="样式4"/>
    <w:basedOn w:val="1"/>
    <w:qFormat/>
    <w:uiPriority w:val="0"/>
    <w:pPr>
      <w:spacing w:line="360" w:lineRule="atLeast"/>
    </w:pPr>
    <w:rPr>
      <w:sz w:val="26"/>
    </w:rPr>
  </w:style>
  <w:style w:type="paragraph" w:customStyle="1" w:styleId="319">
    <w:name w:val="京唐秦正文2"/>
    <w:basedOn w:val="1"/>
    <w:next w:val="1"/>
    <w:qFormat/>
    <w:uiPriority w:val="0"/>
    <w:pPr>
      <w:tabs>
        <w:tab w:val="left" w:pos="700"/>
      </w:tabs>
      <w:snapToGrid w:val="0"/>
      <w:spacing w:before="190" w:beforeLines="50"/>
      <w:ind w:firstLine="424"/>
      <w:jc w:val="left"/>
    </w:pPr>
    <w:rPr>
      <w:bCs/>
      <w:kern w:val="0"/>
      <w:lang w:eastAsia="en-US"/>
    </w:rPr>
  </w:style>
  <w:style w:type="paragraph" w:customStyle="1" w:styleId="320">
    <w:name w:val="p0"/>
    <w:basedOn w:val="1"/>
    <w:qFormat/>
    <w:uiPriority w:val="0"/>
    <w:pPr>
      <w:widowControl/>
    </w:pPr>
    <w:rPr>
      <w:rFonts w:ascii="Calibri" w:hAnsi="Calibri" w:cs="宋体"/>
      <w:kern w:val="0"/>
      <w:szCs w:val="21"/>
    </w:rPr>
  </w:style>
  <w:style w:type="character" w:customStyle="1" w:styleId="321">
    <w:name w:val="Default Char"/>
    <w:link w:val="163"/>
    <w:qFormat/>
    <w:locked/>
    <w:uiPriority w:val="0"/>
    <w:rPr>
      <w:rFonts w:ascii="楷体" w:eastAsia="楷体" w:cs="楷体"/>
      <w:color w:val="000000"/>
      <w:sz w:val="24"/>
      <w:szCs w:val="24"/>
    </w:rPr>
  </w:style>
  <w:style w:type="character" w:customStyle="1" w:styleId="322">
    <w:name w:val="Unresolved Mention"/>
    <w:semiHidden/>
    <w:unhideWhenUsed/>
    <w:qFormat/>
    <w:uiPriority w:val="99"/>
    <w:rPr>
      <w:color w:val="605E5C"/>
      <w:shd w:val="clear" w:color="auto" w:fill="E1DFDD"/>
    </w:rPr>
  </w:style>
  <w:style w:type="character" w:customStyle="1" w:styleId="323">
    <w:name w:val="页脚 字符"/>
    <w:link w:val="32"/>
    <w:qFormat/>
    <w:uiPriority w:val="99"/>
    <w:rPr>
      <w:kern w:val="2"/>
      <w:sz w:val="18"/>
      <w:szCs w:val="18"/>
    </w:rPr>
  </w:style>
  <w:style w:type="character" w:customStyle="1" w:styleId="324">
    <w:name w:val="正文文本缩进 字符"/>
    <w:link w:val="20"/>
    <w:qFormat/>
    <w:uiPriority w:val="0"/>
    <w:rPr>
      <w:kern w:val="2"/>
      <w:sz w:val="28"/>
    </w:rPr>
  </w:style>
  <w:style w:type="character" w:customStyle="1" w:styleId="325">
    <w:name w:val="正文文本首行缩进 2 字符"/>
    <w:link w:val="52"/>
    <w:qFormat/>
    <w:uiPriority w:val="0"/>
    <w:rPr>
      <w:kern w:val="2"/>
      <w:sz w:val="21"/>
      <w:szCs w:val="24"/>
    </w:rPr>
  </w:style>
  <w:style w:type="paragraph" w:customStyle="1" w:styleId="326">
    <w:name w:val="5-正文"/>
    <w:basedOn w:val="1"/>
    <w:qFormat/>
    <w:uiPriority w:val="0"/>
    <w:pPr>
      <w:adjustRightInd w:val="0"/>
      <w:snapToGrid w:val="0"/>
      <w:spacing w:line="480" w:lineRule="exact"/>
      <w:textAlignment w:val="baseline"/>
    </w:pPr>
    <w:rPr>
      <w:kern w:val="0"/>
      <w:szCs w:val="20"/>
    </w:rPr>
  </w:style>
  <w:style w:type="character" w:customStyle="1" w:styleId="327">
    <w:name w:val="页眉 Char"/>
    <w:qFormat/>
    <w:uiPriority w:val="0"/>
    <w:rPr>
      <w:kern w:val="2"/>
      <w:sz w:val="18"/>
      <w:szCs w:val="18"/>
    </w:rPr>
  </w:style>
  <w:style w:type="character" w:customStyle="1" w:styleId="328">
    <w:name w:val="【正文】 Char"/>
    <w:link w:val="329"/>
    <w:qFormat/>
    <w:uiPriority w:val="0"/>
    <w:rPr>
      <w:kern w:val="2"/>
      <w:sz w:val="24"/>
    </w:rPr>
  </w:style>
  <w:style w:type="paragraph" w:customStyle="1" w:styleId="329">
    <w:name w:val="【正文】"/>
    <w:basedOn w:val="1"/>
    <w:link w:val="328"/>
    <w:qFormat/>
    <w:uiPriority w:val="0"/>
    <w:rPr>
      <w:szCs w:val="20"/>
    </w:rPr>
  </w:style>
  <w:style w:type="table" w:customStyle="1" w:styleId="330">
    <w:name w:val="Table Normal"/>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331">
    <w:name w:val="TOC Heading"/>
    <w:basedOn w:val="2"/>
    <w:next w:val="1"/>
    <w:unhideWhenUsed/>
    <w:qFormat/>
    <w:uiPriority w:val="39"/>
    <w:pPr>
      <w:widowControl/>
      <w:spacing w:before="480" w:beforeLines="0" w:after="0" w:afterLines="0" w:line="276" w:lineRule="auto"/>
      <w:jc w:val="left"/>
      <w:outlineLvl w:val="9"/>
    </w:pPr>
    <w:rPr>
      <w:rFonts w:ascii="Cambria" w:hAnsi="Cambria"/>
      <w:bCs/>
      <w:color w:val="365F91"/>
      <w:kern w:val="0"/>
      <w:sz w:val="28"/>
      <w:szCs w:val="28"/>
    </w:rPr>
  </w:style>
  <w:style w:type="paragraph" w:customStyle="1" w:styleId="332">
    <w:name w:val="表格内容1"/>
    <w:link w:val="335"/>
    <w:qFormat/>
    <w:uiPriority w:val="0"/>
    <w:pPr>
      <w:adjustRightInd w:val="0"/>
      <w:snapToGrid w:val="0"/>
      <w:jc w:val="center"/>
    </w:pPr>
    <w:rPr>
      <w:rFonts w:ascii="Times New Roman" w:hAnsi="Times New Roman" w:eastAsia="宋体" w:cs="Times New Roman"/>
      <w:kern w:val="44"/>
      <w:sz w:val="21"/>
      <w:szCs w:val="24"/>
      <w:lang w:val="en-US" w:eastAsia="zh-CN" w:bidi="ar-SA"/>
    </w:rPr>
  </w:style>
  <w:style w:type="paragraph" w:customStyle="1" w:styleId="333">
    <w:name w:val="表头11"/>
    <w:basedOn w:val="1"/>
    <w:qFormat/>
    <w:uiPriority w:val="0"/>
    <w:pPr>
      <w:spacing w:before="50" w:beforeLines="50" w:line="240" w:lineRule="auto"/>
      <w:ind w:firstLine="0" w:firstLineChars="0"/>
      <w:jc w:val="center"/>
    </w:pPr>
    <w:rPr>
      <w:b/>
      <w:sz w:val="21"/>
    </w:rPr>
  </w:style>
  <w:style w:type="character" w:customStyle="1" w:styleId="334">
    <w:name w:val="标题 4 字符"/>
    <w:basedOn w:val="56"/>
    <w:link w:val="5"/>
    <w:qFormat/>
    <w:uiPriority w:val="9"/>
    <w:rPr>
      <w:b/>
      <w:color w:val="0000FF"/>
      <w:sz w:val="24"/>
      <w:szCs w:val="21"/>
      <w:lang w:bidi="en-US"/>
    </w:rPr>
  </w:style>
  <w:style w:type="character" w:customStyle="1" w:styleId="335">
    <w:name w:val="表格内容1 字符"/>
    <w:link w:val="332"/>
    <w:qFormat/>
    <w:uiPriority w:val="0"/>
    <w:rPr>
      <w:kern w:val="44"/>
      <w:sz w:val="21"/>
      <w:szCs w:val="24"/>
    </w:rPr>
  </w:style>
  <w:style w:type="character" w:styleId="336">
    <w:name w:val="Placeholder Text"/>
    <w:basedOn w:val="56"/>
    <w:semiHidden/>
    <w:qFormat/>
    <w:uiPriority w:val="99"/>
    <w:rPr>
      <w:color w:val="808080"/>
    </w:rPr>
  </w:style>
  <w:style w:type="character" w:customStyle="1" w:styleId="337">
    <w:name w:val="副标题 字符"/>
    <w:basedOn w:val="56"/>
    <w:link w:val="38"/>
    <w:qFormat/>
    <w:uiPriority w:val="11"/>
    <w:rPr>
      <w:rFonts w:eastAsia="黑体" w:cstheme="minorBidi"/>
      <w:bCs/>
      <w:kern w:val="28"/>
      <w:sz w:val="24"/>
      <w:szCs w:val="32"/>
    </w:rPr>
  </w:style>
  <w:style w:type="table" w:customStyle="1" w:styleId="338">
    <w:name w:val="表格1"/>
    <w:basedOn w:val="53"/>
    <w:qFormat/>
    <w:uiPriority w:val="99"/>
    <w:pPr>
      <w:jc w:val="center"/>
    </w:pPr>
    <w:rPr>
      <w:rFonts w:eastAsia="仿宋" w:asciiTheme="minorHAnsi" w:hAnsiTheme="minorHAnsi" w:cstheme="minorBidi"/>
      <w:kern w:val="2"/>
      <w:sz w:val="24"/>
      <w:szCs w:val="22"/>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tblHeader/>
      <w:jc w:val="center"/>
    </w:trPr>
    <w:tcPr>
      <w:vAlign w:val="center"/>
    </w:tcPr>
  </w:style>
  <w:style w:type="paragraph" w:customStyle="1" w:styleId="339">
    <w:name w:val="表内正文"/>
    <w:basedOn w:val="1"/>
    <w:next w:val="1"/>
    <w:link w:val="340"/>
    <w:qFormat/>
    <w:uiPriority w:val="0"/>
    <w:pPr>
      <w:jc w:val="center"/>
    </w:pPr>
    <w:rPr>
      <w:rFonts w:eastAsia="仿宋" w:cs="Times New Roman"/>
    </w:rPr>
  </w:style>
  <w:style w:type="character" w:customStyle="1" w:styleId="340">
    <w:name w:val="表内正文 字符"/>
    <w:basedOn w:val="56"/>
    <w:link w:val="339"/>
    <w:qFormat/>
    <w:uiPriority w:val="0"/>
    <w:rPr>
      <w:rFonts w:eastAsia="仿宋"/>
      <w:kern w:val="2"/>
      <w:sz w:val="24"/>
      <w:szCs w:val="22"/>
    </w:rPr>
  </w:style>
  <w:style w:type="table" w:customStyle="1" w:styleId="341">
    <w:name w:val="环评表1"/>
    <w:basedOn w:val="53"/>
    <w:qFormat/>
    <w:uiPriority w:val="99"/>
    <w:pPr>
      <w:jc w:val="center"/>
    </w:pPr>
    <w:rPr>
      <w:sz w:val="21"/>
    </w:rPr>
    <w:tblPr>
      <w:tblCellSpacing w:w="198" w:type="dxa"/>
      <w:tblBorders>
        <w:top w:val="single" w:color="auto" w:sz="12" w:space="0"/>
        <w:bottom w:val="single" w:color="auto" w:sz="12" w:space="0"/>
        <w:insideH w:val="single" w:color="auto" w:sz="4" w:space="0"/>
        <w:insideV w:val="single" w:color="auto" w:sz="4" w:space="0"/>
      </w:tblBorders>
    </w:tblPr>
    <w:trPr>
      <w:tblCellSpacing w:w="198" w:type="dxa"/>
    </w:trPr>
    <w:tcPr>
      <w:vAlign w:val="center"/>
    </w:tcPr>
  </w:style>
  <w:style w:type="character" w:customStyle="1" w:styleId="342">
    <w:name w:val="批注文字 字符"/>
    <w:basedOn w:val="56"/>
    <w:link w:val="17"/>
    <w:semiHidden/>
    <w:qFormat/>
    <w:uiPriority w:val="0"/>
    <w:rPr>
      <w:rFonts w:cstheme="minorBidi"/>
      <w:kern w:val="2"/>
      <w:sz w:val="24"/>
      <w:szCs w:val="22"/>
    </w:rPr>
  </w:style>
  <w:style w:type="paragraph" w:customStyle="1" w:styleId="343">
    <w:name w:val="表格内文字"/>
    <w:link w:val="344"/>
    <w:qFormat/>
    <w:uiPriority w:val="0"/>
    <w:pPr>
      <w:jc w:val="center"/>
    </w:pPr>
    <w:rPr>
      <w:rFonts w:ascii="Times New Roman" w:hAnsi="Times New Roman" w:eastAsia="宋体" w:cs="Times New Roman"/>
      <w:kern w:val="2"/>
      <w:sz w:val="21"/>
      <w:szCs w:val="24"/>
      <w:lang w:val="en-US" w:eastAsia="zh-CN" w:bidi="ar-SA"/>
    </w:rPr>
  </w:style>
  <w:style w:type="character" w:customStyle="1" w:styleId="344">
    <w:name w:val="表格内文字 字符"/>
    <w:basedOn w:val="56"/>
    <w:link w:val="343"/>
    <w:qFormat/>
    <w:uiPriority w:val="0"/>
    <w:rPr>
      <w:kern w:val="2"/>
      <w:sz w:val="21"/>
      <w:szCs w:val="24"/>
    </w:rPr>
  </w:style>
  <w:style w:type="paragraph" w:styleId="345">
    <w:name w:val="List Paragraph"/>
    <w:basedOn w:val="1"/>
    <w:qFormat/>
    <w:uiPriority w:val="1"/>
    <w:pPr>
      <w:ind w:firstLine="420"/>
    </w:pPr>
  </w:style>
  <w:style w:type="character" w:customStyle="1" w:styleId="346">
    <w:name w:val="表头 Char2"/>
    <w:link w:val="180"/>
    <w:qFormat/>
    <w:uiPriority w:val="0"/>
    <w:rPr>
      <w:rFonts w:cstheme="minorBidi"/>
      <w:b/>
      <w:spacing w:val="2"/>
      <w:kern w:val="2"/>
      <w:sz w:val="26"/>
    </w:rPr>
  </w:style>
  <w:style w:type="paragraph" w:customStyle="1" w:styleId="347">
    <w:name w:val="样式 表格"/>
    <w:basedOn w:val="1"/>
    <w:qFormat/>
    <w:uiPriority w:val="0"/>
    <w:pPr>
      <w:spacing w:line="240" w:lineRule="auto"/>
      <w:ind w:firstLine="0" w:firstLineChars="0"/>
      <w:jc w:val="center"/>
    </w:pPr>
    <w:rPr>
      <w:rFonts w:cs="Times New Roman"/>
      <w:sz w:val="21"/>
      <w:szCs w:val="24"/>
    </w:rPr>
  </w:style>
  <w:style w:type="table" w:customStyle="1" w:styleId="348">
    <w:name w:val="网格型4"/>
    <w:basedOn w:val="5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
    <w:name w:val="Plain Table 2"/>
    <w:basedOn w:val="53"/>
    <w:qFormat/>
    <w:uiPriority w:val="42"/>
    <w:pPr>
      <w:jc w:val="center"/>
    </w:pPr>
    <w:rPr>
      <w:rFonts w:eastAsiaTheme="minorEastAsia" w:cstheme="minorBidi"/>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350">
    <w:name w:val="6表内文字 居中"/>
    <w:basedOn w:val="1"/>
    <w:qFormat/>
    <w:uiPriority w:val="0"/>
    <w:pPr>
      <w:adjustRightInd w:val="0"/>
      <w:spacing w:line="240" w:lineRule="atLeast"/>
      <w:ind w:firstLine="0" w:firstLineChars="0"/>
      <w:jc w:val="center"/>
      <w:textAlignment w:val="baseline"/>
    </w:pPr>
    <w:rPr>
      <w:rFonts w:cs="Times New Roman"/>
      <w:snapToGrid w:val="0"/>
      <w:kern w:val="0"/>
      <w:sz w:val="21"/>
      <w:szCs w:val="24"/>
    </w:rPr>
  </w:style>
  <w:style w:type="paragraph" w:customStyle="1" w:styleId="351">
    <w:name w:val="表头(新)"/>
    <w:basedOn w:val="1"/>
    <w:qFormat/>
    <w:uiPriority w:val="0"/>
    <w:pPr>
      <w:spacing w:beforeLines="50" w:line="240" w:lineRule="auto"/>
      <w:ind w:firstLine="0" w:firstLineChars="0"/>
      <w:jc w:val="center"/>
    </w:pPr>
    <w:rPr>
      <w:rFonts w:hAnsi="宋体" w:cs="Times New Roman"/>
      <w:b/>
      <w:snapToGrid w:val="0"/>
      <w:kern w:val="0"/>
      <w:sz w:val="21"/>
      <w:szCs w:val="24"/>
    </w:rPr>
  </w:style>
  <w:style w:type="character" w:customStyle="1" w:styleId="352">
    <w:name w:val="表头 字符"/>
    <w:basedOn w:val="56"/>
    <w:qFormat/>
    <w:uiPriority w:val="0"/>
    <w:rPr>
      <w:rFonts w:eastAsia="黑体" w:cstheme="minorBidi"/>
      <w:color w:val="000000" w:themeColor="text1"/>
      <w:kern w:val="2"/>
      <w:sz w:val="21"/>
      <w:szCs w:val="24"/>
      <w14:textFill>
        <w14:solidFill>
          <w14:schemeClr w14:val="tx1"/>
        </w14:solidFill>
      </w14:textFill>
    </w:rPr>
  </w:style>
  <w:style w:type="paragraph" w:customStyle="1" w:styleId="353">
    <w:name w:val="表格文字1"/>
    <w:basedOn w:val="1"/>
    <w:link w:val="354"/>
    <w:qFormat/>
    <w:uiPriority w:val="0"/>
    <w:pPr>
      <w:spacing w:line="400" w:lineRule="exact"/>
      <w:ind w:firstLine="0" w:firstLineChars="0"/>
      <w:jc w:val="center"/>
    </w:pPr>
    <w:rPr>
      <w:rFonts w:cs="Times New Roman"/>
      <w:sz w:val="21"/>
      <w:szCs w:val="20"/>
      <w:lang w:eastAsia="en-US"/>
    </w:rPr>
  </w:style>
  <w:style w:type="character" w:customStyle="1" w:styleId="354">
    <w:name w:val="表格文字1 字符"/>
    <w:link w:val="353"/>
    <w:qFormat/>
    <w:uiPriority w:val="0"/>
    <w:rPr>
      <w:kern w:val="2"/>
      <w:sz w:val="21"/>
      <w:lang w:eastAsia="en-US"/>
    </w:rPr>
  </w:style>
  <w:style w:type="character" w:customStyle="1" w:styleId="355">
    <w:name w:val="表格内容5号 Char"/>
    <w:link w:val="356"/>
    <w:qFormat/>
    <w:uiPriority w:val="0"/>
    <w:rPr>
      <w:kern w:val="2"/>
      <w:sz w:val="21"/>
      <w:szCs w:val="24"/>
    </w:rPr>
  </w:style>
  <w:style w:type="paragraph" w:customStyle="1" w:styleId="356">
    <w:name w:val="表格内容5号"/>
    <w:link w:val="355"/>
    <w:qFormat/>
    <w:uiPriority w:val="0"/>
    <w:pPr>
      <w:widowControl w:val="0"/>
      <w:snapToGrid w:val="0"/>
      <w:spacing w:line="240" w:lineRule="atLeast"/>
      <w:jc w:val="center"/>
    </w:pPr>
    <w:rPr>
      <w:rFonts w:ascii="Times New Roman" w:hAnsi="Times New Roman" w:eastAsia="宋体" w:cs="Times New Roman"/>
      <w:kern w:val="2"/>
      <w:sz w:val="21"/>
      <w:szCs w:val="24"/>
      <w:lang w:val="en-US" w:eastAsia="zh-CN" w:bidi="ar-SA"/>
    </w:rPr>
  </w:style>
  <w:style w:type="character" w:customStyle="1" w:styleId="357">
    <w:name w:val="Intense Emphasis"/>
    <w:basedOn w:val="56"/>
    <w:qFormat/>
    <w:uiPriority w:val="21"/>
    <w:rPr>
      <w:i/>
      <w:iCs/>
      <w:color w:val="4472C4" w:themeColor="accent1"/>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jpeg"/><Relationship Id="rId57" Type="http://schemas.openxmlformats.org/officeDocument/2006/relationships/image" Target="media/image30.jpeg"/><Relationship Id="rId56" Type="http://schemas.openxmlformats.org/officeDocument/2006/relationships/image" Target="media/image29.jpeg"/><Relationship Id="rId55" Type="http://schemas.openxmlformats.org/officeDocument/2006/relationships/image" Target="media/image28.jpeg"/><Relationship Id="rId54" Type="http://schemas.openxmlformats.org/officeDocument/2006/relationships/image" Target="media/image27.jpeg"/><Relationship Id="rId53" Type="http://schemas.openxmlformats.org/officeDocument/2006/relationships/image" Target="media/image26.jpeg"/><Relationship Id="rId52" Type="http://schemas.openxmlformats.org/officeDocument/2006/relationships/image" Target="media/image25.wmf"/><Relationship Id="rId51" Type="http://schemas.openxmlformats.org/officeDocument/2006/relationships/oleObject" Target="embeddings/oleObject12.bin"/><Relationship Id="rId50" Type="http://schemas.openxmlformats.org/officeDocument/2006/relationships/image" Target="media/image24.wmf"/><Relationship Id="rId5" Type="http://schemas.openxmlformats.org/officeDocument/2006/relationships/header" Target="header1.xml"/><Relationship Id="rId49" Type="http://schemas.openxmlformats.org/officeDocument/2006/relationships/oleObject" Target="embeddings/oleObject11.bin"/><Relationship Id="rId48" Type="http://schemas.openxmlformats.org/officeDocument/2006/relationships/image" Target="media/image23.wmf"/><Relationship Id="rId47" Type="http://schemas.openxmlformats.org/officeDocument/2006/relationships/oleObject" Target="embeddings/oleObject10.bin"/><Relationship Id="rId46" Type="http://schemas.openxmlformats.org/officeDocument/2006/relationships/image" Target="media/image22.wmf"/><Relationship Id="rId45" Type="http://schemas.openxmlformats.org/officeDocument/2006/relationships/oleObject" Target="embeddings/oleObject9.bin"/><Relationship Id="rId44" Type="http://schemas.openxmlformats.org/officeDocument/2006/relationships/image" Target="media/image21.wmf"/><Relationship Id="rId43" Type="http://schemas.openxmlformats.org/officeDocument/2006/relationships/oleObject" Target="embeddings/oleObject8.bin"/><Relationship Id="rId42" Type="http://schemas.openxmlformats.org/officeDocument/2006/relationships/image" Target="media/image20.jpeg"/><Relationship Id="rId41" Type="http://schemas.openxmlformats.org/officeDocument/2006/relationships/image" Target="media/image19.emf"/><Relationship Id="rId40" Type="http://schemas.openxmlformats.org/officeDocument/2006/relationships/oleObject" Target="embeddings/oleObject7.bin"/><Relationship Id="rId4" Type="http://schemas.openxmlformats.org/officeDocument/2006/relationships/endnotes" Target="endnotes.xml"/><Relationship Id="rId39" Type="http://schemas.openxmlformats.org/officeDocument/2006/relationships/image" Target="media/image18.emf"/><Relationship Id="rId38" Type="http://schemas.openxmlformats.org/officeDocument/2006/relationships/oleObject" Target="embeddings/oleObject6.bin"/><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jpeg"/><Relationship Id="rId32" Type="http://schemas.openxmlformats.org/officeDocument/2006/relationships/image" Target="media/image12.emf"/><Relationship Id="rId31" Type="http://schemas.openxmlformats.org/officeDocument/2006/relationships/oleObject" Target="embeddings/oleObject5.bin"/><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emf"/><Relationship Id="rId28" Type="http://schemas.openxmlformats.org/officeDocument/2006/relationships/oleObject" Target="embeddings/oleObject4.bin"/><Relationship Id="rId27" Type="http://schemas.openxmlformats.org/officeDocument/2006/relationships/image" Target="media/image9.emf"/><Relationship Id="rId26" Type="http://schemas.openxmlformats.org/officeDocument/2006/relationships/oleObject" Target="embeddings/oleObject3.bin"/><Relationship Id="rId25" Type="http://schemas.openxmlformats.org/officeDocument/2006/relationships/image" Target="media/image8.emf"/><Relationship Id="rId24" Type="http://schemas.openxmlformats.org/officeDocument/2006/relationships/oleObject" Target="embeddings/oleObject2.bin"/><Relationship Id="rId23" Type="http://schemas.openxmlformats.org/officeDocument/2006/relationships/image" Target="media/image7.emf"/><Relationship Id="rId22" Type="http://schemas.openxmlformats.org/officeDocument/2006/relationships/oleObject" Target="embeddings/oleObject1.bin"/><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hang zhou shi huan ke shuo</Company>
  <Pages>280</Pages>
  <Words>33073</Words>
  <Characters>188521</Characters>
  <Lines>1571</Lines>
  <Paragraphs>442</Paragraphs>
  <TotalTime>8</TotalTime>
  <ScaleCrop>false</ScaleCrop>
  <LinksUpToDate>false</LinksUpToDate>
  <CharactersWithSpaces>221152</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2021-12-31T11:32:00Z</dcterms:created>
  <dc:creator>Lenovo</dc:creator>
  <cp:lastModifiedBy>user</cp:lastModifiedBy>
  <cp:lastPrinted>2021-12-31T11:30:00Z</cp:lastPrinted>
  <dcterms:modified xsi:type="dcterms:W3CDTF">2023-06-06T10:18:04Z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y fmtid="{D5CDD505-2E9C-101B-9397-08002B2CF9AE}" pid="3" name="NXPowerLiteLastOptimized">
    <vt:lpwstr>2895463</vt:lpwstr>
  </property>
  <property fmtid="{D5CDD505-2E9C-101B-9397-08002B2CF9AE}" pid="4" name="NXPowerLiteSettings">
    <vt:lpwstr>C700052003A000</vt:lpwstr>
  </property>
  <property fmtid="{D5CDD505-2E9C-101B-9397-08002B2CF9AE}" pid="5" name="NXPowerLiteVersion">
    <vt:lpwstr>D8.0.3</vt:lpwstr>
  </property>
</Properties>
</file>