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hint="eastAsia" w:ascii="宋体" w:hAnsi="宋体" w:eastAsia="宋体" w:cs="宋体"/>
          <w:b w:val="0"/>
          <w:bCs/>
          <w:sz w:val="44"/>
          <w:szCs w:val="44"/>
        </w:rPr>
      </w:pPr>
      <w:r>
        <w:rPr>
          <w:rFonts w:hint="eastAsia" w:ascii="宋体" w:hAnsi="宋体" w:eastAsia="宋体" w:cs="宋体"/>
          <w:b w:val="0"/>
          <w:bCs/>
          <w:sz w:val="44"/>
          <w:szCs w:val="44"/>
        </w:rPr>
        <w:t>长治市屯留区自然资源局</w:t>
      </w:r>
    </w:p>
    <w:p>
      <w:pPr>
        <w:spacing w:line="360" w:lineRule="auto"/>
        <w:jc w:val="center"/>
        <w:rPr>
          <w:rFonts w:hint="eastAsia" w:ascii="宋体" w:hAnsi="宋体" w:eastAsia="宋体" w:cs="宋体"/>
          <w:b w:val="0"/>
          <w:bCs/>
          <w:sz w:val="44"/>
          <w:szCs w:val="44"/>
          <w:lang w:val="en-US" w:eastAsia="zh-CN"/>
        </w:rPr>
      </w:pPr>
      <w:r>
        <w:rPr>
          <w:rFonts w:hint="eastAsia" w:ascii="宋体" w:hAnsi="宋体" w:cs="宋体"/>
          <w:b w:val="0"/>
          <w:bCs/>
          <w:sz w:val="44"/>
          <w:szCs w:val="44"/>
          <w:lang w:val="en-US" w:eastAsia="zh-CN"/>
        </w:rPr>
        <w:t>关于</w:t>
      </w:r>
      <w:r>
        <w:rPr>
          <w:rFonts w:hint="eastAsia" w:ascii="宋体" w:hAnsi="宋体" w:eastAsia="宋体" w:cs="宋体"/>
          <w:b w:val="0"/>
          <w:bCs/>
          <w:sz w:val="44"/>
          <w:szCs w:val="44"/>
        </w:rPr>
        <w:t>《</w:t>
      </w:r>
      <w:r>
        <w:rPr>
          <w:rFonts w:hint="eastAsia" w:ascii="宋体" w:hAnsi="宋体" w:eastAsia="宋体" w:cs="宋体"/>
          <w:b w:val="0"/>
          <w:bCs/>
          <w:sz w:val="44"/>
          <w:szCs w:val="44"/>
          <w:lang w:val="en-US" w:eastAsia="zh-CN"/>
        </w:rPr>
        <w:t>长治市屯留区鸡鸣水河人工湿地水质净化工程（管理用房）选址研究报告</w:t>
      </w:r>
      <w:r>
        <w:rPr>
          <w:rFonts w:hint="eastAsia" w:ascii="宋体" w:hAnsi="宋体" w:eastAsia="宋体" w:cs="宋体"/>
          <w:b w:val="0"/>
          <w:bCs/>
          <w:sz w:val="44"/>
          <w:szCs w:val="44"/>
          <w:lang w:eastAsia="zh-CN"/>
        </w:rPr>
        <w:t>》</w:t>
      </w:r>
      <w:r>
        <w:rPr>
          <w:rFonts w:hint="eastAsia" w:ascii="宋体" w:hAnsi="宋体" w:eastAsia="宋体" w:cs="宋体"/>
          <w:b w:val="0"/>
          <w:bCs/>
          <w:sz w:val="44"/>
          <w:szCs w:val="44"/>
          <w:lang w:val="en-US" w:eastAsia="zh-CN"/>
        </w:rPr>
        <w:t>的</w:t>
      </w:r>
    </w:p>
    <w:p>
      <w:pPr>
        <w:spacing w:line="360" w:lineRule="auto"/>
        <w:jc w:val="center"/>
        <w:rPr>
          <w:rFonts w:hint="eastAsia" w:ascii="宋体" w:hAnsi="宋体" w:eastAsia="宋体" w:cs="宋体"/>
          <w:b w:val="0"/>
          <w:bCs/>
          <w:sz w:val="44"/>
          <w:szCs w:val="44"/>
        </w:rPr>
      </w:pPr>
      <w:r>
        <w:rPr>
          <w:rFonts w:hint="eastAsia" w:ascii="宋体" w:hAnsi="宋体" w:eastAsia="宋体" w:cs="宋体"/>
          <w:b w:val="0"/>
          <w:bCs/>
          <w:sz w:val="44"/>
          <w:szCs w:val="44"/>
        </w:rPr>
        <w:t>公  示</w:t>
      </w:r>
    </w:p>
    <w:p>
      <w:pPr>
        <w:spacing w:line="480" w:lineRule="exact"/>
        <w:ind w:firstLine="640" w:firstLineChars="200"/>
        <w:rPr>
          <w:rFonts w:hint="eastAsia" w:ascii="黑体" w:hAnsi="黑体" w:eastAsia="黑体"/>
          <w:b w:val="0"/>
          <w:bCs w:val="0"/>
          <w:sz w:val="32"/>
          <w:szCs w:val="28"/>
        </w:rPr>
      </w:pPr>
    </w:p>
    <w:p>
      <w:pPr>
        <w:spacing w:line="480" w:lineRule="exact"/>
        <w:ind w:firstLine="640" w:firstLineChars="200"/>
        <w:rPr>
          <w:rFonts w:hint="eastAsia" w:ascii="黑体" w:hAnsi="黑体" w:eastAsia="黑体"/>
          <w:b w:val="0"/>
          <w:bCs w:val="0"/>
          <w:sz w:val="32"/>
          <w:szCs w:val="28"/>
        </w:rPr>
      </w:pPr>
      <w:r>
        <w:rPr>
          <w:rFonts w:hint="eastAsia" w:ascii="黑体" w:hAnsi="黑体" w:eastAsia="黑体"/>
          <w:b w:val="0"/>
          <w:bCs w:val="0"/>
          <w:sz w:val="32"/>
          <w:szCs w:val="28"/>
        </w:rPr>
        <w:t>一、规划范围</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 xml:space="preserve">长治市屯留区鸡鸣水河人工湿地水质净化工程项目（管理用房），位于长治市屯留区李高乡西鸣水村鸡鸣水河西岸，项目占地面积为 </w:t>
      </w:r>
      <w:r>
        <w:rPr>
          <w:rFonts w:hint="default" w:ascii="仿宋" w:hAnsi="仿宋" w:eastAsia="仿宋" w:cs="仿宋"/>
          <w:b w:val="0"/>
          <w:bCs w:val="0"/>
          <w:color w:val="000000"/>
          <w:kern w:val="0"/>
          <w:sz w:val="32"/>
          <w:szCs w:val="32"/>
          <w:lang w:val="en-US" w:eastAsia="zh-CN" w:bidi="ar"/>
        </w:rPr>
        <w:t xml:space="preserve">740.96 </w:t>
      </w:r>
      <w:r>
        <w:rPr>
          <w:rFonts w:hint="eastAsia" w:ascii="仿宋" w:hAnsi="仿宋" w:eastAsia="仿宋" w:cs="仿宋"/>
          <w:b w:val="0"/>
          <w:bCs w:val="0"/>
          <w:color w:val="000000"/>
          <w:kern w:val="0"/>
          <w:sz w:val="32"/>
          <w:szCs w:val="32"/>
          <w:lang w:val="en-US" w:eastAsia="zh-CN" w:bidi="ar"/>
        </w:rPr>
        <w:t xml:space="preserve">平方米，合约 </w:t>
      </w:r>
      <w:r>
        <w:rPr>
          <w:rFonts w:hint="default" w:ascii="仿宋" w:hAnsi="仿宋" w:eastAsia="仿宋" w:cs="仿宋"/>
          <w:b w:val="0"/>
          <w:bCs w:val="0"/>
          <w:color w:val="000000"/>
          <w:kern w:val="0"/>
          <w:sz w:val="32"/>
          <w:szCs w:val="32"/>
          <w:lang w:val="en-US" w:eastAsia="zh-CN" w:bidi="ar"/>
        </w:rPr>
        <w:t xml:space="preserve">1.11 </w:t>
      </w:r>
      <w:r>
        <w:rPr>
          <w:rFonts w:hint="eastAsia" w:ascii="仿宋" w:hAnsi="仿宋" w:eastAsia="仿宋" w:cs="仿宋"/>
          <w:b w:val="0"/>
          <w:bCs w:val="0"/>
          <w:color w:val="000000"/>
          <w:kern w:val="0"/>
          <w:sz w:val="32"/>
          <w:szCs w:val="32"/>
          <w:lang w:val="en-US" w:eastAsia="zh-CN" w:bidi="ar"/>
        </w:rPr>
        <w:t>亩，本次选址研究仅针对需要永久占地的管理用房。</w:t>
      </w:r>
    </w:p>
    <w:p>
      <w:pPr>
        <w:numPr>
          <w:ilvl w:val="0"/>
          <w:numId w:val="1"/>
        </w:numPr>
        <w:ind w:firstLine="640" w:firstLineChars="200"/>
        <w:jc w:val="left"/>
        <w:rPr>
          <w:rFonts w:hint="eastAsia" w:ascii="黑体" w:hAnsi="黑体" w:eastAsia="黑体"/>
          <w:sz w:val="32"/>
          <w:szCs w:val="32"/>
        </w:rPr>
      </w:pPr>
      <w:r>
        <w:rPr>
          <w:rFonts w:hint="eastAsia" w:ascii="黑体" w:hAnsi="黑体" w:eastAsia="黑体"/>
          <w:sz w:val="32"/>
          <w:szCs w:val="32"/>
        </w:rPr>
        <w:t>规划地块分析</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项目建设的必要性包括：1、是河道防洪安全的需要，2、是提升河道水质的需要</w:t>
      </w:r>
      <w:r>
        <w:rPr>
          <w:rFonts w:hint="eastAsia" w:ascii="仿宋" w:hAnsi="仿宋" w:eastAsia="仿宋" w:cs="仿宋"/>
          <w:b w:val="0"/>
          <w:bCs w:val="0"/>
          <w:sz w:val="32"/>
          <w:szCs w:val="32"/>
          <w:lang w:eastAsia="zh-CN"/>
        </w:rPr>
        <w:t>，</w:t>
      </w:r>
      <w:r>
        <w:rPr>
          <w:rFonts w:hint="eastAsia" w:ascii="仿宋" w:hAnsi="仿宋" w:eastAsia="仿宋" w:cs="仿宋"/>
          <w:b w:val="0"/>
          <w:bCs w:val="0"/>
          <w:color w:val="000000"/>
          <w:kern w:val="0"/>
          <w:sz w:val="32"/>
          <w:szCs w:val="32"/>
          <w:lang w:val="en-US" w:eastAsia="zh-CN" w:bidi="ar"/>
        </w:rPr>
        <w:t>3、是提升人居环境的需要</w:t>
      </w:r>
      <w:r>
        <w:rPr>
          <w:rFonts w:hint="eastAsia" w:ascii="仿宋" w:hAnsi="仿宋" w:eastAsia="仿宋" w:cs="仿宋"/>
          <w:b w:val="0"/>
          <w:bCs w:val="0"/>
          <w:sz w:val="32"/>
          <w:szCs w:val="32"/>
          <w:lang w:eastAsia="zh-CN"/>
        </w:rPr>
        <w:t>，</w:t>
      </w:r>
      <w:r>
        <w:rPr>
          <w:rFonts w:hint="eastAsia" w:ascii="仿宋" w:hAnsi="仿宋" w:eastAsia="仿宋" w:cs="仿宋"/>
          <w:b w:val="0"/>
          <w:bCs w:val="0"/>
          <w:color w:val="000000"/>
          <w:kern w:val="0"/>
          <w:sz w:val="32"/>
          <w:szCs w:val="32"/>
          <w:lang w:val="en-US" w:eastAsia="zh-CN" w:bidi="ar"/>
        </w:rPr>
        <w:t>4、以人为本，造福长治人民的需要</w:t>
      </w:r>
      <w:r>
        <w:rPr>
          <w:rFonts w:hint="eastAsia" w:ascii="仿宋" w:hAnsi="仿宋" w:eastAsia="仿宋" w:cs="仿宋"/>
          <w:b w:val="0"/>
          <w:bCs w:val="0"/>
          <w:sz w:val="32"/>
          <w:szCs w:val="32"/>
          <w:lang w:eastAsia="zh-CN"/>
        </w:rPr>
        <w:t>，</w:t>
      </w:r>
      <w:r>
        <w:rPr>
          <w:rFonts w:hint="eastAsia" w:ascii="仿宋" w:hAnsi="仿宋" w:eastAsia="仿宋" w:cs="仿宋"/>
          <w:b w:val="0"/>
          <w:bCs w:val="0"/>
          <w:color w:val="000000"/>
          <w:kern w:val="0"/>
          <w:sz w:val="32"/>
          <w:szCs w:val="32"/>
          <w:lang w:val="en-US" w:eastAsia="zh-CN" w:bidi="ar"/>
        </w:rPr>
        <w:t>5、是确保河道行洪畅通，确保河道两侧居民和农田安全的需要</w:t>
      </w:r>
      <w:r>
        <w:rPr>
          <w:rFonts w:hint="eastAsia" w:ascii="仿宋" w:hAnsi="仿宋" w:eastAsia="仿宋" w:cs="仿宋"/>
          <w:b w:val="0"/>
          <w:bCs w:val="0"/>
          <w:sz w:val="32"/>
          <w:szCs w:val="32"/>
          <w:lang w:eastAsia="zh-CN"/>
        </w:rPr>
        <w:t>，</w:t>
      </w:r>
      <w:r>
        <w:rPr>
          <w:rFonts w:hint="eastAsia" w:ascii="仿宋" w:hAnsi="仿宋" w:eastAsia="仿宋" w:cs="仿宋"/>
          <w:b w:val="0"/>
          <w:bCs w:val="0"/>
          <w:color w:val="000000"/>
          <w:kern w:val="0"/>
          <w:sz w:val="32"/>
          <w:szCs w:val="32"/>
          <w:lang w:val="en-US" w:eastAsia="zh-CN" w:bidi="ar"/>
        </w:rPr>
        <w:t>6、是保障农业生产，促进高效农业和观光农业发展的需要</w:t>
      </w:r>
      <w:r>
        <w:rPr>
          <w:rFonts w:hint="eastAsia" w:ascii="仿宋" w:hAnsi="仿宋" w:eastAsia="仿宋" w:cs="仿宋"/>
          <w:b w:val="0"/>
          <w:bCs w:val="0"/>
          <w:sz w:val="32"/>
          <w:szCs w:val="32"/>
          <w:lang w:eastAsia="zh-CN"/>
        </w:rPr>
        <w:t>，</w:t>
      </w:r>
      <w:r>
        <w:rPr>
          <w:rFonts w:hint="eastAsia" w:ascii="仿宋" w:hAnsi="仿宋" w:eastAsia="仿宋" w:cs="仿宋"/>
          <w:b w:val="0"/>
          <w:bCs w:val="0"/>
          <w:color w:val="000000"/>
          <w:kern w:val="0"/>
          <w:sz w:val="32"/>
          <w:szCs w:val="32"/>
          <w:lang w:val="en-US" w:eastAsia="zh-CN" w:bidi="ar"/>
        </w:rPr>
        <w:t>7、防洪工程建设的需要，8、日常管理和运维的需要。</w:t>
      </w:r>
    </w:p>
    <w:p>
      <w:pPr>
        <w:numPr>
          <w:ilvl w:val="0"/>
          <w:numId w:val="0"/>
        </w:numPr>
        <w:spacing w:line="240" w:lineRule="auto"/>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drawing>
          <wp:inline distT="0" distB="0" distL="114300" distR="114300">
            <wp:extent cx="5019675" cy="6657975"/>
            <wp:effectExtent l="0" t="0" r="9525" b="9525"/>
            <wp:docPr id="2" name="图片 2" descr="8478ca9a2547cb5b1eba7cef8315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78ca9a2547cb5b1eba7cef831570c"/>
                    <pic:cNvPicPr>
                      <a:picLocks noChangeAspect="1"/>
                    </pic:cNvPicPr>
                  </pic:nvPicPr>
                  <pic:blipFill>
                    <a:blip r:embed="rId4"/>
                    <a:stretch>
                      <a:fillRect/>
                    </a:stretch>
                  </pic:blipFill>
                  <pic:spPr>
                    <a:xfrm>
                      <a:off x="0" y="0"/>
                      <a:ext cx="5019675" cy="6657975"/>
                    </a:xfrm>
                    <a:prstGeom prst="rect">
                      <a:avLst/>
                    </a:prstGeom>
                  </pic:spPr>
                </pic:pic>
              </a:graphicData>
            </a:graphic>
          </wp:inline>
        </w:drawing>
      </w:r>
    </w:p>
    <w:p>
      <w:pPr>
        <w:numPr>
          <w:ilvl w:val="0"/>
          <w:numId w:val="0"/>
        </w:numPr>
        <w:spacing w:line="480" w:lineRule="exact"/>
        <w:ind w:firstLine="640" w:firstLineChars="200"/>
        <w:rPr>
          <w:rFonts w:hint="eastAsia" w:ascii="黑体" w:hAnsi="黑体" w:eastAsia="黑体"/>
          <w:sz w:val="32"/>
          <w:szCs w:val="32"/>
        </w:rPr>
      </w:pPr>
      <w:bookmarkStart w:id="0" w:name="_GoBack"/>
      <w:bookmarkEnd w:id="0"/>
      <w:r>
        <w:rPr>
          <w:rFonts w:hint="eastAsia" w:ascii="黑体" w:hAnsi="黑体" w:eastAsia="黑体"/>
          <w:sz w:val="32"/>
          <w:szCs w:val="32"/>
        </w:rPr>
        <w:t>三、地块控制</w:t>
      </w:r>
    </w:p>
    <w:p>
      <w:pPr>
        <w:spacing w:line="480" w:lineRule="exact"/>
        <w:ind w:firstLine="630"/>
        <w:rPr>
          <w:rFonts w:hint="eastAsia" w:ascii="楷体_GB2312" w:hAnsi="华文仿宋" w:eastAsia="楷体_GB2312"/>
          <w:sz w:val="32"/>
          <w:szCs w:val="32"/>
        </w:rPr>
      </w:pPr>
      <w:r>
        <w:rPr>
          <w:rFonts w:hint="eastAsia" w:ascii="楷体_GB2312" w:hAnsi="华文仿宋" w:eastAsia="楷体_GB2312"/>
          <w:sz w:val="32"/>
          <w:szCs w:val="32"/>
        </w:rPr>
        <w:t>1、地块控制指标体系</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根据《城市规划编制办法》（2006）及《长治市城市规划管理技术规定》将地块控制指标分为规定性和指导性两类。前者是必须遵照执行的，后者是参照执行的。规定性指标包括地块面积、用地性质、容积率、建筑密度、建筑控制高度、绿化率、建筑退界、出入口方位、社会停车泊位。指导性指标包括建筑形式、建筑色彩等城市设计要求。</w:t>
      </w:r>
    </w:p>
    <w:p>
      <w:pPr>
        <w:numPr>
          <w:ilvl w:val="0"/>
          <w:numId w:val="2"/>
        </w:numPr>
        <w:spacing w:line="480" w:lineRule="exact"/>
        <w:ind w:firstLine="630"/>
        <w:rPr>
          <w:rFonts w:hint="eastAsia" w:ascii="楷体_GB2312" w:hAnsi="华文仿宋" w:eastAsia="楷体_GB2312"/>
          <w:sz w:val="32"/>
          <w:szCs w:val="32"/>
        </w:rPr>
      </w:pPr>
      <w:r>
        <w:rPr>
          <w:rFonts w:hint="eastAsia" w:ascii="楷体_GB2312" w:hAnsi="华文仿宋" w:eastAsia="楷体_GB2312"/>
          <w:sz w:val="32"/>
          <w:szCs w:val="32"/>
        </w:rPr>
        <w:t>开发强度控制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（1）地块开发强度研究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规划通过服务条件因子、交通条件因子、环境条件因子、生态因子、美学要求因子，对各种因素进行权重分析，参照因地制宜、具体问题具体分析的原则，对各种影响因子进行权重分析。</w:t>
      </w:r>
    </w:p>
    <w:p>
      <w:p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综合评价因子=服务条件因子×交通条件因子×环境条件因子×生态因子，得到综合评价。</w:t>
      </w:r>
    </w:p>
    <w:p>
      <w:pPr>
        <w:numPr>
          <w:ilvl w:val="0"/>
          <w:numId w:val="3"/>
        </w:num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地块开发强度建议</w:t>
      </w:r>
    </w:p>
    <w:p>
      <w:p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开发强度涉及容积率（净容积率，指标为上限）、建筑密度（指标为上限）和绿地率（指标为下限），其中容积率对城市开发的控制意义最大。根据规划区实际情况、土地用途、地块规模和地区城市设计的原则加对规划区进行开发强度控制。</w:t>
      </w:r>
    </w:p>
    <w:p>
      <w:pPr>
        <w:numPr>
          <w:ilvl w:val="0"/>
          <w:numId w:val="3"/>
        </w:num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建筑高度控制</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a、建筑高度控制研究</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城市高度的确定需要考虑的因素很多，比如需要综合考虑城市的景观特色、功能分区、土地区位及地价、城市设计等等。规划依据城市设计要求，初步提出高度控制方案。</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b、沿道路建筑高度控制</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沿城市道路（宽度在30米以上）两侧新建、改建建筑物时，建筑物除必须满足用地地块规定的建筑密度和建筑容积率以外，其中沿路建筑的控制高度一般按下式计算：</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H≦1.5×（W+S）</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H为建筑物的控制高度；W为道路规划红线宽度；S为建筑后退红线距离。</w:t>
      </w:r>
    </w:p>
    <w:p>
      <w:pPr>
        <w:numPr>
          <w:ilvl w:val="0"/>
          <w:numId w:val="3"/>
        </w:num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出入口方位设置</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各个地块都应设独立的交通出入口，机动车出入口开设应符合下列规定：</w:t>
      </w:r>
    </w:p>
    <w:p>
      <w:pPr>
        <w:spacing w:line="480" w:lineRule="exact"/>
        <w:ind w:firstLine="640" w:firstLineChars="200"/>
        <w:rPr>
          <w:rFonts w:hint="eastAsia" w:ascii="仿宋_GB2312" w:hAnsi="华文仿宋" w:eastAsia="仿宋_GB2312"/>
          <w:sz w:val="32"/>
          <w:szCs w:val="32"/>
        </w:rPr>
      </w:pPr>
      <w:r>
        <w:rPr>
          <w:rFonts w:hint="eastAsia" w:ascii="仿宋_GB2312" w:hAnsi="华文仿宋" w:eastAsia="仿宋_GB2312"/>
          <w:sz w:val="32"/>
          <w:szCs w:val="32"/>
        </w:rPr>
        <w:t>地块出入口与道路交叉口的最小距离按《地块出入口与道路交叉口的距离控制一览表》的规定执行；机动车出入口应在用地周边较低级别的道路上安排，如需在不同级别上的道路上开设二个或二个以上的机动车出入口时，应当按照道路等级由低到高的顺序安排；步行街两侧不得设置车辆出入口。</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地块主要出入口的位置，应有利于人流疏散，不宜设在交通主干道。园门外侧必须留有缓冲地带。</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交叉口视距三角形内的任何建筑物、构筑物、广告设施不得阻挡视距三角形内的视线，该范围内的绿化植物不得高于0.7米；建立完善的人行系统，健全人、车交通设施和管理规则，交通管理设施要美观和醒目。</w:t>
      </w:r>
    </w:p>
    <w:p>
      <w:pPr>
        <w:numPr>
          <w:ilvl w:val="0"/>
          <w:numId w:val="3"/>
        </w:num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建筑建造控制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a、建筑退界控制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沿用地边界的建筑物，其退让用地边界的距离按下列规定控制，如离界距离小于消防距离时，必须按消防间距的规定控制。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各类建筑主要朝向的离界距离，按建筑间距的规定退让。规定相邻地块边界的建筑退界东西向至少为5米，南北向为8米，并且应符合有关的日照和消防标准。</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地下建筑的离界距离不得小于建筑物深度（自室外地面至于下建筑物底板的底部的距离）的0.7倍，且不得小于3米，并符合有关规范、规定要求。</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界外是公共绿地的各类建筑的最小离界距离按照居住建筑的离界距离控制。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w:t>
      </w:r>
      <w:r>
        <w:rPr>
          <w:rFonts w:hint="eastAsia" w:ascii="仿宋_GB2312" w:hAnsi="华文仿宋" w:eastAsia="仿宋_GB2312"/>
          <w:sz w:val="32"/>
          <w:szCs w:val="32"/>
          <w:lang w:val="en-US" w:eastAsia="zh-CN"/>
        </w:rPr>
        <w:t xml:space="preserve"> </w:t>
      </w:r>
      <w:r>
        <w:rPr>
          <w:rFonts w:hint="eastAsia" w:ascii="仿宋_GB2312" w:hAnsi="华文仿宋" w:eastAsia="仿宋_GB2312"/>
          <w:sz w:val="32"/>
          <w:szCs w:val="32"/>
        </w:rPr>
        <w:t>b、建筑间距控制</w:t>
      </w:r>
    </w:p>
    <w:p>
      <w:p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建筑间距必须符合日照、采光、卫生、消防、工程、减少视线干扰等要求的综合考虑和建设用地的实际情况。</w:t>
      </w:r>
    </w:p>
    <w:p>
      <w:pPr>
        <w:rPr>
          <w:rFonts w:hint="eastAsia" w:eastAsia="宋体"/>
          <w:lang w:eastAsia="zh-CN"/>
        </w:rPr>
      </w:pPr>
      <w:r>
        <w:rPr>
          <w:rFonts w:hint="eastAsia" w:eastAsia="宋体"/>
          <w:lang w:eastAsia="zh-CN"/>
        </w:rPr>
        <w:drawing>
          <wp:inline distT="0" distB="0" distL="114300" distR="114300">
            <wp:extent cx="5271135" cy="3855085"/>
            <wp:effectExtent l="0" t="0" r="5715" b="12065"/>
            <wp:docPr id="3" name="图片 3" descr="5ae4d3b5b04c52e2ced8dde898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e4d3b5b04c52e2ced8dde89812285"/>
                    <pic:cNvPicPr>
                      <a:picLocks noChangeAspect="1"/>
                    </pic:cNvPicPr>
                  </pic:nvPicPr>
                  <pic:blipFill>
                    <a:blip r:embed="rId5"/>
                    <a:stretch>
                      <a:fillRect/>
                    </a:stretch>
                  </pic:blipFill>
                  <pic:spPr>
                    <a:xfrm>
                      <a:off x="0" y="0"/>
                      <a:ext cx="5271135" cy="38550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27204C"/>
    <w:multiLevelType w:val="singleLevel"/>
    <w:tmpl w:val="DA27204C"/>
    <w:lvl w:ilvl="0" w:tentative="0">
      <w:start w:val="2"/>
      <w:numFmt w:val="chineseCounting"/>
      <w:suff w:val="nothing"/>
      <w:lvlText w:val="%1、"/>
      <w:lvlJc w:val="left"/>
      <w:rPr>
        <w:rFonts w:hint="eastAsia"/>
      </w:rPr>
    </w:lvl>
  </w:abstractNum>
  <w:abstractNum w:abstractNumId="1">
    <w:nsid w:val="5902AA59"/>
    <w:multiLevelType w:val="singleLevel"/>
    <w:tmpl w:val="5902AA59"/>
    <w:lvl w:ilvl="0" w:tentative="0">
      <w:start w:val="2"/>
      <w:numFmt w:val="decimal"/>
      <w:suff w:val="nothing"/>
      <w:lvlText w:val="%1、"/>
      <w:lvlJc w:val="left"/>
    </w:lvl>
  </w:abstractNum>
  <w:abstractNum w:abstractNumId="2">
    <w:nsid w:val="5902AAAE"/>
    <w:multiLevelType w:val="singleLevel"/>
    <w:tmpl w:val="5902AAAE"/>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5ODhkMmI3MTU4YmI1MjZjZWM4Y2E4NjEyOTVhNmYifQ=="/>
  </w:docVars>
  <w:rsids>
    <w:rsidRoot w:val="2DBC411C"/>
    <w:rsid w:val="2DBC4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2023-11-01T01:45:00Z</dcterms:created>
  <dc:creator>Lenovo</dc:creator>
  <cp:lastModifiedBy>Lenovo</cp:lastModifiedBy>
  <dcterms:modified xsi:type="dcterms:W3CDTF">2023-11-01T02:05:54Z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0EE3A5D4880A4BDD99D79A8C61FAFA6E_11</vt:lpwstr>
  </property>
</Properties>
</file>