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DC" w:rsidRDefault="004A190C" w:rsidP="00CF58AA">
      <w:pPr>
        <w:spacing w:beforeLines="100" w:afterLines="100"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长治市</w:t>
      </w:r>
      <w:r>
        <w:rPr>
          <w:rFonts w:hint="eastAsia"/>
          <w:b/>
          <w:bCs/>
          <w:sz w:val="36"/>
          <w:szCs w:val="36"/>
        </w:rPr>
        <w:t>屯留区</w:t>
      </w:r>
      <w:r>
        <w:rPr>
          <w:rFonts w:hint="eastAsia"/>
          <w:b/>
          <w:bCs/>
          <w:sz w:val="36"/>
          <w:szCs w:val="36"/>
        </w:rPr>
        <w:t>自然资源局</w:t>
      </w:r>
      <w:r>
        <w:rPr>
          <w:rFonts w:hint="eastAsia"/>
          <w:b/>
          <w:bCs/>
          <w:sz w:val="36"/>
          <w:szCs w:val="36"/>
        </w:rPr>
        <w:br/>
      </w:r>
      <w:r>
        <w:rPr>
          <w:rFonts w:hint="eastAsia"/>
          <w:b/>
          <w:bCs/>
          <w:sz w:val="36"/>
          <w:szCs w:val="36"/>
        </w:rPr>
        <w:t>关于对《屯留国家气象观测站地块控制性详细规划》</w:t>
      </w:r>
      <w:r>
        <w:rPr>
          <w:rFonts w:hint="eastAsia"/>
          <w:b/>
          <w:bCs/>
          <w:sz w:val="36"/>
          <w:szCs w:val="36"/>
        </w:rPr>
        <w:br/>
      </w:r>
      <w:r>
        <w:rPr>
          <w:rFonts w:hint="eastAsia"/>
          <w:b/>
          <w:bCs/>
          <w:sz w:val="36"/>
          <w:szCs w:val="36"/>
        </w:rPr>
        <w:t>的公示</w:t>
      </w:r>
    </w:p>
    <w:p w:rsidR="00080FDC" w:rsidRDefault="004A190C">
      <w:pPr>
        <w:pStyle w:val="1"/>
      </w:pPr>
      <w:r>
        <w:rPr>
          <w:rFonts w:hint="eastAsia"/>
        </w:rPr>
        <w:t>一、</w:t>
      </w:r>
      <w:r>
        <w:rPr>
          <w:rFonts w:hint="eastAsia"/>
        </w:rPr>
        <w:t>规划范围</w:t>
      </w:r>
    </w:p>
    <w:p w:rsidR="00080FDC" w:rsidRDefault="004A190C" w:rsidP="00CF58AA">
      <w:pPr>
        <w:pStyle w:val="a4"/>
        <w:ind w:firstLine="600"/>
      </w:pPr>
      <w:r>
        <w:rPr>
          <w:rFonts w:hint="eastAsia"/>
        </w:rPr>
        <w:t>本次规划街坊位于屯留区中心城区东北角，规划范围南侧以规划道路中线为界，东、西、北三面以城镇开发边界为界，规划范围总面积</w:t>
      </w:r>
      <w:r>
        <w:rPr>
          <w:rFonts w:hint="eastAsia"/>
        </w:rPr>
        <w:t>17205.23</w:t>
      </w:r>
      <w:r>
        <w:rPr>
          <w:rFonts w:hint="eastAsia"/>
        </w:rPr>
        <w:t>平方米，合约</w:t>
      </w:r>
      <w:r>
        <w:rPr>
          <w:rFonts w:hint="eastAsia"/>
        </w:rPr>
        <w:t>25.81</w:t>
      </w:r>
      <w:r>
        <w:rPr>
          <w:rFonts w:hint="eastAsia"/>
        </w:rPr>
        <w:t>亩。</w:t>
      </w:r>
    </w:p>
    <w:p w:rsidR="00080FDC" w:rsidRDefault="004A190C">
      <w:r>
        <w:rPr>
          <w:rFonts w:hint="eastAsia"/>
          <w:noProof/>
        </w:rPr>
        <w:drawing>
          <wp:inline distT="0" distB="0" distL="114300" distR="114300">
            <wp:extent cx="5269230" cy="3995420"/>
            <wp:effectExtent l="0" t="0" r="7620" b="5080"/>
            <wp:docPr id="1" name="图片 1" descr="E:\2022年工作\屯留区气象局\规划图纸\区位.jpg区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2022年工作\屯留区气象局\规划图纸\区位.jpg区位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l="5002" t="6341" r="13801" b="659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FDC" w:rsidRDefault="004A190C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规划地块区域位置示意图</w:t>
      </w:r>
    </w:p>
    <w:p w:rsidR="00080FDC" w:rsidRDefault="004A190C">
      <w:r>
        <w:rPr>
          <w:rFonts w:hint="eastAsia"/>
        </w:rPr>
        <w:br w:type="page"/>
      </w:r>
    </w:p>
    <w:p w:rsidR="00080FDC" w:rsidRDefault="004A190C">
      <w:pPr>
        <w:pStyle w:val="1"/>
      </w:pPr>
      <w:r>
        <w:rPr>
          <w:rFonts w:hint="eastAsia"/>
        </w:rPr>
        <w:lastRenderedPageBreak/>
        <w:t>三、土地使用规划</w:t>
      </w:r>
    </w:p>
    <w:p w:rsidR="00080FDC" w:rsidRDefault="004A190C" w:rsidP="00CF58AA">
      <w:pPr>
        <w:pStyle w:val="a4"/>
        <w:ind w:firstLine="600"/>
      </w:pPr>
      <w:r>
        <w:rPr>
          <w:rFonts w:hint="eastAsia"/>
        </w:rPr>
        <w:t>用地分类以《国土空间调查、规划、用途管制用地用海分类指南》（试行）为主，以《城市用地分类与规划建设用地标准》（</w:t>
      </w:r>
      <w:r>
        <w:rPr>
          <w:rFonts w:hint="eastAsia"/>
        </w:rPr>
        <w:t>GB50137</w:t>
      </w:r>
      <w:r>
        <w:rPr>
          <w:rFonts w:hint="eastAsia"/>
        </w:rPr>
        <w:t>—</w:t>
      </w:r>
      <w:r>
        <w:rPr>
          <w:rFonts w:hint="eastAsia"/>
        </w:rPr>
        <w:t>2011</w:t>
      </w:r>
      <w:r>
        <w:rPr>
          <w:rFonts w:hint="eastAsia"/>
        </w:rPr>
        <w:t>）为辅。</w:t>
      </w:r>
    </w:p>
    <w:p w:rsidR="00080FDC" w:rsidRDefault="004A190C" w:rsidP="00CF58AA">
      <w:pPr>
        <w:pStyle w:val="a4"/>
        <w:ind w:firstLine="600"/>
      </w:pPr>
      <w:r>
        <w:rPr>
          <w:rFonts w:hint="eastAsia"/>
        </w:rPr>
        <w:t>规划范围占地面积</w:t>
      </w:r>
      <w:r>
        <w:rPr>
          <w:rFonts w:hint="eastAsia"/>
        </w:rPr>
        <w:t>17205.23</w:t>
      </w:r>
      <w:r>
        <w:rPr>
          <w:rFonts w:hint="eastAsia"/>
        </w:rPr>
        <w:t>平方米，其中：</w:t>
      </w:r>
    </w:p>
    <w:p w:rsidR="00080FDC" w:rsidRDefault="004A190C" w:rsidP="00CF58AA">
      <w:pPr>
        <w:pStyle w:val="a4"/>
        <w:ind w:firstLine="600"/>
      </w:pPr>
      <w:r>
        <w:rPr>
          <w:rFonts w:hint="eastAsia"/>
        </w:rPr>
        <w:t>规划行政办公用地面积</w:t>
      </w:r>
      <w:r>
        <w:rPr>
          <w:rFonts w:hint="eastAsia"/>
        </w:rPr>
        <w:t>16505.03</w:t>
      </w:r>
      <w:r>
        <w:rPr>
          <w:rFonts w:hint="eastAsia"/>
        </w:rPr>
        <w:t>平方米，占规划范围总用地面积的</w:t>
      </w:r>
      <w:r>
        <w:rPr>
          <w:rFonts w:hint="eastAsia"/>
        </w:rPr>
        <w:t>95.92%</w:t>
      </w:r>
      <w:r>
        <w:rPr>
          <w:rFonts w:hint="eastAsia"/>
        </w:rPr>
        <w:t>，是规划范围的核心用地。</w:t>
      </w:r>
    </w:p>
    <w:p w:rsidR="00080FDC" w:rsidRDefault="004A190C" w:rsidP="00CF58AA">
      <w:pPr>
        <w:pStyle w:val="a4"/>
        <w:ind w:firstLine="600"/>
      </w:pPr>
      <w:r>
        <w:rPr>
          <w:rFonts w:hint="eastAsia"/>
        </w:rPr>
        <w:t>规划道路与交通设施用地面积</w:t>
      </w:r>
      <w:r>
        <w:rPr>
          <w:rFonts w:hint="eastAsia"/>
        </w:rPr>
        <w:t>702.19</w:t>
      </w:r>
      <w:r>
        <w:rPr>
          <w:rFonts w:hint="eastAsia"/>
        </w:rPr>
        <w:t>平方米，占规划范围总用地的</w:t>
      </w:r>
      <w:r>
        <w:rPr>
          <w:rFonts w:hint="eastAsia"/>
        </w:rPr>
        <w:t>4.08%</w:t>
      </w:r>
      <w:r>
        <w:rPr>
          <w:rFonts w:hint="eastAsia"/>
        </w:rPr>
        <w:t>。</w:t>
      </w:r>
    </w:p>
    <w:p w:rsidR="00080FDC" w:rsidRDefault="004A190C">
      <w:pPr>
        <w:pStyle w:val="1"/>
      </w:pPr>
      <w:r>
        <w:rPr>
          <w:rFonts w:hint="eastAsia"/>
        </w:rPr>
        <w:t>四、</w:t>
      </w:r>
      <w:r>
        <w:rPr>
          <w:rFonts w:hint="eastAsia"/>
        </w:rPr>
        <w:t>地块编号</w:t>
      </w:r>
    </w:p>
    <w:p w:rsidR="00080FDC" w:rsidRDefault="004A190C" w:rsidP="00CF58AA">
      <w:pPr>
        <w:pStyle w:val="a4"/>
        <w:ind w:firstLine="600"/>
      </w:pPr>
      <w:r>
        <w:rPr>
          <w:rFonts w:hint="eastAsia"/>
        </w:rPr>
        <w:t>本次规划地块编号采用三级编号体系。</w:t>
      </w:r>
    </w:p>
    <w:p w:rsidR="00080FDC" w:rsidRDefault="004A190C" w:rsidP="00CF58AA">
      <w:pPr>
        <w:pStyle w:val="a4"/>
        <w:ind w:firstLine="600"/>
      </w:pPr>
      <w:r>
        <w:rPr>
          <w:rFonts w:hint="eastAsia"/>
        </w:rPr>
        <w:t>第一级用大写英文字母“</w:t>
      </w:r>
      <w:r>
        <w:rPr>
          <w:rFonts w:hint="eastAsia"/>
        </w:rPr>
        <w:t>CW</w:t>
      </w:r>
      <w:r>
        <w:rPr>
          <w:rFonts w:hint="eastAsia"/>
        </w:rPr>
        <w:t>”……表示，为规划范围在整个中心城区的单元编号；</w:t>
      </w:r>
    </w:p>
    <w:p w:rsidR="00080FDC" w:rsidRDefault="004A190C" w:rsidP="00CF58AA">
      <w:pPr>
        <w:pStyle w:val="a4"/>
        <w:ind w:firstLine="600"/>
      </w:pPr>
      <w:r>
        <w:rPr>
          <w:rFonts w:hint="eastAsia"/>
        </w:rPr>
        <w:t>第二级用大写英文字母“</w:t>
      </w:r>
      <w:r>
        <w:rPr>
          <w:rFonts w:hint="eastAsia"/>
        </w:rPr>
        <w:t>QX</w:t>
      </w:r>
      <w:r>
        <w:rPr>
          <w:rFonts w:hint="eastAsia"/>
        </w:rPr>
        <w:t>”…表示，为不同街坊。</w:t>
      </w:r>
    </w:p>
    <w:p w:rsidR="00080FDC" w:rsidRDefault="004A190C" w:rsidP="00CF58AA">
      <w:pPr>
        <w:pStyle w:val="a4"/>
        <w:ind w:firstLine="600"/>
      </w:pPr>
      <w:r>
        <w:rPr>
          <w:rFonts w:hint="eastAsia"/>
        </w:rPr>
        <w:t>第三级用阿拉伯数字</w:t>
      </w:r>
      <w:r>
        <w:rPr>
          <w:rFonts w:hint="eastAsia"/>
        </w:rPr>
        <w:t>01</w:t>
      </w:r>
      <w:r>
        <w:rPr>
          <w:rFonts w:hint="eastAsia"/>
        </w:rPr>
        <w:t>、</w:t>
      </w:r>
      <w:r>
        <w:rPr>
          <w:rFonts w:hint="eastAsia"/>
        </w:rPr>
        <w:t>02</w:t>
      </w:r>
      <w:r>
        <w:rPr>
          <w:rFonts w:hint="eastAsia"/>
        </w:rPr>
        <w:t>…表示，为不同地块。</w:t>
      </w:r>
      <w:bookmarkStart w:id="0" w:name="_GoBack"/>
      <w:bookmarkEnd w:id="0"/>
    </w:p>
    <w:p w:rsidR="00080FDC" w:rsidRDefault="004A190C" w:rsidP="00CF58AA">
      <w:pPr>
        <w:pStyle w:val="a4"/>
        <w:ind w:firstLine="600"/>
      </w:pPr>
      <w:r>
        <w:rPr>
          <w:rFonts w:hint="eastAsia"/>
        </w:rPr>
        <w:t>本次规划共包含</w:t>
      </w:r>
      <w:r>
        <w:rPr>
          <w:rFonts w:hint="eastAsia"/>
        </w:rPr>
        <w:t>1</w:t>
      </w:r>
      <w:r>
        <w:rPr>
          <w:rFonts w:hint="eastAsia"/>
        </w:rPr>
        <w:t>个地块。</w:t>
      </w:r>
    </w:p>
    <w:p w:rsidR="00080FDC" w:rsidRDefault="004A190C">
      <w:pPr>
        <w:pStyle w:val="1"/>
      </w:pPr>
      <w:r>
        <w:rPr>
          <w:rFonts w:hint="eastAsia"/>
        </w:rPr>
        <w:t>五、地块控制指标</w:t>
      </w:r>
    </w:p>
    <w:p w:rsidR="00080FDC" w:rsidRDefault="004A190C" w:rsidP="00CF58AA">
      <w:pPr>
        <w:pStyle w:val="a4"/>
        <w:ind w:firstLine="600"/>
      </w:pPr>
      <w:r>
        <w:rPr>
          <w:rFonts w:hint="eastAsia"/>
        </w:rPr>
        <w:t>本次规划地块具体规划指标如下图。</w:t>
      </w:r>
    </w:p>
    <w:p w:rsidR="00080FDC" w:rsidRDefault="00080FDC" w:rsidP="00CF58AA">
      <w:pPr>
        <w:pStyle w:val="a4"/>
        <w:ind w:firstLine="600"/>
      </w:pPr>
    </w:p>
    <w:p w:rsidR="00080FDC" w:rsidRDefault="00080FDC">
      <w:pPr>
        <w:sectPr w:rsidR="00080FD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80FDC" w:rsidRDefault="00CF58AA">
      <w:pPr>
        <w:jc w:val="center"/>
        <w:rPr>
          <w:sz w:val="10"/>
          <w:szCs w:val="10"/>
        </w:rPr>
      </w:pPr>
      <w:r>
        <w:rPr>
          <w:noProof/>
          <w:sz w:val="10"/>
          <w:szCs w:val="10"/>
        </w:rPr>
        <w:lastRenderedPageBreak/>
        <w:drawing>
          <wp:inline distT="0" distB="0" distL="0" distR="0">
            <wp:extent cx="7637069" cy="5591913"/>
            <wp:effectExtent l="19050" t="0" r="1981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557" cy="5593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0FDC" w:rsidSect="00080FDC">
      <w:pgSz w:w="16838" w:h="11906" w:orient="landscape"/>
      <w:pgMar w:top="1519" w:right="1440" w:bottom="1519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90C" w:rsidRDefault="004A190C" w:rsidP="00CF58AA">
      <w:r>
        <w:separator/>
      </w:r>
    </w:p>
  </w:endnote>
  <w:endnote w:type="continuationSeparator" w:id="0">
    <w:p w:rsidR="004A190C" w:rsidRDefault="004A190C" w:rsidP="00CF5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90C" w:rsidRDefault="004A190C" w:rsidP="00CF58AA">
      <w:r>
        <w:separator/>
      </w:r>
    </w:p>
  </w:footnote>
  <w:footnote w:type="continuationSeparator" w:id="0">
    <w:p w:rsidR="004A190C" w:rsidRDefault="004A190C" w:rsidP="00CF58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2Njk3MjAyY2IxZmJlMWJlYzg2MWI4NTRlODZhYzkifQ=="/>
  </w:docVars>
  <w:rsids>
    <w:rsidRoot w:val="7991237B"/>
    <w:rsid w:val="00080FDC"/>
    <w:rsid w:val="004A190C"/>
    <w:rsid w:val="00CF58AA"/>
    <w:rsid w:val="08107A27"/>
    <w:rsid w:val="08DF0C1E"/>
    <w:rsid w:val="12B5496C"/>
    <w:rsid w:val="2FF37F55"/>
    <w:rsid w:val="3FA8562E"/>
    <w:rsid w:val="6AD83D29"/>
    <w:rsid w:val="6DE50BDD"/>
    <w:rsid w:val="7991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FD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80FDC"/>
    <w:pPr>
      <w:keepNext/>
      <w:keepLines/>
      <w:spacing w:line="360" w:lineRule="auto"/>
      <w:outlineLvl w:val="0"/>
    </w:pPr>
    <w:rPr>
      <w:rFonts w:ascii="Times New Roman" w:eastAsia="仿宋" w:hAnsi="Times New Roman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80F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公示正文"/>
    <w:basedOn w:val="a"/>
    <w:qFormat/>
    <w:rsid w:val="00080FDC"/>
    <w:pPr>
      <w:spacing w:line="360" w:lineRule="auto"/>
      <w:ind w:firstLineChars="200" w:firstLine="420"/>
    </w:pPr>
    <w:rPr>
      <w:rFonts w:eastAsia="仿宋"/>
      <w:sz w:val="30"/>
    </w:rPr>
  </w:style>
  <w:style w:type="paragraph" w:styleId="a5">
    <w:name w:val="Balloon Text"/>
    <w:basedOn w:val="a"/>
    <w:link w:val="Char"/>
    <w:rsid w:val="00CF58AA"/>
    <w:rPr>
      <w:sz w:val="18"/>
      <w:szCs w:val="18"/>
    </w:rPr>
  </w:style>
  <w:style w:type="character" w:customStyle="1" w:styleId="Char">
    <w:name w:val="批注框文本 Char"/>
    <w:basedOn w:val="a0"/>
    <w:link w:val="a5"/>
    <w:rsid w:val="00CF58AA"/>
    <w:rPr>
      <w:kern w:val="2"/>
      <w:sz w:val="18"/>
      <w:szCs w:val="18"/>
    </w:rPr>
  </w:style>
  <w:style w:type="paragraph" w:styleId="a6">
    <w:name w:val="header"/>
    <w:basedOn w:val="a"/>
    <w:link w:val="Char0"/>
    <w:rsid w:val="00CF5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CF58AA"/>
    <w:rPr>
      <w:kern w:val="2"/>
      <w:sz w:val="18"/>
      <w:szCs w:val="18"/>
    </w:rPr>
  </w:style>
  <w:style w:type="paragraph" w:styleId="a7">
    <w:name w:val="footer"/>
    <w:basedOn w:val="a"/>
    <w:link w:val="Char1"/>
    <w:rsid w:val="00CF5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CF58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延安游子</dc:creator>
  <cp:lastModifiedBy>Administrator</cp:lastModifiedBy>
  <cp:revision>2</cp:revision>
  <dcterms:created xsi:type="dcterms:W3CDTF">2022-12-29T12:07:00Z</dcterms:created>
  <dcterms:modified xsi:type="dcterms:W3CDTF">2023-04-20T01:06:00Z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DFA499995A0E4F69B263960079F34A94</vt:lpwstr>
  </property>
</Properties>
</file>